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1.2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Rencana Pemasaran Mitrans-Astra v1.3;</w:t>
      </w:r>
    </w:p>
    <w:p>
      <w:pPr>
        <w:pStyle w:val="ListParagraph"/>
        <w:numPr>
          <w:ilvl w:val="0"/>
          <w:numId w:val="1"/>
        </w:numPr>
        <w:spacing w:before="0" w:after="60"/>
        <w:rPr/>
      </w:pPr>
      <w:r>
        <w:rPr/>
        <w:t>Kode Etik Mitra PLS Mitrans-Astra v1.3;</w:t>
      </w:r>
    </w:p>
    <w:p>
      <w:pPr>
        <w:pStyle w:val="ListParagraph"/>
        <w:numPr>
          <w:ilvl w:val="0"/>
          <w:numId w:val="1"/>
        </w:numPr>
        <w:spacing w:before="0" w:after="60"/>
        <w:rPr/>
      </w:pPr>
      <w:r>
        <w:rPr/>
        <w:t>Syarat dan Ketentuan mitrans.id v1.3.</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Bagian 2B: keputusan aturan sistem v1.3 (A1–A12)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24,9–29,0%.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24,9–29,0% dan Plan B 8,9–35,2% (hasil lama: Plan A 26,5–46,9%, Plan B 26,6–36,7%). Asumsi pengujian ditulis lengkap. Selisih terbesar karena syarat aktif 2 penjualan per bulan: banyak bonus tim ditahan lalu masuk Pool Aktif</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Coach juga perlu menilai dampak bisnisnya: Pool Aktif menjadi bagian Plan A terbesar setelah Bonus Sponsor.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bulan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Rencana Pemasaran v1.0–v1.2 tidak mengatur hal berikut. Coach memutuskannya saat sistem perhitungan dirancang, dan semuanya sudah dicantumkan di dokumen v1.3. Butir bertanda "Perlu dinilai" mohon diberi pendapat konsultan hukum.</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masa akses 3 bulan Lisensi dihitung sebagai Langganan aktif</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Coach mengonfirmasi Bagian 2. Keputusan A1–A12 sudah diambil dan dicantumkan di dokumen v1.3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Konsultan hukum menilai hasil uji ulang dan asumsinya di Rencana Pemasaran Bab 12.3, serta rumus batas atas Langganan (butir 15–16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791</Words>
  <Characters>4352</Characters>
  <CharactersWithSpaces>5009</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2026-10-27T19:24:35Z</dcterms:modified>
  <cp:revision>2</cp:revision>
  <dc:subject/>
  <dc:title>Catatan untuk Konsultan Hukum</dc:title>
</cp:coreProperties>
</file>