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(A1–A16)</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Butir 17–18 Bagian 1 dan A14–A16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A14–A16 (Lisensi tanpa batas waktu, Langganan 30 hari, penghapusan rekening dana layanan)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A1–A16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dan syarat Langganan (butir 17–18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