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(A1–A17)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Butir 17–19 Bagian 1 dan A14–A17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A14–A17 (Lisensi tanpa batas waktu, Langganan 30 hari, penghapusan rekening dana layanan, pembayaran Langganan dari bonus)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A1–A17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9</w:t>
    </w:r>
    <w:r>
      <w:rPr/>
      <w:fldChar w:fldCharType="end"/>
    </w:r>
    <w:r>
      <w:rPr>
        <w:color w:val="5F6B73"/>
        <w:sz w:val="16"/>
        <w:szCs w:val="16"/>
      </w:rPr>
      <w:t xml:space="preserve"> dari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802</Words>
  <Characters>4348</Characters>
  <CharactersWithSpaces>5040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2026-10-27T23:57:21Z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