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(A1–A17)</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Butir 17–19 Bagian 1 dan A14–A17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A14–A17 (Lisensi tanpa batas waktu, Langganan 30 hari, penghapusan rekening dana layanan, pembayaran Langganan dari bonus)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A1–A17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