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11"/>
        </w:numPr>
        <w:spacing w:before="0" w:after="60"/>
        <w:rPr/>
      </w:pPr>
      <w:r>
        <w:rPr/>
        <w:t>Rencana Pemasaran Mitrans-Astra v1.4;</w:t>
      </w:r>
    </w:p>
    <w:p>
      <w:pPr>
        <w:pStyle w:val="ListParagraph"/>
        <w:numPr>
          <w:ilvl w:val="0"/>
          <w:numId w:val="12"/>
        </w:numPr>
        <w:spacing w:before="0" w:after="60"/>
        <w:rPr/>
      </w:pPr>
      <w:r>
        <w:rPr/>
        <w:t>Kode Etik Mitra PLS Mitrans-Astra v1.4;</w:t>
      </w:r>
    </w:p>
    <w:p>
      <w:pPr>
        <w:pStyle w:val="ListParagraph"/>
        <w:numPr>
          <w:ilvl w:val="0"/>
          <w:numId w:val="13"/>
        </w:numPr>
        <w:spacing w:before="0" w:after="60"/>
        <w:rPr/>
      </w:pPr>
      <w:r>
        <w:rPr/>
        <w:t>Syarat dan Ketentuan mitrans.id v1.4.</w:t>
      </w:r>
    </w:p>
    <w:p>
      <w:pPr>
        <w:pStyle w:val="Normal"/>
        <w:spacing w:before="0" w:after="120"/>
        <w:rPr/>
      </w:pPr>
      <w:r>
        <w:rPr/>
        <w:t>Isinya dibagi lima:</w:t>
      </w:r>
    </w:p>
    <w:p>
      <w:pPr>
        <w:pStyle w:val="ListParagraph"/>
        <w:numPr>
          <w:ilvl w:val="0"/>
          <w:numId w:val="14"/>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5"/>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6"/>
        </w:numPr>
        <w:spacing w:before="0" w:after="60"/>
        <w:rPr/>
      </w:pPr>
      <w:r>
        <w:rPr/>
        <w:t>Bagian 2A: perubahan v1.1 yang sudah diputuskan Coach pada 27 Oktober 2026;</w:t>
      </w:r>
    </w:p>
    <w:p>
      <w:pPr>
        <w:pStyle w:val="ListParagraph"/>
        <w:numPr>
          <w:ilvl w:val="0"/>
          <w:numId w:val="17"/>
        </w:numPr>
        <w:spacing w:before="0" w:after="60"/>
        <w:rPr/>
      </w:pPr>
      <w:r>
        <w:rPr/>
        <w:t>Bagian 2B: keputusan aturan sistem v1.3–v1.4 (A1–A17) yang sudah diputuskan Coach pada 27 Oktober 2026, beserta butir yang perlu dinilai konsultan hukum;</w:t>
      </w:r>
    </w:p>
    <w:p>
      <w:pPr>
        <w:pStyle w:val="ListParagraph"/>
        <w:numPr>
          <w:ilvl w:val="0"/>
          <w:numId w:val="18"/>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pPr>
      <w:r>
        <w:rPr>
          <w:b/>
          <w:bCs/>
        </w:rPr>
        <w:t>Perubahan versi 1.3 memo</w:t>
      </w:r>
      <w:r>
        <w:rPr/>
        <w:t xml:space="preserve"> (27 Oktober 2026): menyertai dokumen v1.4 (Lisensi tanpa batas waktu, Langganan setiap 30 hari sejak aktivasi, rekening dana layanan dihapus, pembayaran Langganan dari bonus). Butir 17–19 Bagian 1 dan A14–A17 Bagian 2B baru; butir 4 dan 15 Bagian 1 diperbarui.</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5"/>
        <w:gridCol w:w="2421"/>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 Versi 1.4: Lisensi tanpa batas waktu, dan syarat Langganan untuk bonus tim berlaku sesudah 30 hari pertama sejak aktivasi (sebelumnya mulai bulan ke-4), dinilai dari akses yang aktif pada akhir bulan.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 Catatan v1.4: syarat ini kini berlaku jauh lebih awal, sehingga mohon dinilai ulang (lihat butir 18).</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 Di v1.4 (Lisensi tanpa batas waktu, Langganan setiap 30 hari sejak aktivasi), uji diulang: Plan A 25,0–29,1% dan Plan B 13,1–35,7%. Pada skenario 5 tahun, omzet bersih Langganan naik 8,9–9,1% dibanding v1.3 bila retensi Langganan tetap 80%, tetapi turun sekitar 18% bila retensi turun ke 60%.</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Istilah "Lisensi tanpa batas waktu (lifetime)"</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UU 8/1999 Pasal 7 huruf b, Pasal 9, dan Pasal 10: informasi yang benar, jelas, dan jujur; larangan menawarkan secara menyesatkan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v1.4: Lisensi Rp7.500.000 tidak kedaluwarsa dan tidak perlu dibeli ulang, tetapi akses aplikasi sesudah 30 hari pertama hanya berlanjut dengan Langganan Rp399.000 per 30 hari. Kode Etik Pasal 17 melarang menyebutnya akses gratis seumur hidup</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istilah "lifetime" tidak menyesatkan bila akses bergantung pada Langganan, dan rumusan yang aman untuk halaman penawaran dan webinar. Pertimbangkan hak yang tetap dimiliki pemegang Lisensi saat Langganan berhenti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Syarat Langganan sesudah 30 hari pertama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dan Pembinaan dibayar hanya bila akses pemegang Lisensi aktif pada akhir bulan; sesudah 30 hari pertama, akses hanya dari Langganan (sebelumnya syarat ini baru berlaku mulai bulan ke-4)</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ulang butir 4: apakah syarat Langganan untuk bonus jaringan yang kini berlaku sejak hari ke-31 dapat dinilai sebagai kewajiban membeli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Pembayaran Langganan dari bonus (potong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 KUHPerdata Pasal 1425 dan seterusnya (perjumpaan utang); ketentuan PPh atas komisi</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21 angka 7: pilihan, persetujuan tegas pada setiap pembayaran, tidak otomatis, bukan syarat bonus atau peringkat; dipotong dari transfer setelah PPh; hanya untuk Langganan milik sendiri; paling banyak satu periode di muka. Sistem prototipe belum menghitung PPh, sehingga saldo yang tampil masih bruto</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ini tidak dinilai sebagai kewajiban atau dorongan membeli, bahwa persetujuan per pembayaran cukup sebagai dasar memperhitungkan tagihan dengan bonus, dan perlakuan PPN atas Langganan serta PPh atas bonus yang dipotong</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2"/>
        <w:gridCol w:w="1982"/>
        <w:gridCol w:w="4949"/>
        <w:gridCol w:w="1782"/>
      </w:tblGrid>
      <w:tr>
        <w:trPr>
          <w:tblHeader w:val="true"/>
          <w:cantSplit w:val="true"/>
        </w:trPr>
        <w:tc>
          <w:tcPr>
            <w:tcW w:w="59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 Butir A14–A17 (Lisensi tanpa batas waktu, Langganan 30 hari, penghapusan rekening dana layanan, pembayaran Langganan dari bonus) diputuskan Coach kemudian pada hari yang sama dan dicantumkan di dokumen v1.4.</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akses 30 hari pertama Lisensi dihitung sebagai Langganan aktif (v1.3: 3 bulan)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tanpa batas waktu (lifetime) Rp7.500.000, tidak perlu dibeli ulang; bila Langganan berhenti, Lisensi tetap dan Langganan dapat dilanjutkan kapan saja. Versi 1.3: akses 3 bulan.</w:t>
            </w:r>
          </w:p>
          <w:p>
            <w:pPr>
              <w:pStyle w:val="Normal"/>
              <w:spacing w:before="0" w:after="0"/>
              <w:jc w:val="left"/>
              <w:rPr/>
            </w:pPr>
            <w:r>
              <w:rPr>
                <w:sz w:val="19"/>
                <w:szCs w:val="19"/>
              </w:rPr>
              <w:t>Perlu dinilai: butir 17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Lampiran A; Kode Etik Pasal 1 dan 17; S&amp;K Pasal 2 dan 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30 hari pertama termasuk Lisensi; Langganan (RO) Rp399.000 ditagih pertama kali 30 hari setelah aktivasi, lalu setiap 30 hari. Syarat Langganan untuk bonus tim dan Plan B dinilai dari akses yang aktif pada akhir bulan. Versi 1.3: Langganan mulai bulan ke-4.</w:t>
            </w:r>
          </w:p>
          <w:p>
            <w:pPr>
              <w:pStyle w:val="Normal"/>
              <w:spacing w:before="0" w:after="0"/>
              <w:jc w:val="left"/>
              <w:rPr/>
            </w:pPr>
            <w:r>
              <w:rPr>
                <w:sz w:val="19"/>
                <w:szCs w:val="19"/>
              </w:rPr>
              <w:t>Perlu dinilai: butir 4 dan 18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8.5, 9.2, 12.3, Bab 13; Kode Etik Pasal 1 dan 5; S&amp;K Pasal 2, 5, 6, dan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Rekening dana layanan Rp426.000 per Lisensi dihapus, karena biaya layanan sesudah 30 hari pertama ditanggung Langganan.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dapat membayar Langganannya sendiri dari bonus yang belum ditransfer, atas persetujuan tegas pada setiap pembayaran; dipotong dari transfer Jumat terdekat setelah PPh; bonus bruto tidak berubah; Plan B atas Langganan itu tetap dihitung.</w:t>
            </w:r>
          </w:p>
          <w:p>
            <w:pPr>
              <w:pStyle w:val="Normal"/>
              <w:spacing w:before="0" w:after="0"/>
              <w:jc w:val="left"/>
              <w:rPr/>
            </w:pPr>
            <w:r>
              <w:rPr>
                <w:sz w:val="19"/>
                <w:szCs w:val="19"/>
              </w:rPr>
              <w:t>Perlu dinilai: butir 19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5 dan Pasal 21 angka 7</w:t>
            </w:r>
          </w:p>
        </w:tc>
      </w:tr>
    </w:tbl>
    <w:p>
      <w:pPr>
        <w:pStyle w:val="Heading2"/>
        <w:rPr/>
      </w:pPr>
      <w:r>
        <w:rPr/>
        <w:t>3. Data yang perlu dilengkapi</w:t>
      </w:r>
    </w:p>
    <w:p>
      <w:pPr>
        <w:pStyle w:val="ListParagraph"/>
        <w:numPr>
          <w:ilvl w:val="0"/>
          <w:numId w:val="19"/>
        </w:numPr>
        <w:spacing w:before="0" w:after="60"/>
        <w:rPr/>
      </w:pPr>
      <w:r>
        <w:rPr/>
        <w:t>Nama lengkap PT sesuai akta, nomor akta, dan pengesahan Kementerian Hukum.</w:t>
      </w:r>
    </w:p>
    <w:p>
      <w:pPr>
        <w:pStyle w:val="ListParagraph"/>
        <w:numPr>
          <w:ilvl w:val="0"/>
          <w:numId w:val="20"/>
        </w:numPr>
        <w:spacing w:before="0" w:after="60"/>
        <w:rPr/>
      </w:pPr>
      <w:r>
        <w:rPr/>
        <w:t>NIB, KBLI, NPWP, dan alamat kantor.</w:t>
      </w:r>
    </w:p>
    <w:p>
      <w:pPr>
        <w:pStyle w:val="ListParagraph"/>
        <w:numPr>
          <w:ilvl w:val="0"/>
          <w:numId w:val="21"/>
        </w:numPr>
        <w:spacing w:before="0" w:after="60"/>
        <w:rPr/>
      </w:pPr>
      <w:r>
        <w:rPr/>
        <w:t>Susunan Direksi, Dewan Komisaris, dan Dewan Pengawas Syariah (bila ada).</w:t>
      </w:r>
    </w:p>
    <w:p>
      <w:pPr>
        <w:pStyle w:val="ListParagraph"/>
        <w:numPr>
          <w:ilvl w:val="0"/>
          <w:numId w:val="22"/>
        </w:numPr>
        <w:spacing w:before="0" w:after="60"/>
        <w:rPr/>
      </w:pPr>
      <w:r>
        <w:rPr/>
        <w:t>Nomor Tanda Daftar PSE, permohonan merek, dan pencatatan hak cipta.</w:t>
      </w:r>
    </w:p>
    <w:p>
      <w:pPr>
        <w:pStyle w:val="ListParagraph"/>
        <w:numPr>
          <w:ilvl w:val="0"/>
          <w:numId w:val="23"/>
        </w:numPr>
        <w:spacing w:before="0" w:after="60"/>
        <w:rPr/>
      </w:pPr>
      <w:r>
        <w:rPr/>
        <w:t>Dasar hak distribusi eksklusif.</w:t>
      </w:r>
    </w:p>
    <w:p>
      <w:pPr>
        <w:pStyle w:val="ListParagraph"/>
        <w:numPr>
          <w:ilvl w:val="0"/>
          <w:numId w:val="24"/>
        </w:numPr>
        <w:spacing w:before="0" w:after="60"/>
        <w:rPr/>
      </w:pPr>
      <w:r>
        <w:rPr/>
        <w:t>Nama asosiasi dan nomor keanggotaan.</w:t>
      </w:r>
    </w:p>
    <w:p>
      <w:pPr>
        <w:pStyle w:val="ListParagraph"/>
        <w:numPr>
          <w:ilvl w:val="0"/>
          <w:numId w:val="25"/>
        </w:numPr>
        <w:spacing w:before="0" w:after="60"/>
        <w:rPr/>
      </w:pPr>
      <w:r>
        <w:rPr/>
        <w:t>Kontak layanan pelanggan, jam layanan, dan surel pelindungan data.</w:t>
      </w:r>
    </w:p>
    <w:p>
      <w:pPr>
        <w:pStyle w:val="ListParagraph"/>
        <w:numPr>
          <w:ilvl w:val="0"/>
          <w:numId w:val="26"/>
        </w:numPr>
        <w:spacing w:before="0" w:after="60"/>
        <w:rPr/>
      </w:pPr>
      <w:r>
        <w:rPr/>
        <w:t>Lama penyimpanan data setelah Langganan berhenti.</w:t>
      </w:r>
    </w:p>
    <w:p>
      <w:pPr>
        <w:pStyle w:val="ListParagraph"/>
        <w:numPr>
          <w:ilvl w:val="0"/>
          <w:numId w:val="27"/>
        </w:numPr>
        <w:spacing w:before="0" w:after="60"/>
        <w:rPr/>
      </w:pPr>
      <w:r>
        <w:rPr/>
        <w:t>Biaya pengalihan Lisensi.</w:t>
      </w:r>
    </w:p>
    <w:p>
      <w:pPr>
        <w:pStyle w:val="ListParagraph"/>
        <w:numPr>
          <w:ilvl w:val="0"/>
          <w:numId w:val="28"/>
        </w:numPr>
        <w:spacing w:before="0" w:after="60"/>
        <w:rPr/>
      </w:pPr>
      <w:r>
        <w:rPr/>
        <w:t>Forum penyelesaian sengketa.</w:t>
      </w:r>
    </w:p>
    <w:p>
      <w:pPr>
        <w:pStyle w:val="ListParagraph"/>
        <w:numPr>
          <w:ilvl w:val="0"/>
          <w:numId w:val="29"/>
        </w:numPr>
        <w:spacing w:before="0" w:after="60"/>
        <w:rPr/>
      </w:pPr>
      <w:r>
        <w:rPr/>
        <w:t>Tanggal berlaku dan penandatangan Kode Etik.</w:t>
      </w:r>
    </w:p>
    <w:p>
      <w:pPr>
        <w:pStyle w:val="ListParagraph"/>
        <w:numPr>
          <w:ilvl w:val="0"/>
          <w:numId w:val="30"/>
        </w:numPr>
        <w:spacing w:before="0" w:after="60"/>
        <w:rPr/>
      </w:pPr>
      <w:r>
        <w:rPr/>
        <w:t>Perjanjian berbagi data antara Ylive Academy dan PT MITRANS.</w:t>
      </w:r>
    </w:p>
    <w:p>
      <w:pPr>
        <w:pStyle w:val="Heading2"/>
        <w:rPr/>
      </w:pPr>
      <w:r>
        <w:rPr/>
        <w:t>4. Langkah berikutnya</w:t>
      </w:r>
    </w:p>
    <w:p>
      <w:pPr>
        <w:pStyle w:val="ListParagraph"/>
        <w:numPr>
          <w:ilvl w:val="0"/>
          <w:numId w:val="31"/>
        </w:numPr>
        <w:spacing w:before="0" w:after="60"/>
        <w:rPr/>
      </w:pPr>
      <w:r>
        <w:rPr/>
        <w:t>Konsultan hukum memutuskan butir 1–9 di Bagian 1.</w:t>
      </w:r>
    </w:p>
    <w:p>
      <w:pPr>
        <w:pStyle w:val="ListParagraph"/>
        <w:numPr>
          <w:ilvl w:val="0"/>
          <w:numId w:val="32"/>
        </w:numPr>
        <w:spacing w:before="0" w:after="60"/>
        <w:rPr/>
      </w:pPr>
      <w:r>
        <w:rPr/>
        <w:t>Coach mengonfirmasi Bagian 2. Keputusan A1–A17 sudah diambil dan dicantumkan di dokumen v1.3–v1.4 (Bagian 2B).</w:t>
      </w:r>
    </w:p>
    <w:p>
      <w:pPr>
        <w:pStyle w:val="ListParagraph"/>
        <w:numPr>
          <w:ilvl w:val="0"/>
          <w:numId w:val="33"/>
        </w:numPr>
        <w:spacing w:before="0" w:after="60"/>
        <w:rPr/>
      </w:pPr>
      <w:r>
        <w:rPr/>
        <w:t>Tim melengkapi Bagian 3.</w:t>
      </w:r>
    </w:p>
    <w:p>
      <w:pPr>
        <w:pStyle w:val="ListParagraph"/>
        <w:numPr>
          <w:ilvl w:val="0"/>
          <w:numId w:val="34"/>
        </w:numPr>
        <w:spacing w:before="0" w:after="60"/>
        <w:rPr/>
      </w:pPr>
      <w:r>
        <w:rPr/>
        <w:t>Ketiga dokumen diperbarui, lalu diajukan ke asosiasi untuk verifikasi sebelum pengajuan izin melalui sistem OSS.</w:t>
      </w:r>
    </w:p>
    <w:p>
      <w:pPr>
        <w:pStyle w:val="ListParagraph"/>
        <w:numPr>
          <w:ilvl w:val="0"/>
          <w:numId w:val="35"/>
        </w:numPr>
        <w:spacing w:before="0" w:after="60"/>
        <w:rPr/>
      </w:pPr>
      <w:r>
        <w:rPr/>
        <w:t>Konsultan hukum menilai hasil uji ulang dan asumsinya di Rencana Pemasaran Bab 12.3, serta rumus batas atas Langganan (butir 15–16 Bagian 1), serta istilah Lisensi tanpa batas waktu, syarat Langganan, dan pembayaran Langganan dari bonus (butir 17–19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9</w:t>
    </w:r>
    <w:r>
      <w:rPr/>
      <w:fldChar w:fldCharType="end"/>
    </w:r>
    <w:r>
      <w:rPr>
        <w:color w:val="5F6B73"/>
        <w:sz w:val="16"/>
        <w:szCs w:val="16"/>
      </w:rPr>
      <w:t xml:space="preserve"> dari </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4"/>
    <w:lvlOverride w:ilvl="0">
      <w:startOverride w:val="1"/>
    </w:lvlOverride>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lvlOverride w:ilvl="0">
      <w:startOverride w:val="1"/>
    </w:lvlOverride>
  </w:num>
  <w:num w:numId="32">
    <w:abstractNumId w:val="4"/>
  </w:num>
  <w:num w:numId="33">
    <w:abstractNumId w:val="4"/>
  </w:num>
  <w:num w:numId="34">
    <w:abstractNumId w:val="4"/>
  </w:num>
  <w:num w:numId="35">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802</Words>
  <Characters>4348</Characters>
  <CharactersWithSpaces>5040</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2026-10-27T23:17:21Z</dcterms:modified>
  <cp:revision>3</cp:revision>
  <dc:subject/>
  <dc:title>Catatan untuk Konsultan Hukum</dc:title>
</cp:coreProperties>
</file>

<file path=docProps/custom.xml><?xml version="1.0" encoding="utf-8"?>
<Properties xmlns="http://schemas.openxmlformats.org/officeDocument/2006/custom-properties" xmlns:vt="http://schemas.openxmlformats.org/officeDocument/2006/docPropsVTypes"/>
</file>