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OrgSubtitle"/>
        <w:bidi w:val="0"/>
        <w:spacing w:before="0" w:after="0"/>
        <w:rPr/>
      </w:pPr>
      <w:r>
        <w:rPr/>
        <w:fldChar w:fldCharType="begin"/>
      </w:r>
      <w:r>
        <w:rPr/>
        <w:instrText xml:space="preserve"> AUTHOR </w:instrText>
      </w:r>
      <w:r>
        <w:rPr/>
        <w:fldChar w:fldCharType="separate"/>
      </w:r>
      <w:r>
        <w:rPr/>
        <w:t>Uli Wortmann</w:t>
      </w:r>
      <w:r>
        <w:rPr/>
        <w:fldChar w:fldCharType="end"/>
      </w:r>
      <w:r>
        <w:rPr/>
        <w:t xml:space="preserve"> </w:t>
      </w:r>
      <w:r>
        <w:rPr/>
        <w:t>Finnigan MAT 253</w:t>
      </w:r>
    </w:p>
    <w:p>
      <w:pPr>
        <w:pStyle w:val="OrgSubtitle"/>
        <w:bidi w:val="0"/>
        <w:spacing w:before="0" w:after="0"/>
        <w:rPr/>
      </w:pPr>
      <w:r>
        <w:rPr/>
      </w:r>
    </w:p>
    <w:p>
      <w:pPr>
        <w:pStyle w:val="Heading1"/>
        <w:bidi w:val="0"/>
        <w:ind w:hanging="0" w:left="0"/>
        <w:jc w:val="left"/>
        <w:rPr/>
      </w:pPr>
      <w:bookmarkStart w:id="0" w:name="OrgXref.orge027645"/>
      <w:bookmarkStart w:id="1" w:name="orge027645"/>
      <w:bookmarkEnd w:id="1"/>
      <w:r>
        <w:rPr/>
        <w:t xml:space="preserve">Assignment </w:t>
      </w:r>
      <w:bookmarkEnd w:id="0"/>
    </w:p>
    <w:p>
      <w:pPr>
        <w:pStyle w:val="BodyText"/>
        <w:bidi w:val="0"/>
        <w:spacing w:before="0" w:after="120"/>
        <w:jc w:val="left"/>
        <w:rPr/>
      </w:pPr>
      <w:r>
        <w:rPr/>
        <w:t xml:space="preserve">Copy this assignment and the associated image files into your submissions folder. </w:t>
      </w:r>
    </w:p>
    <w:p>
      <w:pPr>
        <w:pStyle w:val="Heading1"/>
        <w:bidi w:val="0"/>
        <w:ind w:hanging="0" w:left="0"/>
        <w:jc w:val="left"/>
        <w:rPr/>
      </w:pPr>
      <w:bookmarkStart w:id="2" w:name="OrgXref.org8340bc3"/>
      <w:bookmarkStart w:id="3" w:name="org8340bc3"/>
      <w:bookmarkEnd w:id="3"/>
      <w:r>
        <w:rPr/>
        <w:t xml:space="preserve">Learning outcomes </w:t>
      </w:r>
      <w:bookmarkEnd w:id="2"/>
    </w:p>
    <w:p>
      <w:pPr>
        <w:pStyle w:val="BodyText"/>
        <w:numPr>
          <w:ilvl w:val="0"/>
          <w:numId w:val="4"/>
        </w:numPr>
        <w:tabs>
          <w:tab w:val="clear" w:pos="709"/>
          <w:tab w:val="left" w:pos="720" w:leader="none"/>
        </w:tabs>
        <w:bidi w:val="0"/>
        <w:ind w:hanging="360" w:left="720"/>
        <w:jc w:val="left"/>
        <w:rPr/>
      </w:pPr>
      <w:r>
        <w:rPr/>
        <w:t xml:space="preserve">Become familiar with function arguments and return values </w:t>
      </w:r>
    </w:p>
    <w:p>
      <w:pPr>
        <w:pStyle w:val="BodyText"/>
        <w:numPr>
          <w:ilvl w:val="0"/>
          <w:numId w:val="3"/>
        </w:numPr>
        <w:tabs>
          <w:tab w:val="clear" w:pos="709"/>
          <w:tab w:val="left" w:pos="720" w:leader="none"/>
        </w:tabs>
        <w:bidi w:val="0"/>
        <w:ind w:hanging="360" w:left="720"/>
        <w:jc w:val="left"/>
        <w:rPr/>
      </w:pPr>
      <w:r>
        <w:rPr/>
        <w:t xml:space="preserve">Practice doc-string writing </w:t>
      </w:r>
    </w:p>
    <w:p>
      <w:pPr>
        <w:pStyle w:val="BodyText"/>
        <w:numPr>
          <w:ilvl w:val="0"/>
          <w:numId w:val="3"/>
        </w:numPr>
        <w:tabs>
          <w:tab w:val="clear" w:pos="709"/>
          <w:tab w:val="left" w:pos="720" w:leader="none"/>
        </w:tabs>
        <w:bidi w:val="0"/>
        <w:ind w:hanging="360" w:left="720"/>
        <w:jc w:val="left"/>
        <w:rPr/>
      </w:pPr>
      <w:r>
        <w:rPr/>
        <w:t xml:space="preserve">Practice type hinting </w:t>
      </w:r>
    </w:p>
    <w:p>
      <w:pPr>
        <w:pStyle w:val="BodyText"/>
        <w:numPr>
          <w:ilvl w:val="0"/>
          <w:numId w:val="3"/>
        </w:numPr>
        <w:tabs>
          <w:tab w:val="clear" w:pos="709"/>
          <w:tab w:val="left" w:pos="720" w:leader="none"/>
        </w:tabs>
        <w:bidi w:val="0"/>
        <w:ind w:hanging="360" w:left="720"/>
        <w:jc w:val="left"/>
        <w:rPr/>
      </w:pPr>
      <w:r>
        <w:rPr/>
        <w:t xml:space="preserve">Bridge the gap from seeing an equation to thinking about a task </w:t>
      </w:r>
    </w:p>
    <w:p>
      <w:pPr>
        <w:pStyle w:val="BodyText"/>
        <w:numPr>
          <w:ilvl w:val="0"/>
          <w:numId w:val="3"/>
        </w:numPr>
        <w:tabs>
          <w:tab w:val="clear" w:pos="709"/>
          <w:tab w:val="left" w:pos="720" w:leader="none"/>
        </w:tabs>
        <w:bidi w:val="0"/>
        <w:ind w:hanging="360" w:left="720"/>
        <w:jc w:val="left"/>
        <w:rPr/>
      </w:pPr>
      <w:r>
        <w:rPr/>
        <w:t xml:space="preserve">Bridge the gap from a task described in practical terms to python code </w:t>
      </w:r>
    </w:p>
    <w:p>
      <w:pPr>
        <w:pStyle w:val="BodyText"/>
        <w:numPr>
          <w:ilvl w:val="0"/>
          <w:numId w:val="3"/>
        </w:numPr>
        <w:tabs>
          <w:tab w:val="clear" w:pos="709"/>
          <w:tab w:val="left" w:pos="720" w:leader="none"/>
        </w:tabs>
        <w:bidi w:val="0"/>
        <w:ind w:hanging="360" w:left="720"/>
        <w:jc w:val="left"/>
        <w:rPr/>
      </w:pPr>
      <w:r>
        <w:rPr/>
        <w:t xml:space="preserve">Learn how to reduce complexity </w:t>
      </w:r>
    </w:p>
    <w:p>
      <w:pPr>
        <w:pStyle w:val="BodyText"/>
        <w:numPr>
          <w:ilvl w:val="0"/>
          <w:numId w:val="3"/>
        </w:numPr>
        <w:tabs>
          <w:tab w:val="clear" w:pos="709"/>
          <w:tab w:val="left" w:pos="720" w:leader="none"/>
        </w:tabs>
        <w:bidi w:val="0"/>
        <w:ind w:hanging="360" w:left="720"/>
        <w:jc w:val="left"/>
        <w:rPr/>
      </w:pPr>
      <w:r>
        <w:rPr/>
        <w:t xml:space="preserve">Practice testing code fragments </w:t>
      </w:r>
    </w:p>
    <w:p>
      <w:pPr>
        <w:pStyle w:val="Heading1"/>
        <w:bidi w:val="0"/>
        <w:ind w:hanging="0" w:left="0"/>
        <w:jc w:val="left"/>
        <w:rPr/>
      </w:pPr>
      <w:bookmarkStart w:id="4" w:name="OrgXref.org259d899"/>
      <w:bookmarkStart w:id="5" w:name="org259d899"/>
      <w:bookmarkEnd w:id="5"/>
      <w:r>
        <w:rPr/>
        <w:t xml:space="preserve">Instructions </w:t>
      </w:r>
      <w:bookmarkEnd w:id="4"/>
    </w:p>
    <w:p>
      <w:pPr>
        <w:pStyle w:val="BodyText"/>
        <w:bidi w:val="0"/>
        <w:spacing w:before="0" w:after="120"/>
        <w:jc w:val="left"/>
        <w:rPr/>
      </w:pPr>
      <w:r>
        <w:rPr/>
        <w:t xml:space="preserve">Functions have the following characteristics: </w:t>
      </w:r>
    </w:p>
    <w:p>
      <w:pPr>
        <w:pStyle w:val="BodyText"/>
        <w:numPr>
          <w:ilvl w:val="0"/>
          <w:numId w:val="6"/>
        </w:numPr>
        <w:tabs>
          <w:tab w:val="clear" w:pos="709"/>
          <w:tab w:val="left" w:pos="720" w:leader="none"/>
        </w:tabs>
        <w:bidi w:val="0"/>
        <w:ind w:hanging="360" w:left="720"/>
        <w:jc w:val="left"/>
        <w:rPr/>
      </w:pPr>
      <w:r>
        <w:rPr/>
        <w:t xml:space="preserve">They allow us to group code sequences and refer to this group by name. This is useful for decluttering your code. </w:t>
      </w:r>
    </w:p>
    <w:p>
      <w:pPr>
        <w:pStyle w:val="BodyText"/>
        <w:numPr>
          <w:ilvl w:val="0"/>
          <w:numId w:val="5"/>
        </w:numPr>
        <w:tabs>
          <w:tab w:val="clear" w:pos="709"/>
          <w:tab w:val="left" w:pos="720" w:leader="none"/>
        </w:tabs>
        <w:bidi w:val="0"/>
        <w:ind w:hanging="360" w:left="720"/>
        <w:jc w:val="left"/>
        <w:rPr/>
      </w:pPr>
      <w:r>
        <w:rPr/>
        <w:t xml:space="preserve">Code inside a function does not have access to variables defined outside of the function. This helps to isolate code sections and prevent naming conflicts or accidental overwriting of, e.g., a counter. </w:t>
      </w:r>
    </w:p>
    <w:p>
      <w:pPr>
        <w:pStyle w:val="BodyText"/>
        <w:numPr>
          <w:ilvl w:val="0"/>
          <w:numId w:val="5"/>
        </w:numPr>
        <w:tabs>
          <w:tab w:val="clear" w:pos="709"/>
          <w:tab w:val="left" w:pos="720" w:leader="none"/>
        </w:tabs>
        <w:bidi w:val="0"/>
        <w:ind w:hanging="360" w:left="720"/>
        <w:jc w:val="left"/>
        <w:rPr/>
      </w:pPr>
      <w:r>
        <w:rPr/>
        <w:t xml:space="preserve">The </w:t>
      </w:r>
      <w:r>
        <w:rPr>
          <w:rStyle w:val="Bold"/>
        </w:rPr>
        <w:t>value(s)</w:t>
      </w:r>
      <w:r>
        <w:rPr/>
        <w:t xml:space="preserve"> of a variable(s) can be passed into a function as arguments to the function call (see below) </w:t>
      </w:r>
    </w:p>
    <w:p>
      <w:pPr>
        <w:pStyle w:val="BodyText"/>
        <w:numPr>
          <w:ilvl w:val="0"/>
          <w:numId w:val="5"/>
        </w:numPr>
        <w:tabs>
          <w:tab w:val="clear" w:pos="709"/>
          <w:tab w:val="left" w:pos="720" w:leader="none"/>
        </w:tabs>
        <w:bidi w:val="0"/>
        <w:ind w:hanging="360" w:left="720"/>
        <w:jc w:val="left"/>
        <w:rPr/>
      </w:pPr>
      <w:r>
        <w:rPr/>
        <w:t xml:space="preserve">The result of computation inside the function can be returned to the calling code with the return statement. </w:t>
      </w:r>
    </w:p>
    <w:p>
      <w:pPr>
        <w:pStyle w:val="BodyText"/>
        <w:numPr>
          <w:ilvl w:val="0"/>
          <w:numId w:val="5"/>
        </w:numPr>
        <w:tabs>
          <w:tab w:val="clear" w:pos="709"/>
          <w:tab w:val="left" w:pos="720" w:leader="none"/>
        </w:tabs>
        <w:bidi w:val="0"/>
        <w:ind w:hanging="360" w:left="720"/>
        <w:jc w:val="left"/>
        <w:rPr/>
      </w:pPr>
      <w:r>
        <w:rPr/>
        <w:t xml:space="preserve">Functions must always be defined before you can use them. This is best done at the beginning of the code </w:t>
      </w:r>
    </w:p>
    <w:p>
      <w:pPr>
        <w:pStyle w:val="BodyText"/>
        <w:bidi w:val="0"/>
        <w:spacing w:before="0" w:after="120"/>
        <w:jc w:val="left"/>
        <w:rPr/>
      </w:pPr>
      <w:r>
        <w:rPr/>
        <w:t xml:space="preserve">When solving this assignment, be strategic about it. You can probably see that there are three independent challenges here: </w:t>
      </w:r>
    </w:p>
    <w:p>
      <w:pPr>
        <w:pStyle w:val="BodyText"/>
        <w:numPr>
          <w:ilvl w:val="0"/>
          <w:numId w:val="7"/>
        </w:numPr>
        <w:tabs>
          <w:tab w:val="clear" w:pos="709"/>
          <w:tab w:val="left" w:pos="720" w:leader="none"/>
        </w:tabs>
        <w:bidi w:val="0"/>
        <w:ind w:hanging="360" w:left="720"/>
        <w:jc w:val="left"/>
        <w:rPr/>
      </w:pPr>
      <w:r>
        <w:rPr/>
        <w:t xml:space="preserve">To create functions. </w:t>
      </w:r>
    </w:p>
    <w:p>
      <w:pPr>
        <w:pStyle w:val="BodyText"/>
        <w:numPr>
          <w:ilvl w:val="0"/>
          <w:numId w:val="2"/>
        </w:numPr>
        <w:tabs>
          <w:tab w:val="clear" w:pos="709"/>
          <w:tab w:val="left" w:pos="720" w:leader="none"/>
        </w:tabs>
        <w:bidi w:val="0"/>
        <w:ind w:hanging="360" w:left="720"/>
        <w:jc w:val="left"/>
        <w:rPr/>
      </w:pPr>
      <w:r>
        <w:rPr/>
        <w:t xml:space="preserve">To embed the functions into a loop </w:t>
      </w:r>
    </w:p>
    <w:p>
      <w:pPr>
        <w:pStyle w:val="BodyText"/>
        <w:numPr>
          <w:ilvl w:val="0"/>
          <w:numId w:val="2"/>
        </w:numPr>
        <w:tabs>
          <w:tab w:val="clear" w:pos="709"/>
          <w:tab w:val="left" w:pos="720" w:leader="none"/>
        </w:tabs>
        <w:bidi w:val="0"/>
        <w:ind w:hanging="360" w:left="720"/>
        <w:jc w:val="left"/>
        <w:rPr/>
      </w:pPr>
      <w:r>
        <w:rPr/>
        <w:t xml:space="preserve">To add data to an empty list. </w:t>
      </w:r>
    </w:p>
    <w:p>
      <w:pPr>
        <w:pStyle w:val="BodyText"/>
        <w:bidi w:val="0"/>
        <w:spacing w:before="0" w:after="120"/>
        <w:jc w:val="left"/>
        <w:rPr/>
      </w:pPr>
      <w:r>
        <w:rPr/>
        <w:t xml:space="preserve">Solve each problem individually before you combine it into a more complex program! </w:t>
      </w:r>
    </w:p>
    <w:p>
      <w:pPr>
        <w:pStyle w:val="Heading1"/>
        <w:bidi w:val="0"/>
        <w:ind w:hanging="0" w:left="0"/>
        <w:jc w:val="left"/>
        <w:rPr/>
      </w:pPr>
      <w:bookmarkStart w:id="6" w:name="OrgXref.org3d73654"/>
      <w:bookmarkStart w:id="7" w:name="org3d73654"/>
      <w:bookmarkEnd w:id="7"/>
      <w:r>
        <w:rPr/>
        <w:t xml:space="preserve">Converting data from a Mass spectrometer into delta notation </w:t>
      </w:r>
      <w:bookmarkEnd w:id="6"/>
    </w:p>
    <w:p>
      <w:pPr>
        <w:pStyle w:val="BodyText"/>
        <w:bidi w:val="0"/>
        <w:spacing w:before="0" w:after="120"/>
        <w:jc w:val="left"/>
        <w:rPr/>
      </w:pPr>
      <w:r>
        <w:rPr/>
        <w:t xml:space="preserve">Most elements have atomic structure variations, affecting their weight but not their chemical characteristics. In other words, they have the same number of protons and electrons but a different number of neutrons. You will likely have heard of oxygen or carbon isotopes, both featuring prominently in the current climate change debate and isotopes featuring prominently in almost all geoscience research. </w:t>
      </w:r>
    </w:p>
    <w:p>
      <w:pPr>
        <w:pStyle w:val="BodyText"/>
        <w:bidi w:val="0"/>
        <w:spacing w:before="0" w:after="120"/>
        <w:jc w:val="left"/>
        <w:rPr/>
      </w:pPr>
      <w:r>
        <w:rPr/>
        <w:t xml:space="preserve">Stable isotopes ratios are measured with a mass spectrometer where the oxygen atoms are ionized, then accelerated, and the beam of accelerated ions is then sent through a magnetic field, which will bend this beam. The ions with additional neutrons are heavier and thus will have a different curve radius than the lighter ones (see Fig. </w:t>
      </w:r>
      <w:hyperlink r:id="rId2">
        <w:r>
          <w:rPr>
            <w:rStyle w:val="Hyperlink"/>
          </w:rPr>
          <w:t>fig:IRMS</w:t>
        </w:r>
      </w:hyperlink>
      <w:r>
        <w:rPr/>
        <w:t xml:space="preserve">). Therefore we can split the beam into two beams. The two beams will then be collected by Faraday cups, which count the number of arriving ions (i.e., they register a voltage). Based on these voltages, we can establish the ratio between these isotopes. </w:t>
      </w:r>
    </w:p>
    <w:p>
      <w:pPr>
        <w:pStyle w:val="BodyText"/>
        <w:bidi w:val="0"/>
        <w:spacing w:before="0" w:after="120"/>
        <w:jc w:val="left"/>
        <w:rPr/>
      </w:pPr>
      <w:r>
        <w:rPr/>
        <w:t xml:space="preserve"> </w:t>
      </w:r>
      <w:r>
        <mc:AlternateContent>
          <mc:Choice Requires="wps">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6881495"/>
                <wp:effectExtent l="0" t="0" r="0" b="0"/>
                <wp:wrapTopAndBottom/>
                <wp:docPr id="1" name="Frame2"/>
                <a:graphic xmlns:a="http://schemas.openxmlformats.org/drawingml/2006/main">
                  <a:graphicData uri="http://schemas.microsoft.com/office/word/2010/wordprocessingShape">
                    <wps:wsp>
                      <wps:cNvSpPr txBox="1"/>
                      <wps:spPr>
                        <a:xfrm>
                          <a:off x="0" y="0"/>
                          <a:ext cx="6120130" cy="6881495"/>
                        </a:xfrm>
                        <a:prstGeom prst="rect"/>
                        <a:solidFill>
                          <a:srgbClr val="FFFFFF"/>
                        </a:solidFill>
                      </wps:spPr>
                      <wps:txbx>
                        <w:txbxContent>
                          <w:p>
                            <w:pPr>
                              <w:pStyle w:val="Illustration"/>
                              <w:bidi w:val="0"/>
                              <w:spacing w:before="120" w:after="120"/>
                              <w:jc w:val="left"/>
                              <w:rPr/>
                            </w:pPr>
                            <w:r>
                              <w:rPr/>
                              <w:drawing>
                                <wp:inline distT="0" distB="0" distL="0" distR="0">
                                  <wp:extent cx="6120130" cy="6454775"/>
                                  <wp:effectExtent l="0" t="0" r="0" b="0"/>
                                  <wp:docPr id="2" name="Fram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rame1" descr=""/>
                                          <pic:cNvPicPr>
                                            <a:picLocks noChangeAspect="1" noChangeArrowheads="1"/>
                                          </pic:cNvPicPr>
                                        </pic:nvPicPr>
                                        <pic:blipFill>
                                          <a:blip r:embed="rId3"/>
                                          <a:stretch>
                                            <a:fillRect/>
                                          </a:stretch>
                                        </pic:blipFill>
                                        <pic:spPr bwMode="auto">
                                          <a:xfrm>
                                            <a:off x="0" y="0"/>
                                            <a:ext cx="6120130" cy="6454775"/>
                                          </a:xfrm>
                                          <a:prstGeom prst="rect">
                                            <a:avLst/>
                                          </a:prstGeom>
                                        </pic:spPr>
                                      </pic:pic>
                                    </a:graphicData>
                                  </a:graphic>
                                </wp:inline>
                              </w:drawing>
                              <w:t xml:space="preserve"> </w:t>
                            </w:r>
                            <w:bookmarkStart w:id="8" w:name="org7ce0058"/>
                            <w:bookmarkEnd w:id="8"/>
                            <w:r>
                              <w:rPr/>
                              <w:t xml:space="preserve">Figure </w:t>
                            </w:r>
                            <w:r>
                              <w:rPr/>
                              <w:fldChar w:fldCharType="begin"/>
                            </w:r>
                            <w:r>
                              <w:rPr/>
                              <w:instrText xml:space="preserve"> SEQ Illustration \* ARABIC </w:instrText>
                            </w:r>
                            <w:r>
                              <w:rPr/>
                              <w:fldChar w:fldCharType="separate"/>
                            </w:r>
                            <w:r>
                              <w:rPr/>
                              <w:t>4.1</w:t>
                            </w:r>
                            <w:r>
                              <w:rPr/>
                              <w:fldChar w:fldCharType="end"/>
                            </w:r>
                            <w:r>
                              <w:rPr/>
                              <w:t xml:space="preserve">: Schematic drawing of an isotope ratio monitoring mass spectrometer (IRMS). Source: </w:t>
                            </w:r>
                            <w:hyperlink r:id="rId4">
                              <w:r>
                                <w:rPr>
                                  <w:rStyle w:val="Hyperlink"/>
                                </w:rPr>
                                <w:t>https://commons.wikimedia.org/wiki/File:Mass_Spectrometer_Schematic.svg</w:t>
                              </w:r>
                            </w:hyperlink>
                            <w:r>
                              <w:rPr/>
                              <w:t>, 2019</w:t>
                            </w:r>
                          </w:p>
                        </w:txbxContent>
                      </wps:txbx>
                      <wps:bodyPr anchor="t" lIns="0" tIns="0" rIns="0" bIns="0">
                        <a:noAutofit/>
                      </wps:bodyPr>
                    </wps:wsp>
                  </a:graphicData>
                </a:graphic>
              </wp:anchor>
            </w:drawing>
          </mc:Choice>
          <mc:Fallback>
            <w:pict>
              <v:rect style="position:absolute;rotation:-0;width:481.9pt;height:541.8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Illustration"/>
                        <w:bidi w:val="0"/>
                        <w:spacing w:before="120" w:after="120"/>
                        <w:jc w:val="left"/>
                        <w:rPr/>
                      </w:pPr>
                      <w:r>
                        <w:rPr/>
                        <w:drawing>
                          <wp:inline distT="0" distB="0" distL="0" distR="0">
                            <wp:extent cx="6120130" cy="6454775"/>
                            <wp:effectExtent l="0" t="0" r="0" b="0"/>
                            <wp:docPr id="3" name="Fram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ame1" descr=""/>
                                    <pic:cNvPicPr>
                                      <a:picLocks noChangeAspect="1" noChangeArrowheads="1"/>
                                    </pic:cNvPicPr>
                                  </pic:nvPicPr>
                                  <pic:blipFill>
                                    <a:blip r:embed="rId5"/>
                                    <a:stretch>
                                      <a:fillRect/>
                                    </a:stretch>
                                  </pic:blipFill>
                                  <pic:spPr bwMode="auto">
                                    <a:xfrm>
                                      <a:off x="0" y="0"/>
                                      <a:ext cx="6120130" cy="6454775"/>
                                    </a:xfrm>
                                    <a:prstGeom prst="rect">
                                      <a:avLst/>
                                    </a:prstGeom>
                                  </pic:spPr>
                                </pic:pic>
                              </a:graphicData>
                            </a:graphic>
                          </wp:inline>
                        </w:drawing>
                        <w:t xml:space="preserve"> </w:t>
                      </w:r>
                      <w:bookmarkStart w:id="9" w:name="org7ce0058"/>
                      <w:bookmarkEnd w:id="9"/>
                      <w:r>
                        <w:rPr/>
                        <w:t xml:space="preserve">Figure </w:t>
                      </w:r>
                      <w:r>
                        <w:rPr/>
                        <w:fldChar w:fldCharType="begin"/>
                      </w:r>
                      <w:r>
                        <w:rPr/>
                        <w:instrText xml:space="preserve"> SEQ Illustration \* ARABIC </w:instrText>
                      </w:r>
                      <w:r>
                        <w:rPr/>
                        <w:fldChar w:fldCharType="separate"/>
                      </w:r>
                      <w:r>
                        <w:rPr/>
                        <w:t>4.1</w:t>
                      </w:r>
                      <w:r>
                        <w:rPr/>
                        <w:fldChar w:fldCharType="end"/>
                      </w:r>
                      <w:r>
                        <w:rPr/>
                        <w:t xml:space="preserve">: Schematic drawing of an isotope ratio monitoring mass spectrometer (IRMS). Source: </w:t>
                      </w:r>
                      <w:hyperlink r:id="rId6">
                        <w:r>
                          <w:rPr>
                            <w:rStyle w:val="Hyperlink"/>
                          </w:rPr>
                          <w:t>https://commons.wikimedia.org/wiki/File:Mass_Spectrometer_Schematic.svg</w:t>
                        </w:r>
                      </w:hyperlink>
                      <w:r>
                        <w:rPr/>
                        <w:t>, 2019</w:t>
                      </w:r>
                    </w:p>
                  </w:txbxContent>
                </v:textbox>
                <w10:wrap type="topAndBottom"/>
              </v:rect>
            </w:pict>
          </mc:Fallback>
        </mc:AlternateContent>
      </w:r>
    </w:p>
    <w:p>
      <w:pPr>
        <w:pStyle w:val="BodyText"/>
        <w:bidi w:val="0"/>
        <w:spacing w:before="0" w:after="120"/>
        <w:jc w:val="left"/>
        <w:rPr/>
      </w:pPr>
      <w:r>
        <w:rPr/>
        <w:t>Most geological processes change the isotope ratio of a given element only by a small fraction. Consider the following example, which uses sulfur isotopes from seawater sulfate. Sulfur has 4 stable isotopes (</w:t>
      </w:r>
      <w:r>
        <w:rPr>
          <w:rStyle w:val="OrgSuperscript"/>
        </w:rPr>
        <w:t>32</w:t>
      </w:r>
      <w:r>
        <w:rPr/>
        <w:t>S,  </w:t>
      </w:r>
      <w:r>
        <w:rPr>
          <w:rStyle w:val="OrgSuperscript"/>
        </w:rPr>
        <w:t>33</w:t>
      </w:r>
      <w:r>
        <w:rPr/>
        <w:t>S,  </w:t>
      </w:r>
      <w:r>
        <w:rPr>
          <w:rStyle w:val="OrgSuperscript"/>
        </w:rPr>
        <w:t>34</w:t>
      </w:r>
      <w:r>
        <w:rPr/>
        <w:t>S,  </w:t>
      </w:r>
      <w:r>
        <w:rPr>
          <w:rStyle w:val="OrgSuperscript"/>
        </w:rPr>
        <w:t>36</w:t>
      </w:r>
      <w:r>
        <w:rPr/>
        <w:t>S), and one unstable (i.e., radiogenic) isotope (</w:t>
      </w:r>
      <w:r>
        <w:rPr>
          <w:rStyle w:val="OrgSuperscript"/>
        </w:rPr>
        <w:t>35</w:t>
      </w:r>
      <w:r>
        <w:rPr/>
        <w:t>S). Here we will stick to the two most abundant isotopes  </w:t>
      </w:r>
      <w:r>
        <w:rPr>
          <w:rStyle w:val="OrgSuperscript"/>
        </w:rPr>
        <w:t>32</w:t>
      </w:r>
      <w:r>
        <w:rPr/>
        <w:t>S and  </w:t>
      </w:r>
      <w:r>
        <w:rPr>
          <w:rStyle w:val="OrgSuperscript"/>
        </w:rPr>
        <w:t>34</w:t>
      </w:r>
      <w:r>
        <w:rPr/>
        <w:t xml:space="preserve">S. Each measurement generates a value that corresponds to the concentration of ^{32}S and ^{34}S in a given sample. The following data is from actual measurements of seawater sulfate samples. The index position equals the sample number. </w:t>
      </w:r>
    </w:p>
    <w:p>
      <w:pPr>
        <w:pStyle w:val="OrgSrcBlock"/>
        <w:pBdr>
          <w:top w:val="single" w:sz="4" w:space="1" w:color="000000"/>
          <w:left w:val="single" w:sz="4" w:space="1" w:color="000000"/>
          <w:bottom w:val="single" w:sz="4" w:space="1" w:color="000000"/>
          <w:right w:val="single" w:sz="4" w:space="1" w:color="000000"/>
        </w:pBdr>
        <w:shd w:fill="FFFFFF" w:val="clear"/>
        <w:bidi w:val="0"/>
        <w:jc w:val="left"/>
        <w:rPr/>
      </w:pPr>
      <w:r>
        <w:rPr>
          <w:rStyle w:val="OrgSrcFontLockCommentDelimiterFace"/>
        </w:rPr>
        <w:t xml:space="preserve"># </w:t>
      </w:r>
      <w:r>
        <w:rPr>
          <w:rStyle w:val="OrgSrcFontLockCommentFace"/>
        </w:rPr>
        <w:t>remember that variable names cannot start with a number!</w:t>
      </w:r>
    </w:p>
    <w:p>
      <w:pPr>
        <w:pStyle w:val="OrgSrcBlock"/>
        <w:pBdr>
          <w:top w:val="single" w:sz="4" w:space="1" w:color="000000"/>
          <w:left w:val="single" w:sz="4" w:space="1" w:color="000000"/>
          <w:bottom w:val="single" w:sz="4" w:space="1" w:color="000000"/>
          <w:right w:val="single" w:sz="4" w:space="1" w:color="000000"/>
        </w:pBdr>
        <w:shd w:fill="FFFFFF" w:val="clear"/>
        <w:bidi w:val="0"/>
        <w:jc w:val="left"/>
        <w:rPr/>
      </w:pPr>
      <w:r>
        <w:rPr>
          <w:rStyle w:val="OrgSrcFontLockVariableNameFace"/>
        </w:rPr>
        <w:t>S32</w:t>
      </w:r>
      <w:r>
        <w:rPr/>
        <w:t xml:space="preserve"> :</w:t>
      </w:r>
      <w:r>
        <w:rPr>
          <w:rStyle w:val="OrgSrcFontLockBuiltinFace"/>
        </w:rPr>
        <w:t>list</w:t>
      </w:r>
      <w:r>
        <w:rPr/>
        <w:t xml:space="preserve"> </w:t>
      </w:r>
      <w:r>
        <w:rPr>
          <w:rStyle w:val="OrgSrcFontLockOperatorFace"/>
        </w:rPr>
        <w:t>=</w:t>
      </w:r>
      <w:r>
        <w:rPr/>
        <w:t xml:space="preserve"> [0.956825467106151, 0.956824254162342, 0.956831127551253,</w:t>
      </w:r>
    </w:p>
    <w:p>
      <w:pPr>
        <w:pStyle w:val="OrgSrcBlock"/>
        <w:pBdr>
          <w:top w:val="single" w:sz="4" w:space="1" w:color="000000"/>
          <w:left w:val="single" w:sz="4" w:space="1" w:color="000000"/>
          <w:bottom w:val="single" w:sz="4" w:space="1" w:color="000000"/>
          <w:right w:val="single" w:sz="4" w:space="1" w:color="000000"/>
        </w:pBdr>
        <w:shd w:fill="FFFFFF" w:val="clear"/>
        <w:bidi w:val="0"/>
        <w:jc w:val="left"/>
        <w:rPr/>
      </w:pPr>
      <w:r>
        <w:rPr/>
        <w:t xml:space="preserve">             </w:t>
      </w:r>
      <w:r>
        <w:rPr/>
        <w:t>0.956806868972346, 0.956808486172672, 0.95680282599545,</w:t>
      </w:r>
    </w:p>
    <w:p>
      <w:pPr>
        <w:pStyle w:val="OrgSrcBlock"/>
        <w:pBdr>
          <w:top w:val="single" w:sz="4" w:space="1" w:color="000000"/>
          <w:left w:val="single" w:sz="4" w:space="1" w:color="000000"/>
          <w:bottom w:val="single" w:sz="4" w:space="1" w:color="000000"/>
          <w:right w:val="single" w:sz="4" w:space="1" w:color="000000"/>
        </w:pBdr>
        <w:shd w:fill="FFFFFF" w:val="clear"/>
        <w:bidi w:val="0"/>
        <w:jc w:val="left"/>
        <w:rPr/>
      </w:pPr>
      <w:r>
        <w:rPr/>
        <w:t xml:space="preserve">             </w:t>
      </w:r>
      <w:r>
        <w:rPr/>
        <w:t>0.957705256379378, 0.956814955028641, 0.957705256379378,</w:t>
      </w:r>
    </w:p>
    <w:p>
      <w:pPr>
        <w:pStyle w:val="OrgSrcBlock"/>
        <w:pBdr>
          <w:top w:val="single" w:sz="4" w:space="1" w:color="000000"/>
          <w:left w:val="single" w:sz="4" w:space="1" w:color="000000"/>
          <w:bottom w:val="single" w:sz="4" w:space="1" w:color="000000"/>
          <w:right w:val="single" w:sz="4" w:space="1" w:color="000000"/>
        </w:pBdr>
        <w:shd w:fill="FFFFFF" w:val="clear"/>
        <w:bidi w:val="0"/>
        <w:jc w:val="left"/>
        <w:rPr/>
      </w:pPr>
      <w:r>
        <w:rPr/>
        <w:t xml:space="preserve">             </w:t>
      </w:r>
      <w:r>
        <w:rPr/>
        <w:t>0.957705256379378, 0.956929791779426, 0.957705256379378,</w:t>
      </w:r>
    </w:p>
    <w:p>
      <w:pPr>
        <w:pStyle w:val="OrgSrcBlock"/>
        <w:pBdr>
          <w:top w:val="single" w:sz="4" w:space="1" w:color="000000"/>
          <w:left w:val="single" w:sz="4" w:space="1" w:color="000000"/>
          <w:bottom w:val="single" w:sz="4" w:space="1" w:color="000000"/>
          <w:right w:val="single" w:sz="4" w:space="1" w:color="000000"/>
        </w:pBdr>
        <w:shd w:fill="FFFFFF" w:val="clear"/>
        <w:bidi w:val="0"/>
        <w:jc w:val="left"/>
        <w:rPr/>
      </w:pPr>
      <w:r>
        <w:rPr/>
        <w:t xml:space="preserve">             </w:t>
      </w:r>
      <w:r>
        <w:rPr/>
        <w:t>0.957705256379378, 0.956975491533205, 0.957000163125976,</w:t>
      </w:r>
    </w:p>
    <w:p>
      <w:pPr>
        <w:pStyle w:val="OrgSrcBlock"/>
        <w:pBdr>
          <w:top w:val="single" w:sz="4" w:space="1" w:color="000000"/>
          <w:left w:val="single" w:sz="4" w:space="1" w:color="000000"/>
          <w:bottom w:val="single" w:sz="4" w:space="1" w:color="000000"/>
          <w:right w:val="single" w:sz="4" w:space="1" w:color="000000"/>
        </w:pBdr>
        <w:shd w:fill="FFFFFF" w:val="clear"/>
        <w:bidi w:val="0"/>
        <w:jc w:val="left"/>
        <w:rPr/>
      </w:pPr>
      <w:r>
        <w:rPr/>
        <w:t xml:space="preserve">             </w:t>
      </w:r>
      <w:r>
        <w:rPr/>
        <w:t>0.956964976158995]</w:t>
      </w:r>
    </w:p>
    <w:p>
      <w:pPr>
        <w:pStyle w:val="OrgSrcBlock"/>
        <w:pBdr>
          <w:top w:val="single" w:sz="4" w:space="1" w:color="000000"/>
          <w:left w:val="single" w:sz="4" w:space="1" w:color="000000"/>
          <w:bottom w:val="single" w:sz="4" w:space="1" w:color="000000"/>
          <w:right w:val="single" w:sz="4" w:space="1" w:color="000000"/>
        </w:pBdr>
        <w:shd w:fill="FFFFFF" w:val="clear"/>
        <w:bidi w:val="0"/>
        <w:jc w:val="left"/>
        <w:rPr/>
      </w:pPr>
      <w:r>
        <w:rPr/>
      </w:r>
    </w:p>
    <w:p>
      <w:pPr>
        <w:pStyle w:val="OrgSrcBlock"/>
        <w:pBdr>
          <w:top w:val="single" w:sz="4" w:space="1" w:color="000000"/>
          <w:left w:val="single" w:sz="4" w:space="1" w:color="000000"/>
          <w:bottom w:val="single" w:sz="4" w:space="1" w:color="000000"/>
          <w:right w:val="single" w:sz="4" w:space="1" w:color="000000"/>
        </w:pBdr>
        <w:shd w:fill="FFFFFF" w:val="clear"/>
        <w:bidi w:val="0"/>
        <w:jc w:val="left"/>
        <w:rPr/>
      </w:pPr>
      <w:r>
        <w:rPr>
          <w:rStyle w:val="OrgSrcFontLockVariableNameFace"/>
        </w:rPr>
        <w:t>S34</w:t>
      </w:r>
      <w:r>
        <w:rPr/>
        <w:t xml:space="preserve"> :</w:t>
      </w:r>
      <w:r>
        <w:rPr>
          <w:rStyle w:val="OrgSrcFontLockBuiltinFace"/>
        </w:rPr>
        <w:t>list</w:t>
      </w:r>
      <w:r>
        <w:rPr/>
        <w:t xml:space="preserve"> </w:t>
      </w:r>
      <w:r>
        <w:rPr>
          <w:rStyle w:val="OrgSrcFontLockOperatorFace"/>
        </w:rPr>
        <w:t>=</w:t>
      </w:r>
      <w:r>
        <w:rPr/>
        <w:t xml:space="preserve"> [0.043174532893849, 0.043175745837658, 0.043168872448747,</w:t>
      </w:r>
    </w:p>
    <w:p>
      <w:pPr>
        <w:pStyle w:val="OrgSrcBlock"/>
        <w:pBdr>
          <w:top w:val="single" w:sz="4" w:space="1" w:color="000000"/>
          <w:left w:val="single" w:sz="4" w:space="1" w:color="000000"/>
          <w:bottom w:val="single" w:sz="4" w:space="1" w:color="000000"/>
          <w:right w:val="single" w:sz="4" w:space="1" w:color="000000"/>
        </w:pBdr>
        <w:shd w:fill="FFFFFF" w:val="clear"/>
        <w:bidi w:val="0"/>
        <w:jc w:val="left"/>
        <w:rPr/>
      </w:pPr>
      <w:r>
        <w:rPr/>
        <w:t xml:space="preserve">             </w:t>
      </w:r>
      <w:r>
        <w:rPr/>
        <w:t>0.043193131027654, 0.043191513827328, 0.04319717400455,</w:t>
      </w:r>
    </w:p>
    <w:p>
      <w:pPr>
        <w:pStyle w:val="OrgSrcBlock"/>
        <w:pBdr>
          <w:top w:val="single" w:sz="4" w:space="1" w:color="000000"/>
          <w:left w:val="single" w:sz="4" w:space="1" w:color="000000"/>
          <w:bottom w:val="single" w:sz="4" w:space="1" w:color="000000"/>
          <w:right w:val="single" w:sz="4" w:space="1" w:color="000000"/>
        </w:pBdr>
        <w:shd w:fill="FFFFFF" w:val="clear"/>
        <w:bidi w:val="0"/>
        <w:jc w:val="left"/>
        <w:rPr/>
      </w:pPr>
      <w:r>
        <w:rPr/>
        <w:t xml:space="preserve">             </w:t>
      </w:r>
      <w:r>
        <w:rPr/>
        <w:t>0.042294743620622, 0.043185044971359, 0.042294743620622,</w:t>
      </w:r>
    </w:p>
    <w:p>
      <w:pPr>
        <w:pStyle w:val="OrgSrcBlock"/>
        <w:pBdr>
          <w:top w:val="single" w:sz="4" w:space="1" w:color="000000"/>
          <w:left w:val="single" w:sz="4" w:space="1" w:color="000000"/>
          <w:bottom w:val="single" w:sz="4" w:space="1" w:color="000000"/>
          <w:right w:val="single" w:sz="4" w:space="1" w:color="000000"/>
        </w:pBdr>
        <w:shd w:fill="FFFFFF" w:val="clear"/>
        <w:bidi w:val="0"/>
        <w:jc w:val="left"/>
        <w:rPr/>
      </w:pPr>
      <w:r>
        <w:rPr/>
        <w:t xml:space="preserve">             </w:t>
      </w:r>
      <w:r>
        <w:rPr/>
        <w:t>0.042294743620622, 0.043070208220574, 0.042294743620622,</w:t>
      </w:r>
    </w:p>
    <w:p>
      <w:pPr>
        <w:pStyle w:val="OrgSrcBlock"/>
        <w:pBdr>
          <w:top w:val="single" w:sz="4" w:space="1" w:color="000000"/>
          <w:left w:val="single" w:sz="4" w:space="1" w:color="000000"/>
          <w:bottom w:val="single" w:sz="4" w:space="1" w:color="000000"/>
          <w:right w:val="single" w:sz="4" w:space="1" w:color="000000"/>
        </w:pBdr>
        <w:shd w:fill="FFFFFF" w:val="clear"/>
        <w:bidi w:val="0"/>
        <w:jc w:val="left"/>
        <w:rPr/>
      </w:pPr>
      <w:r>
        <w:rPr/>
        <w:t xml:space="preserve">             </w:t>
      </w:r>
      <w:r>
        <w:rPr/>
        <w:t>0.042294743620622, 0.043024508466795, 0.042999836874024,</w:t>
      </w:r>
    </w:p>
    <w:p>
      <w:pPr>
        <w:pStyle w:val="OrgSrcBlockLastLine"/>
        <w:bidi w:val="0"/>
        <w:spacing w:before="0" w:after="119"/>
        <w:jc w:val="left"/>
        <w:rPr/>
      </w:pPr>
      <w:r>
        <w:rPr/>
        <w:t xml:space="preserve">             </w:t>
      </w:r>
      <w:r>
        <w:rPr/>
        <w:t>0.043035023841005]</w:t>
      </w:r>
    </w:p>
    <w:p>
      <w:pPr>
        <w:pStyle w:val="BodyText"/>
        <w:bidi w:val="0"/>
        <w:spacing w:before="0" w:after="120"/>
        <w:jc w:val="left"/>
        <w:rPr/>
      </w:pPr>
      <w:r>
        <w:rPr/>
        <w:t>From the above, you can see that there is more S</w:t>
      </w:r>
      <w:r>
        <w:rPr>
          <w:rStyle w:val="OrgSuperscript"/>
        </w:rPr>
        <w:t>32</w:t>
      </w:r>
      <w:r>
        <w:rPr/>
        <w:t xml:space="preserve"> than S</w:t>
      </w:r>
      <w:r>
        <w:rPr>
          <w:rStyle w:val="OrgSuperscript"/>
        </w:rPr>
        <w:t>34</w:t>
      </w:r>
      <w:r>
        <w:rPr/>
        <w:t>. You can also see that if we only look at the ratios between S</w:t>
      </w:r>
      <w:r>
        <w:rPr>
          <w:rStyle w:val="OrgSuperscript"/>
        </w:rPr>
        <w:t>32</w:t>
      </w:r>
      <w:r>
        <w:rPr/>
        <w:t>and S</w:t>
      </w:r>
      <w:r>
        <w:rPr>
          <w:rStyle w:val="OrgSuperscript"/>
        </w:rPr>
        <w:t>34</w:t>
      </w:r>
      <w:r>
        <w:rPr/>
        <w:t xml:space="preserve">, the numbers are unwieldy, and it is hard to spot the change between two values. I.e., </w:t>
      </w:r>
    </w:p>
    <w:p>
      <w:pPr>
        <w:pStyle w:val="OrgSrcBlock"/>
        <w:pBdr>
          <w:top w:val="single" w:sz="4" w:space="1" w:color="000000"/>
          <w:left w:val="single" w:sz="4" w:space="1" w:color="000000"/>
          <w:bottom w:val="single" w:sz="4" w:space="1" w:color="000000"/>
          <w:right w:val="single" w:sz="4" w:space="1" w:color="000000"/>
        </w:pBdr>
        <w:shd w:fill="FFFFFF" w:val="clear"/>
        <w:bidi w:val="0"/>
        <w:jc w:val="left"/>
        <w:rPr/>
      </w:pPr>
      <w:r>
        <w:rPr>
          <w:rStyle w:val="OrgSrcFontLockBuiltinFace"/>
        </w:rPr>
        <w:t>print</w:t>
      </w:r>
      <w:r>
        <w:rPr/>
        <w:t>(f</w:t>
      </w:r>
      <w:r>
        <w:rPr>
          <w:rStyle w:val="OrgSrcFontLockStringFace"/>
        </w:rPr>
        <w:t xml:space="preserve">"34S/32S [0] = </w:t>
      </w:r>
      <w:r>
        <w:rPr/>
        <w:t>{S34[0]</w:t>
      </w:r>
      <w:r>
        <w:rPr>
          <w:rStyle w:val="OrgSrcFontLockOperatorFace"/>
        </w:rPr>
        <w:t>/</w:t>
      </w:r>
      <w:r>
        <w:rPr/>
        <w:t>S32[0]}</w:t>
      </w:r>
      <w:r>
        <w:rPr>
          <w:rStyle w:val="OrgSrcFontLockStringFace"/>
        </w:rPr>
        <w:t>"</w:t>
      </w:r>
      <w:r>
        <w:rPr/>
        <w:t>)</w:t>
      </w:r>
    </w:p>
    <w:p>
      <w:pPr>
        <w:pStyle w:val="OrgSrcBlockLastLine"/>
        <w:bidi w:val="0"/>
        <w:spacing w:before="0" w:after="119"/>
        <w:jc w:val="left"/>
        <w:rPr/>
      </w:pPr>
      <w:r>
        <w:rPr>
          <w:rStyle w:val="OrgSrcFontLockBuiltinFace"/>
        </w:rPr>
        <w:t>print</w:t>
      </w:r>
      <w:r>
        <w:rPr/>
        <w:t>(f</w:t>
      </w:r>
      <w:r>
        <w:rPr>
          <w:rStyle w:val="OrgSrcFontLockStringFace"/>
        </w:rPr>
        <w:t xml:space="preserve">"34S/32S [4] = </w:t>
      </w:r>
      <w:r>
        <w:rPr/>
        <w:t>{S34[4]</w:t>
      </w:r>
      <w:r>
        <w:rPr>
          <w:rStyle w:val="OrgSrcFontLockOperatorFace"/>
        </w:rPr>
        <w:t>/</w:t>
      </w:r>
      <w:r>
        <w:rPr/>
        <w:t>S32[4]}</w:t>
      </w:r>
      <w:r>
        <w:rPr>
          <w:rStyle w:val="OrgSrcFontLockStringFace"/>
        </w:rPr>
        <w:t>"</w:t>
      </w:r>
      <w:r>
        <w:rPr/>
        <w:t>)</w:t>
      </w:r>
    </w:p>
    <w:p>
      <w:pPr>
        <w:pStyle w:val="BodyText"/>
        <w:bidi w:val="0"/>
        <w:spacing w:before="0" w:after="120"/>
        <w:jc w:val="left"/>
        <w:rPr/>
      </w:pPr>
      <w:r>
        <w:rPr/>
        <w:t xml:space="preserve">It is, therefore, customary to express the change in isotope ratio as a difference relative to a standard value. The unit of the delta notation is "per mil" which translates as "per thousand" (or 0.1 %) </w:t>
      </w:r>
    </w:p>
    <w:p>
      <w:pPr>
        <w:pStyle w:val="OrgFixedWidthBlock"/>
        <w:pBdr/>
        <w:shd w:fill="C0C0C0" w:val="clear"/>
        <w:bidi w:val="0"/>
        <w:jc w:val="left"/>
        <w:rPr/>
      </w:pPr>
      <w:r>
        <w:rPr/>
        <w:t>\begin{equation}</w:t>
      </w:r>
    </w:p>
    <w:p>
      <w:pPr>
        <w:pStyle w:val="OrgFixedWidthBlock"/>
        <w:pBdr/>
        <w:shd w:fill="C0C0C0" w:val="clear"/>
        <w:bidi w:val="0"/>
        <w:jc w:val="left"/>
        <w:rPr/>
      </w:pPr>
      <w:r>
        <w:rPr/>
        <w:t>\delta^{34}S = \left(</w:t>
      </w:r>
    </w:p>
    <w:p>
      <w:pPr>
        <w:pStyle w:val="OrgFixedWidthBlock"/>
        <w:pBdr/>
        <w:shd w:fill="C0C0C0" w:val="clear"/>
        <w:bidi w:val="0"/>
        <w:jc w:val="left"/>
        <w:rPr/>
      </w:pPr>
      <w:r>
        <w:rPr/>
        <w:t xml:space="preserve">      </w:t>
      </w:r>
      <w:r>
        <w:rPr/>
        <w:t>\frac{</w:t>
      </w:r>
    </w:p>
    <w:p>
      <w:pPr>
        <w:pStyle w:val="OrgFixedWidthBlock"/>
        <w:pBdr/>
        <w:shd w:fill="C0C0C0" w:val="clear"/>
        <w:bidi w:val="0"/>
        <w:jc w:val="left"/>
        <w:rPr/>
      </w:pPr>
      <w:r>
        <w:rPr/>
        <w:t xml:space="preserve">        </w:t>
      </w:r>
      <w:r>
        <w:rPr/>
        <w:t>\left(\frac{34S}{32S}\right) _{Sample}}</w:t>
      </w:r>
    </w:p>
    <w:p>
      <w:pPr>
        <w:pStyle w:val="OrgFixedWidthBlock"/>
        <w:pBdr/>
        <w:shd w:fill="C0C0C0" w:val="clear"/>
        <w:bidi w:val="0"/>
        <w:jc w:val="left"/>
        <w:rPr/>
      </w:pPr>
      <w:r>
        <w:rPr/>
        <w:t xml:space="preserve">      </w:t>
      </w:r>
      <w:r>
        <w:rPr/>
        <w:t>{</w:t>
      </w:r>
    </w:p>
    <w:p>
      <w:pPr>
        <w:pStyle w:val="OrgFixedWidthBlock"/>
        <w:pBdr/>
        <w:shd w:fill="C0C0C0" w:val="clear"/>
        <w:bidi w:val="0"/>
        <w:jc w:val="left"/>
        <w:rPr/>
      </w:pPr>
      <w:r>
        <w:rPr/>
        <w:t xml:space="preserve">        </w:t>
      </w:r>
      <w:r>
        <w:rPr/>
        <w:t>\left(\frac{34S}{32S}\right) _{VCDT}}</w:t>
      </w:r>
    </w:p>
    <w:p>
      <w:pPr>
        <w:pStyle w:val="OrgFixedWidthBlock"/>
        <w:pBdr/>
        <w:shd w:fill="C0C0C0" w:val="clear"/>
        <w:bidi w:val="0"/>
        <w:jc w:val="left"/>
        <w:rPr/>
      </w:pPr>
      <w:r>
        <w:rPr/>
        <w:t xml:space="preserve">      </w:t>
      </w:r>
      <w:r>
        <w:rPr/>
        <w:t>-1</w:t>
      </w:r>
    </w:p>
    <w:p>
      <w:pPr>
        <w:pStyle w:val="OrgFixedWidthBlock"/>
        <w:pBdr/>
        <w:shd w:fill="C0C0C0" w:val="clear"/>
        <w:bidi w:val="0"/>
        <w:jc w:val="left"/>
        <w:rPr/>
      </w:pPr>
      <w:r>
        <w:rPr/>
        <w:t xml:space="preserve">      </w:t>
      </w:r>
      <w:r>
        <w:rPr/>
        <w:t>\right) \times 1000 \quad [^0/_{00}]</w:t>
      </w:r>
    </w:p>
    <w:p>
      <w:pPr>
        <w:pStyle w:val="OrgFixedWidthBlockLastLine"/>
        <w:bidi w:val="0"/>
        <w:spacing w:before="0" w:after="119"/>
        <w:jc w:val="left"/>
        <w:rPr/>
      </w:pPr>
      <w:r>
        <w:rPr/>
        <w:t>\end{equation}</w:t>
      </w:r>
    </w:p>
    <w:p>
      <w:pPr>
        <w:pStyle w:val="OrgFixedWidthBlockLastLine"/>
        <w:bidi w:val="0"/>
        <w:spacing w:before="0" w:after="119"/>
        <w:jc w:val="left"/>
        <w:rPr/>
      </w:pPr>
      <w:r>
        <w:rPr/>
      </w:r>
    </w:p>
    <w:p>
      <w:pPr>
        <w:pStyle w:val="BodyText"/>
        <w:bidi w:val="0"/>
        <w:spacing w:before="0" w:after="120"/>
        <w:jc w:val="left"/>
        <w:rPr/>
      </w:pPr>
      <w:r>
        <w:rPr/>
        <w:t>For sulfur, the standard value is a meteorite, the Canyon Diabolo Troilite. Since this standard has long been depleted, we nowadays use a virtual value, the so-called "Vienna Canyon Diabolo Troilite" (VCDT). The reference ratio of  </w:t>
      </w:r>
      <w:r>
        <w:rPr>
          <w:rStyle w:val="OrgSuperscript"/>
        </w:rPr>
        <w:t>34</w:t>
      </w:r>
      <w:r>
        <w:rPr/>
        <w:t>S/</w:t>
      </w:r>
      <w:r>
        <w:rPr>
          <w:rStyle w:val="OrgSuperscript"/>
        </w:rPr>
        <w:t>32</w:t>
      </w:r>
      <w:r>
        <w:rPr/>
        <w:t xml:space="preserve">S for VCDT is </w:t>
      </w:r>
    </w:p>
    <w:p>
      <w:pPr>
        <w:pStyle w:val="OrgSrcBlockLastLine"/>
        <w:bidi w:val="0"/>
        <w:spacing w:before="0" w:after="119"/>
        <w:jc w:val="left"/>
        <w:rPr/>
      </w:pPr>
      <w:r>
        <w:rPr>
          <w:rStyle w:val="OrgSrcFontLockVariableNameFace"/>
        </w:rPr>
        <w:t>R</w:t>
      </w:r>
      <w:r>
        <w:rPr/>
        <w:t xml:space="preserve"> :</w:t>
      </w:r>
      <w:r>
        <w:rPr>
          <w:rStyle w:val="OrgSrcFontLockBuiltinFace"/>
        </w:rPr>
        <w:t>float</w:t>
      </w:r>
      <w:r>
        <w:rPr/>
        <w:t xml:space="preserve"> </w:t>
      </w:r>
      <w:r>
        <w:rPr>
          <w:rStyle w:val="OrgSrcFontLockOperatorFace"/>
        </w:rPr>
        <w:t>=</w:t>
      </w:r>
      <w:r>
        <w:rPr/>
        <w:t xml:space="preserve"> 0.044162589 </w:t>
      </w:r>
      <w:r>
        <w:rPr>
          <w:rStyle w:val="OrgSrcFontLockCommentDelimiterFace"/>
        </w:rPr>
        <w:t xml:space="preserve"># </w:t>
      </w:r>
      <w:r>
        <w:rPr>
          <w:rStyle w:val="OrgSrcFontLockCommentFace"/>
        </w:rPr>
        <w:t>Reference ratio of 34S/32S for VCDT</w:t>
      </w:r>
    </w:p>
    <w:p>
      <w:pPr>
        <w:pStyle w:val="Heading1"/>
        <w:bidi w:val="0"/>
        <w:ind w:hanging="0" w:left="0"/>
        <w:jc w:val="left"/>
        <w:rPr/>
      </w:pPr>
      <w:bookmarkStart w:id="10" w:name="OrgXref.org75b8baf"/>
      <w:bookmarkStart w:id="11" w:name="org75b8baf"/>
      <w:bookmarkEnd w:id="11"/>
      <w:r>
        <w:rPr/>
        <w:t xml:space="preserve">Question 1 </w:t>
      </w:r>
      <w:bookmarkEnd w:id="10"/>
    </w:p>
    <w:p>
      <w:pPr>
        <w:pStyle w:val="BodyText"/>
        <w:bidi w:val="0"/>
        <w:spacing w:before="0" w:after="120"/>
        <w:jc w:val="left"/>
        <w:rPr/>
      </w:pPr>
      <w:r>
        <w:rPr/>
        <w:t xml:space="preserve">Create a function that takes two numbers as arguments (say S32[i] &amp; S34[i]) and returns the respective delta value to the calling program. To keep the function universal, pass the reference ratio as the argument. So your function interface will look like this </w:t>
      </w:r>
    </w:p>
    <w:p>
      <w:pPr>
        <w:pStyle w:val="OrgSrcBlockLastLine"/>
        <w:bidi w:val="0"/>
        <w:spacing w:before="0" w:after="119"/>
        <w:jc w:val="left"/>
        <w:rPr/>
      </w:pPr>
      <w:r>
        <w:rPr>
          <w:rStyle w:val="OrgSrcFontLockKeywordFace"/>
        </w:rPr>
        <w:t>def</w:t>
      </w:r>
      <w:r>
        <w:rPr/>
        <w:t xml:space="preserve"> </w:t>
      </w:r>
      <w:r>
        <w:rPr>
          <w:rStyle w:val="OrgSrcFontLockFunctionNameFace"/>
        </w:rPr>
        <w:t>v2d</w:t>
      </w:r>
      <w:r>
        <w:rPr/>
        <w:t xml:space="preserve"> (s32 :</w:t>
      </w:r>
      <w:r>
        <w:rPr>
          <w:rStyle w:val="OrgSrcFontLockBuiltinFace"/>
        </w:rPr>
        <w:t>float</w:t>
      </w:r>
      <w:r>
        <w:rPr/>
        <w:t>, s34:</w:t>
      </w:r>
      <w:r>
        <w:rPr>
          <w:rStyle w:val="OrgSrcFontLockBuiltinFace"/>
        </w:rPr>
        <w:t>float</w:t>
      </w:r>
      <w:r>
        <w:rPr/>
        <w:t>, R:</w:t>
      </w:r>
      <w:r>
        <w:rPr>
          <w:rStyle w:val="OrgSrcFontLockBuiltinFace"/>
        </w:rPr>
        <w:t>float</w:t>
      </w:r>
      <w:r>
        <w:rPr/>
        <w:t xml:space="preserve">) </w:t>
      </w:r>
      <w:r>
        <w:rPr>
          <w:rStyle w:val="OrgSrcFontLockOperatorFace"/>
        </w:rPr>
        <w:t>-&gt;</w:t>
      </w:r>
      <w:r>
        <w:rPr/>
        <w:t xml:space="preserve"> </w:t>
      </w:r>
      <w:r>
        <w:rPr>
          <w:rStyle w:val="OrgSrcFontLockBuiltinFace"/>
        </w:rPr>
        <w:t>float</w:t>
      </w:r>
      <w:r>
        <w:rPr/>
        <w:t>:</w:t>
      </w:r>
    </w:p>
    <w:p>
      <w:pPr>
        <w:pStyle w:val="BodyText"/>
        <w:bidi w:val="0"/>
        <w:spacing w:before="0" w:after="120"/>
        <w:jc w:val="left"/>
        <w:rPr/>
      </w:pPr>
      <w:r>
        <w:rPr>
          <w:rStyle w:val="Bold"/>
        </w:rPr>
        <w:t xml:space="preserve">Note, that the above implies that </w:t>
      </w:r>
      <w:r>
        <w:rPr>
          <w:rStyle w:val="OrgCode"/>
        </w:rPr>
        <w:t>s32</w:t>
      </w:r>
      <w:r>
        <w:rPr>
          <w:rStyle w:val="Bold"/>
        </w:rPr>
        <w:t xml:space="preserve"> and </w:t>
      </w:r>
      <w:r>
        <w:rPr>
          <w:rStyle w:val="OrgCode"/>
        </w:rPr>
        <w:t>s34</w:t>
      </w:r>
      <w:r>
        <w:rPr>
          <w:rStyle w:val="Bold"/>
        </w:rPr>
        <w:t xml:space="preserve"> are single</w:t>
      </w:r>
      <w:r>
        <w:rPr/>
        <w:t xml:space="preserve"> </w:t>
      </w:r>
      <w:r>
        <w:rPr>
          <w:rStyle w:val="Bold"/>
        </w:rPr>
        <w:t>values, rather than a list.</w:t>
      </w:r>
      <w:r>
        <w:rPr/>
        <w:t xml:space="preserve"> We will explore passing a list later. </w:t>
      </w:r>
    </w:p>
    <w:p>
      <w:pPr>
        <w:pStyle w:val="BodyText"/>
        <w:bidi w:val="0"/>
        <w:spacing w:before="0" w:after="120"/>
        <w:jc w:val="left"/>
        <w:rPr/>
      </w:pPr>
      <w:r>
        <w:rPr/>
        <w:t xml:space="preserve">Write this function (including doc-strings) and embed it into a loop that iterates over each element of </w:t>
      </w:r>
      <w:r>
        <w:rPr>
          <w:rStyle w:val="OrgCode"/>
        </w:rPr>
        <w:t>S32</w:t>
      </w:r>
      <w:r>
        <w:rPr/>
        <w:t xml:space="preserve"> and </w:t>
      </w:r>
      <w:r>
        <w:rPr>
          <w:rStyle w:val="OrgCode"/>
        </w:rPr>
        <w:t>S34</w:t>
      </w:r>
      <w:r>
        <w:rPr/>
        <w:t xml:space="preserve"> and then calls </w:t>
      </w:r>
      <w:r>
        <w:rPr>
          <w:rStyle w:val="OrgCode"/>
        </w:rPr>
        <w:t>v2d</w:t>
      </w:r>
      <w:r>
        <w:rPr/>
        <w:t xml:space="preserve"> for each isotope pair. Store the returned delta values in the new list </w:t>
      </w:r>
      <w:r>
        <w:rPr>
          <w:rStyle w:val="OrgCode"/>
        </w:rPr>
        <w:t>delta</w:t>
      </w:r>
      <w:r>
        <w:rPr/>
        <w:t xml:space="preserve">. Print the resulting values using this template before starting the next iteration. </w:t>
      </w:r>
    </w:p>
    <w:p>
      <w:pPr>
        <w:pStyle w:val="OrgFixedWidthBlockLastLine"/>
        <w:bidi w:val="0"/>
        <w:spacing w:before="0" w:after="119"/>
        <w:jc w:val="left"/>
        <w:rPr/>
      </w:pPr>
      <w:r>
        <w:rPr/>
        <w:t>S34 = and  S32= yield a delta value of = XX.XX permil</w:t>
      </w:r>
    </w:p>
    <w:p>
      <w:pPr>
        <w:pStyle w:val="BodyText"/>
        <w:bidi w:val="0"/>
        <w:spacing w:before="0" w:after="120"/>
        <w:jc w:val="left"/>
        <w:rPr/>
      </w:pPr>
      <w:r>
        <w:rPr/>
        <w:t xml:space="preserve">Note the explicit print format for delta. Also, remember that the print statement should be in your main code, not inside your function! </w:t>
      </w:r>
    </w:p>
    <w:p>
      <w:pPr>
        <w:pStyle w:val="BodyText"/>
        <w:bidi w:val="0"/>
        <w:spacing w:before="0" w:after="120"/>
        <w:jc w:val="left"/>
        <w:rPr/>
      </w:pPr>
      <w:r>
        <w:rPr/>
        <w:t xml:space="preserve">To solve this assignment, you will have to create a new (and empty) list, and then append the results to this list. The following code snippet will be helpful for this. See the previous module on lists if you do not recall how to append data onto a list </w:t>
      </w:r>
    </w:p>
    <w:p>
      <w:pPr>
        <w:pStyle w:val="OrgSrcBlock"/>
        <w:pBdr>
          <w:top w:val="single" w:sz="4" w:space="1" w:color="000000"/>
          <w:left w:val="single" w:sz="4" w:space="1" w:color="000000"/>
          <w:bottom w:val="single" w:sz="4" w:space="1" w:color="000000"/>
          <w:right w:val="single" w:sz="4" w:space="1" w:color="000000"/>
        </w:pBdr>
        <w:shd w:fill="FFFFFF" w:val="clear"/>
        <w:bidi w:val="0"/>
        <w:jc w:val="left"/>
        <w:rPr/>
      </w:pPr>
      <w:r>
        <w:rPr>
          <w:rStyle w:val="OrgSrcFontLockVariableNameFace"/>
        </w:rPr>
        <w:t>delta</w:t>
      </w:r>
      <w:r>
        <w:rPr/>
        <w:t xml:space="preserve">: </w:t>
      </w:r>
      <w:r>
        <w:rPr>
          <w:rStyle w:val="OrgSrcFontLockBuiltinFace"/>
        </w:rPr>
        <w:t>list</w:t>
      </w:r>
      <w:r>
        <w:rPr/>
        <w:t xml:space="preserve"> </w:t>
      </w:r>
      <w:r>
        <w:rPr>
          <w:rStyle w:val="OrgSrcFontLockOperatorFace"/>
        </w:rPr>
        <w:t>=</w:t>
      </w:r>
      <w:r>
        <w:rPr/>
        <w:t xml:space="preserve"> [] </w:t>
      </w:r>
      <w:r>
        <w:rPr>
          <w:rStyle w:val="OrgSrcFontLockCommentDelimiterFace"/>
        </w:rPr>
        <w:t xml:space="preserve"># </w:t>
      </w:r>
      <w:r>
        <w:rPr>
          <w:rStyle w:val="OrgSrcFontLockCommentFace"/>
        </w:rPr>
        <w:t>this will create an empty list</w:t>
      </w:r>
    </w:p>
    <w:p>
      <w:pPr>
        <w:pStyle w:val="OrgSrcBlockLastLine"/>
        <w:bidi w:val="0"/>
        <w:spacing w:before="0" w:after="119"/>
        <w:jc w:val="left"/>
        <w:rPr/>
      </w:pPr>
      <w:r>
        <w:rPr>
          <w:rStyle w:val="OrgSrcFontLockVariableNameFace"/>
        </w:rPr>
        <w:t>delta</w:t>
      </w:r>
      <w:r>
        <w:rPr/>
        <w:t xml:space="preserve">: </w:t>
      </w:r>
      <w:r>
        <w:rPr>
          <w:rStyle w:val="OrgSrcFontLockBuiltinFace"/>
        </w:rPr>
        <w:t>list</w:t>
      </w:r>
      <w:r>
        <w:rPr/>
        <w:t xml:space="preserve"> </w:t>
      </w:r>
      <w:r>
        <w:rPr>
          <w:rStyle w:val="OrgSrcFontLockOperatorFace"/>
        </w:rPr>
        <w:t>=</w:t>
      </w:r>
      <w:r>
        <w:rPr/>
        <w:t xml:space="preserve"> </w:t>
      </w:r>
      <w:r>
        <w:rPr>
          <w:rStyle w:val="OrgSrcFontLockBuiltinFace"/>
        </w:rPr>
        <w:t>list</w:t>
      </w:r>
      <w:r>
        <w:rPr/>
        <w:t xml:space="preserve">() </w:t>
      </w:r>
      <w:r>
        <w:rPr>
          <w:rStyle w:val="OrgSrcFontLockCommentDelimiterFace"/>
        </w:rPr>
        <w:t xml:space="preserve"># </w:t>
      </w:r>
      <w:r>
        <w:rPr>
          <w:rStyle w:val="OrgSrcFontLockCommentFace"/>
        </w:rPr>
        <w:t>this will do the same</w:t>
      </w:r>
    </w:p>
    <w:p>
      <w:pPr>
        <w:pStyle w:val="BodyText"/>
        <w:bidi w:val="0"/>
        <w:spacing w:before="0" w:after="120"/>
        <w:jc w:val="left"/>
        <w:rPr/>
      </w:pPr>
      <w:r>
        <w:rPr/>
        <w:t xml:space="preserve">The goal of this exercise is to make you think about the function arguments, how to use multiple arguments, and how to go from an equation to a function. Remember the tips from the last module: Keep it simple, test individually, and use a test case with only a few values. </w:t>
      </w:r>
    </w:p>
    <w:p>
      <w:pPr>
        <w:pStyle w:val="BodyText"/>
        <w:bidi w:val="0"/>
        <w:spacing w:before="0" w:after="120"/>
        <w:jc w:val="left"/>
        <w:rPr/>
      </w:pPr>
      <w:r>
        <w:rPr/>
        <w:t xml:space="preserve">Before you go ahead and start coding consider the following: </w:t>
      </w:r>
    </w:p>
    <w:p>
      <w:pPr>
        <w:pStyle w:val="BodyText"/>
        <w:numPr>
          <w:ilvl w:val="0"/>
          <w:numId w:val="9"/>
        </w:numPr>
        <w:tabs>
          <w:tab w:val="clear" w:pos="709"/>
          <w:tab w:val="left" w:pos="720" w:leader="none"/>
        </w:tabs>
        <w:bidi w:val="0"/>
        <w:ind w:hanging="360" w:left="720"/>
        <w:jc w:val="left"/>
        <w:rPr/>
      </w:pPr>
      <w:r>
        <w:rPr/>
        <w:t xml:space="preserve">Does the assignment ask to pass the list to the function, or an individual value? Look at the type hints in the above function definition. </w:t>
      </w:r>
    </w:p>
    <w:p>
      <w:pPr>
        <w:pStyle w:val="BodyText"/>
        <w:numPr>
          <w:ilvl w:val="0"/>
          <w:numId w:val="8"/>
        </w:numPr>
        <w:tabs>
          <w:tab w:val="clear" w:pos="709"/>
          <w:tab w:val="left" w:pos="720" w:leader="none"/>
        </w:tabs>
        <w:bidi w:val="0"/>
        <w:ind w:hanging="360" w:left="720"/>
        <w:jc w:val="left"/>
        <w:rPr/>
      </w:pPr>
      <w:r>
        <w:rPr/>
        <w:t xml:space="preserve">What steps do you need to take to solve this assignment? Write this down without worrying about how to do this in python. Your notes could look like this: </w:t>
      </w:r>
    </w:p>
    <w:p>
      <w:pPr>
        <w:pStyle w:val="BodyText"/>
        <w:numPr>
          <w:ilvl w:val="1"/>
          <w:numId w:val="8"/>
        </w:numPr>
        <w:tabs>
          <w:tab w:val="clear" w:pos="709"/>
          <w:tab w:val="left" w:pos="1080" w:leader="none"/>
        </w:tabs>
        <w:bidi w:val="0"/>
        <w:ind w:hanging="360" w:left="1080"/>
        <w:jc w:val="left"/>
        <w:rPr/>
      </w:pPr>
      <w:r>
        <w:rPr/>
        <w:t xml:space="preserve">Define v2d and test that values are computed as intended </w:t>
      </w:r>
    </w:p>
    <w:p>
      <w:pPr>
        <w:pStyle w:val="BodyText"/>
        <w:numPr>
          <w:ilvl w:val="1"/>
          <w:numId w:val="8"/>
        </w:numPr>
        <w:tabs>
          <w:tab w:val="clear" w:pos="709"/>
          <w:tab w:val="left" w:pos="1080" w:leader="none"/>
        </w:tabs>
        <w:bidi w:val="0"/>
        <w:ind w:hanging="360" w:left="1080"/>
        <w:jc w:val="left"/>
        <w:rPr/>
      </w:pPr>
      <w:r>
        <w:rPr/>
        <w:t xml:space="preserve">Declare an empty list that will hold the results </w:t>
      </w:r>
    </w:p>
    <w:p>
      <w:pPr>
        <w:pStyle w:val="BodyText"/>
        <w:numPr>
          <w:ilvl w:val="1"/>
          <w:numId w:val="8"/>
        </w:numPr>
        <w:tabs>
          <w:tab w:val="clear" w:pos="709"/>
          <w:tab w:val="left" w:pos="1080" w:leader="none"/>
        </w:tabs>
        <w:bidi w:val="0"/>
        <w:ind w:hanging="360" w:left="1080"/>
        <w:jc w:val="left"/>
        <w:rPr/>
      </w:pPr>
      <w:r>
        <w:rPr/>
        <w:t xml:space="preserve">Loop over all list elements </w:t>
      </w:r>
    </w:p>
    <w:p>
      <w:pPr>
        <w:pStyle w:val="BodyText"/>
        <w:numPr>
          <w:ilvl w:val="2"/>
          <w:numId w:val="8"/>
        </w:numPr>
        <w:tabs>
          <w:tab w:val="clear" w:pos="709"/>
          <w:tab w:val="left" w:pos="1440" w:leader="none"/>
        </w:tabs>
        <w:bidi w:val="0"/>
        <w:ind w:hanging="360" w:left="1440"/>
        <w:jc w:val="left"/>
        <w:rPr/>
      </w:pPr>
      <w:r>
        <w:rPr/>
        <w:t xml:space="preserve">Access the individual list elements by index </w:t>
      </w:r>
    </w:p>
    <w:p>
      <w:pPr>
        <w:pStyle w:val="BodyText"/>
        <w:numPr>
          <w:ilvl w:val="2"/>
          <w:numId w:val="8"/>
        </w:numPr>
        <w:tabs>
          <w:tab w:val="clear" w:pos="709"/>
          <w:tab w:val="left" w:pos="1440" w:leader="none"/>
        </w:tabs>
        <w:bidi w:val="0"/>
        <w:ind w:hanging="360" w:left="1440"/>
        <w:jc w:val="left"/>
        <w:rPr/>
      </w:pPr>
      <w:r>
        <w:rPr/>
        <w:t xml:space="preserve">Call </w:t>
      </w:r>
      <w:r>
        <w:rPr>
          <w:rStyle w:val="OrgCode"/>
        </w:rPr>
        <w:t>v2d(list1[i],list2[i])</w:t>
      </w:r>
      <w:r>
        <w:rPr/>
        <w:t xml:space="preserve"> for each list element </w:t>
      </w:r>
    </w:p>
    <w:p>
      <w:pPr>
        <w:pStyle w:val="BodyText"/>
        <w:numPr>
          <w:ilvl w:val="2"/>
          <w:numId w:val="8"/>
        </w:numPr>
        <w:tabs>
          <w:tab w:val="clear" w:pos="709"/>
          <w:tab w:val="left" w:pos="1440" w:leader="none"/>
        </w:tabs>
        <w:bidi w:val="0"/>
        <w:ind w:hanging="360" w:left="1440"/>
        <w:jc w:val="left"/>
        <w:rPr/>
      </w:pPr>
      <w:r>
        <w:rPr/>
        <w:t xml:space="preserve">append the result to the empty list created above </w:t>
      </w:r>
    </w:p>
    <w:p>
      <w:pPr>
        <w:pStyle w:val="BodyText"/>
        <w:bidi w:val="0"/>
        <w:spacing w:before="0" w:after="120"/>
        <w:jc w:val="left"/>
        <w:rPr/>
      </w:pPr>
      <w:r>
        <w:rPr/>
        <w:t xml:space="preserve">Each of the techniques has been used before. If need be, make good use of the textbook, and test each step before going to the next one. Some delta values will be minimal (basically zero), but most should be around 18 to 22 permil. </w:t>
      </w:r>
    </w:p>
    <w:p>
      <w:pPr>
        <w:pStyle w:val="Heading1"/>
        <w:bidi w:val="0"/>
        <w:ind w:hanging="0" w:left="0"/>
        <w:jc w:val="left"/>
        <w:rPr/>
      </w:pPr>
      <w:bookmarkStart w:id="12" w:name="OrgXref.org724e391"/>
      <w:bookmarkStart w:id="13" w:name="org724e391"/>
      <w:bookmarkEnd w:id="13"/>
      <w:r>
        <w:rPr/>
        <w:t xml:space="preserve">Question 2 </w:t>
      </w:r>
      <w:bookmarkEnd w:id="12"/>
    </w:p>
    <w:p>
      <w:pPr>
        <w:pStyle w:val="BodyText"/>
        <w:bidi w:val="0"/>
        <w:spacing w:before="0" w:after="120"/>
        <w:jc w:val="left"/>
        <w:rPr/>
      </w:pPr>
      <w:r>
        <w:rPr/>
        <w:t xml:space="preserve">We can invert the above equation and calculate the respective isotope concentrations from the delta value we stored in </w:t>
      </w:r>
      <w:r>
        <w:rPr>
          <w:rStyle w:val="OrgCode"/>
        </w:rPr>
        <w:t>delta</w:t>
      </w:r>
      <w:r>
        <w:rPr/>
        <w:t xml:space="preserve"> (lets call this function d2i). To keep the function universal, I will call the respective isotopes simply </w:t>
      </w:r>
      <w:r>
        <w:rPr>
          <w:rStyle w:val="OrgCode"/>
        </w:rPr>
        <w:t>li</w:t>
      </w:r>
      <w:r>
        <w:rPr/>
        <w:t xml:space="preserve"> for 'light isotope' and </w:t>
      </w:r>
      <w:r>
        <w:rPr>
          <w:rStyle w:val="OrgCode"/>
        </w:rPr>
        <w:t>hi</w:t>
      </w:r>
      <w:r>
        <w:rPr/>
        <w:t xml:space="preserve"> for 'heavy isotope' </w:t>
      </w:r>
    </w:p>
    <w:p>
      <w:pPr>
        <w:pStyle w:val="OrgFixedWidthBlock"/>
        <w:pBdr/>
        <w:shd w:fill="C0C0C0" w:val="clear"/>
        <w:bidi w:val="0"/>
        <w:jc w:val="left"/>
        <w:rPr/>
      </w:pPr>
      <w:r>
        <w:rPr/>
        <w:t>\begin{equation}</w:t>
      </w:r>
    </w:p>
    <w:p>
      <w:pPr>
        <w:pStyle w:val="OrgFixedWidthBlock"/>
        <w:pBdr/>
        <w:shd w:fill="C0C0C0" w:val="clear"/>
        <w:bidi w:val="0"/>
        <w:jc w:val="left"/>
        <w:rPr/>
      </w:pPr>
      <w:r>
        <w:rPr/>
        <w:t xml:space="preserve">   </w:t>
      </w:r>
      <w:r>
        <w:rPr/>
        <w:t>li = \frac{1000}{(\delta +1000) \times R + 1000}</w:t>
      </w:r>
    </w:p>
    <w:p>
      <w:pPr>
        <w:pStyle w:val="OrgFixedWidthBlockLastLine"/>
        <w:bidi w:val="0"/>
        <w:spacing w:before="0" w:after="119"/>
        <w:jc w:val="left"/>
        <w:rPr/>
      </w:pPr>
      <w:r>
        <w:rPr/>
        <w:t>\end{equation}</w:t>
      </w:r>
    </w:p>
    <w:p>
      <w:pPr>
        <w:pStyle w:val="OrgFixedWidthBlockLastLine"/>
        <w:bidi w:val="0"/>
        <w:spacing w:before="0" w:after="119"/>
        <w:jc w:val="left"/>
        <w:rPr/>
      </w:pPr>
      <w:r>
        <w:rPr/>
      </w:r>
    </w:p>
    <w:p>
      <w:pPr>
        <w:pStyle w:val="OrgFixedWidthBlock"/>
        <w:pBdr/>
        <w:shd w:fill="C0C0C0" w:val="clear"/>
        <w:bidi w:val="0"/>
        <w:jc w:val="left"/>
        <w:rPr/>
      </w:pPr>
      <w:r>
        <w:rPr/>
        <w:t>\begin{equation}</w:t>
      </w:r>
    </w:p>
    <w:p>
      <w:pPr>
        <w:pStyle w:val="OrgFixedWidthBlock"/>
        <w:pBdr/>
        <w:shd w:fill="C0C0C0" w:val="clear"/>
        <w:bidi w:val="0"/>
        <w:jc w:val="left"/>
        <w:rPr/>
      </w:pPr>
      <w:r>
        <w:rPr/>
        <w:t xml:space="preserve">   </w:t>
      </w:r>
      <w:r>
        <w:rPr/>
        <w:t xml:space="preserve">hi = \frac{(\delta + 1000) \times R}{(\delta + 1000) \times R + 1000}        </w:t>
      </w:r>
    </w:p>
    <w:p>
      <w:pPr>
        <w:pStyle w:val="OrgFixedWidthBlockLastLine"/>
        <w:bidi w:val="0"/>
        <w:spacing w:before="0" w:after="119"/>
        <w:jc w:val="left"/>
        <w:rPr/>
      </w:pPr>
      <w:r>
        <w:rPr/>
        <w:t>\end{equation}</w:t>
      </w:r>
    </w:p>
    <w:p>
      <w:pPr>
        <w:pStyle w:val="OrgFixedWidthBlockLastLine"/>
        <w:bidi w:val="0"/>
        <w:spacing w:before="0" w:after="119"/>
        <w:jc w:val="left"/>
        <w:rPr/>
      </w:pPr>
      <w:r>
        <w:rPr/>
      </w:r>
    </w:p>
    <w:p>
      <w:pPr>
        <w:pStyle w:val="BodyText"/>
        <w:bidi w:val="0"/>
        <w:spacing w:before="0" w:after="120"/>
        <w:jc w:val="left"/>
        <w:rPr/>
      </w:pPr>
      <w:r>
        <w:rPr/>
        <w:t xml:space="preserve">write a function that will take a delta value and returns the light and heavy isotope values. Then write some code that will use a loop to iterate over each delta value in the </w:t>
      </w:r>
      <w:r>
        <w:rPr>
          <w:rStyle w:val="OrgCode"/>
        </w:rPr>
        <w:t>delta</w:t>
      </w:r>
      <w:r>
        <w:rPr/>
        <w:t xml:space="preserve"> list and call your function to compute the light and heavy isotopes. Store the returned values in the new lists </w:t>
      </w:r>
      <w:r>
        <w:rPr>
          <w:rStyle w:val="OrgCode"/>
        </w:rPr>
        <w:t>S32_new</w:t>
      </w:r>
      <w:r>
        <w:rPr/>
        <w:t xml:space="preserve"> and </w:t>
      </w:r>
      <w:r>
        <w:rPr>
          <w:rStyle w:val="OrgCode"/>
        </w:rPr>
        <w:t>S34_new</w:t>
      </w:r>
      <w:r>
        <w:rPr/>
        <w:t xml:space="preserve">. </w:t>
      </w:r>
    </w:p>
    <w:p>
      <w:pPr>
        <w:pStyle w:val="BodyText"/>
        <w:bidi w:val="0"/>
        <w:spacing w:before="0" w:after="120"/>
        <w:jc w:val="left"/>
        <w:rPr/>
      </w:pPr>
      <w:r>
        <w:rPr/>
        <w:t xml:space="preserve">Note that you should use a single function that returns both values. If need be, review the intro module. </w:t>
      </w:r>
    </w:p>
    <w:p>
      <w:pPr>
        <w:pStyle w:val="Heading1"/>
        <w:bidi w:val="0"/>
        <w:ind w:hanging="0" w:left="0"/>
        <w:jc w:val="left"/>
        <w:rPr/>
      </w:pPr>
      <w:bookmarkStart w:id="14" w:name="OrgXref.org262acd2"/>
      <w:bookmarkStart w:id="15" w:name="org262acd2"/>
      <w:bookmarkEnd w:id="15"/>
      <w:r>
        <w:rPr/>
        <w:t xml:space="preserve">Question 3 </w:t>
      </w:r>
      <w:bookmarkEnd w:id="14"/>
    </w:p>
    <w:p>
      <w:pPr>
        <w:pStyle w:val="BodyText"/>
        <w:bidi w:val="0"/>
        <w:spacing w:before="0" w:after="120"/>
        <w:jc w:val="left"/>
        <w:rPr/>
      </w:pPr>
      <w:r>
        <w:rPr/>
        <w:t xml:space="preserve">Use a single loop to compute the element-by-element difference between </w:t>
      </w:r>
      <w:r>
        <w:rPr>
          <w:rStyle w:val="OrgCode"/>
        </w:rPr>
        <w:t>S32</w:t>
      </w:r>
      <w:r>
        <w:rPr/>
        <w:t xml:space="preserve"> and </w:t>
      </w:r>
      <w:r>
        <w:rPr>
          <w:rStyle w:val="OrgCode"/>
        </w:rPr>
        <w:t>S32_new</w:t>
      </w:r>
      <w:r>
        <w:rPr/>
        <w:t xml:space="preserve">. Within the same loop, do the same for </w:t>
      </w:r>
      <w:r>
        <w:rPr>
          <w:rStyle w:val="OrgCode"/>
        </w:rPr>
        <w:t>S34</w:t>
      </w:r>
      <w:r>
        <w:rPr/>
        <w:t xml:space="preserve"> and </w:t>
      </w:r>
      <w:r>
        <w:rPr>
          <w:rStyle w:val="OrgCode"/>
        </w:rPr>
        <w:t>S34_new</w:t>
      </w:r>
      <w:r>
        <w:rPr/>
        <w:t xml:space="preserve">. Add the difference to </w:t>
      </w:r>
      <w:r>
        <w:rPr>
          <w:rStyle w:val="OrgCode"/>
        </w:rPr>
        <w:t>errS32</w:t>
      </w:r>
      <w:r>
        <w:rPr/>
        <w:t xml:space="preserve"> (</w:t>
      </w:r>
      <w:r>
        <w:rPr>
          <w:rStyle w:val="OrgCode"/>
        </w:rPr>
        <w:t>errS34</w:t>
      </w:r>
      <w:r>
        <w:rPr/>
        <w:t xml:space="preserve"> respectively) to calculate the total accumulated error. </w:t>
      </w:r>
    </w:p>
    <w:p>
      <w:pPr>
        <w:pStyle w:val="OrgFixedWidthBlock"/>
        <w:pBdr/>
        <w:shd w:fill="C0C0C0" w:val="clear"/>
        <w:bidi w:val="0"/>
        <w:jc w:val="left"/>
        <w:rPr/>
      </w:pPr>
      <w:r>
        <w:rPr/>
        <w:t>\begin{equation}</w:t>
      </w:r>
    </w:p>
    <w:p>
      <w:pPr>
        <w:pStyle w:val="OrgFixedWidthBlock"/>
        <w:pBdr/>
        <w:shd w:fill="C0C0C0" w:val="clear"/>
        <w:bidi w:val="0"/>
        <w:jc w:val="left"/>
        <w:rPr/>
      </w:pPr>
      <w:r>
        <w:rPr/>
        <w:t xml:space="preserve">   </w:t>
      </w:r>
      <w:r>
        <w:rPr/>
        <w:t>err_{S32} =   \sum_{0}^{n}  S32(i)-S32_{new}(i)</w:t>
      </w:r>
    </w:p>
    <w:p>
      <w:pPr>
        <w:pStyle w:val="OrgFixedWidthBlockLastLine"/>
        <w:bidi w:val="0"/>
        <w:spacing w:before="0" w:after="119"/>
        <w:jc w:val="left"/>
        <w:rPr/>
      </w:pPr>
      <w:r>
        <w:rPr/>
        <w:t>\end{equation}</w:t>
      </w:r>
    </w:p>
    <w:p>
      <w:pPr>
        <w:pStyle w:val="OrgFixedWidthBlockLastLine"/>
        <w:bidi w:val="0"/>
        <w:spacing w:before="0" w:after="119"/>
        <w:jc w:val="left"/>
        <w:rPr/>
      </w:pPr>
      <w:r>
        <w:rPr/>
      </w:r>
    </w:p>
    <w:p>
      <w:pPr>
        <w:pStyle w:val="BodyText"/>
        <w:bidi w:val="0"/>
        <w:spacing w:before="0" w:after="120"/>
        <w:jc w:val="left"/>
        <w:rPr/>
      </w:pPr>
      <w:r>
        <w:rPr/>
        <w:t xml:space="preserve">where n denotes the number of elements in </w:t>
      </w:r>
      <w:r>
        <w:rPr>
          <w:rStyle w:val="OrgCode"/>
        </w:rPr>
        <w:t>S32</w:t>
      </w:r>
      <w:r>
        <w:rPr/>
        <w:t>. Your total error should be a small number (i.e., 1</w:t>
      </w:r>
      <w:r>
        <w:rPr>
          <w:rStyle w:val="OrgSuperscript"/>
        </w:rPr>
        <w:t>-16</w:t>
      </w:r>
      <w:r>
        <w:rPr/>
        <w:t xml:space="preserve"> etc.). </w:t>
      </w:r>
    </w:p>
    <w:p>
      <w:pPr>
        <w:pStyle w:val="Heading1"/>
        <w:bidi w:val="0"/>
        <w:ind w:hanging="0" w:left="0"/>
        <w:jc w:val="left"/>
        <w:rPr/>
      </w:pPr>
      <w:bookmarkStart w:id="16" w:name="OrgXref.org60a16ff"/>
      <w:bookmarkStart w:id="17" w:name="org60a16ff"/>
      <w:bookmarkEnd w:id="17"/>
      <w:r>
        <w:rPr/>
        <w:t xml:space="preserve">Marking Scheme </w:t>
      </w:r>
      <w:bookmarkEnd w:id="16"/>
    </w:p>
    <w:p>
      <w:pPr>
        <w:pStyle w:val="BodyText"/>
        <w:numPr>
          <w:ilvl w:val="0"/>
          <w:numId w:val="11"/>
        </w:numPr>
        <w:tabs>
          <w:tab w:val="clear" w:pos="709"/>
          <w:tab w:val="left" w:pos="720" w:leader="none"/>
        </w:tabs>
        <w:bidi w:val="0"/>
        <w:ind w:hanging="360" w:left="720"/>
        <w:jc w:val="left"/>
        <w:rPr/>
      </w:pPr>
      <w:r>
        <w:rPr/>
        <w:t xml:space="preserve">Your code uses the correctly defined functions (docstrings, and type-hinting, parameters) 2 * 3 = 6 pts </w:t>
      </w:r>
    </w:p>
    <w:p>
      <w:pPr>
        <w:pStyle w:val="BodyText"/>
        <w:numPr>
          <w:ilvl w:val="0"/>
          <w:numId w:val="10"/>
        </w:numPr>
        <w:tabs>
          <w:tab w:val="clear" w:pos="709"/>
          <w:tab w:val="left" w:pos="720" w:leader="none"/>
        </w:tabs>
        <w:bidi w:val="0"/>
        <w:ind w:hanging="360" w:left="720"/>
        <w:jc w:val="left"/>
        <w:rPr/>
      </w:pPr>
      <w:r>
        <w:rPr/>
        <w:t xml:space="preserve">Your code calculates the requested quantities 3 * 2 = 6 pts. </w:t>
      </w:r>
    </w:p>
    <w:p>
      <w:pPr>
        <w:pStyle w:val="BodyText"/>
        <w:bidi w:val="0"/>
        <w:spacing w:before="0" w:after="120"/>
        <w:jc w:val="left"/>
        <w:rPr/>
      </w:pPr>
      <w:r>
        <w:rPr/>
        <w:t xml:space="preserve">Total: 12 points </w:t>
      </w:r>
    </w:p>
    <w:p>
      <w:pPr>
        <w:pStyle w:val="BodyText"/>
        <w:bidi w:val="0"/>
        <w:spacing w:before="0" w:after="120"/>
        <w:jc w:val="left"/>
        <w:rPr/>
      </w:pPr>
      <w:r>
        <w:rPr/>
        <w:t xml:space="preserve">Create a new (or copy and existing) notebook in your </w:t>
      </w:r>
      <w:r>
        <w:rPr>
          <w:rStyle w:val="OrgCode"/>
        </w:rPr>
        <w:t>submissions</w:t>
      </w:r>
      <w:r>
        <w:rPr/>
        <w:t xml:space="preserve"> folder before editing it. Otherwise, your edits may be overwritten the next time you log into syzygy. Please name your copy "Assignment-Name-FirstName-LastName": </w:t>
      </w:r>
    </w:p>
    <w:p>
      <w:pPr>
        <w:pStyle w:val="BodyText"/>
        <w:numPr>
          <w:ilvl w:val="0"/>
          <w:numId w:val="13"/>
        </w:numPr>
        <w:tabs>
          <w:tab w:val="clear" w:pos="709"/>
          <w:tab w:val="left" w:pos="720" w:leader="none"/>
        </w:tabs>
        <w:bidi w:val="0"/>
        <w:ind w:hanging="360" w:left="720"/>
        <w:jc w:val="left"/>
        <w:rPr/>
      </w:pPr>
      <w:r>
        <w:rPr/>
        <w:t xml:space="preserve">Replace the </w:t>
      </w:r>
      <w:r>
        <w:rPr>
          <w:rStyle w:val="OrgCode"/>
        </w:rPr>
        <w:t>Assignment-Name</w:t>
      </w:r>
      <w:r>
        <w:rPr/>
        <w:t xml:space="preserve"> with the name of the assignment (i.e., the filename of the respective Jupyter Notebook) </w:t>
      </w:r>
    </w:p>
    <w:p>
      <w:pPr>
        <w:pStyle w:val="BodyText"/>
        <w:numPr>
          <w:ilvl w:val="0"/>
          <w:numId w:val="12"/>
        </w:numPr>
        <w:tabs>
          <w:tab w:val="clear" w:pos="709"/>
          <w:tab w:val="left" w:pos="720" w:leader="none"/>
        </w:tabs>
        <w:bidi w:val="0"/>
        <w:ind w:hanging="360" w:left="720"/>
        <w:jc w:val="left"/>
        <w:rPr/>
      </w:pPr>
      <w:r>
        <w:rPr>
          <w:rStyle w:val="OrgCode"/>
        </w:rPr>
        <w:t>FirstName-Last-Name</w:t>
      </w:r>
      <w:r>
        <w:rPr/>
        <w:t xml:space="preserve"> with your own name. </w:t>
      </w:r>
    </w:p>
    <w:p>
      <w:pPr>
        <w:pStyle w:val="BodyText"/>
        <w:bidi w:val="0"/>
        <w:spacing w:before="0" w:after="120"/>
        <w:jc w:val="left"/>
        <w:rPr/>
      </w:pPr>
      <w:r>
        <w:rPr/>
        <w:t xml:space="preserve">Note: If the notebook contains images, you must also copy the image files! </w:t>
      </w:r>
    </w:p>
    <w:p>
      <w:pPr>
        <w:pStyle w:val="BodyText"/>
        <w:bidi w:val="0"/>
        <w:spacing w:before="0" w:after="120"/>
        <w:jc w:val="left"/>
        <w:rPr/>
      </w:pPr>
      <w:r>
        <w:rPr/>
        <w:t xml:space="preserve">Your notebook/pdf must start with the following lines </w:t>
      </w:r>
    </w:p>
    <w:p>
      <w:pPr>
        <w:pStyle w:val="BodyText"/>
        <w:bidi w:val="0"/>
        <w:spacing w:before="0" w:after="120"/>
        <w:jc w:val="left"/>
        <w:rPr/>
      </w:pPr>
      <w:r>
        <w:rPr>
          <w:rStyle w:val="Bold"/>
        </w:rPr>
        <w:t>Assignment Title</w:t>
      </w:r>
      <w:r>
        <w:rPr/>
        <w:t xml:space="preserve"> </w:t>
      </w:r>
    </w:p>
    <w:p>
      <w:pPr>
        <w:pStyle w:val="BodyText"/>
        <w:bidi w:val="0"/>
        <w:spacing w:before="0" w:after="120"/>
        <w:jc w:val="left"/>
        <w:rPr/>
      </w:pPr>
      <w:r>
        <w:rPr>
          <w:rStyle w:val="Bold"/>
        </w:rPr>
        <w:t>Date:</w:t>
      </w:r>
      <w:r>
        <w:rPr/>
        <w:t xml:space="preserve"> </w:t>
      </w:r>
    </w:p>
    <w:p>
      <w:pPr>
        <w:pStyle w:val="BodyText"/>
        <w:bidi w:val="0"/>
        <w:spacing w:before="0" w:after="120"/>
        <w:jc w:val="left"/>
        <w:rPr/>
      </w:pPr>
      <w:r>
        <w:rPr>
          <w:rStyle w:val="Bold"/>
        </w:rPr>
        <w:t>First Name:</w:t>
      </w:r>
      <w:r>
        <w:rPr/>
        <w:t xml:space="preserve"> </w:t>
      </w:r>
    </w:p>
    <w:p>
      <w:pPr>
        <w:pStyle w:val="BodyText"/>
        <w:bidi w:val="0"/>
        <w:spacing w:before="0" w:after="120"/>
        <w:jc w:val="left"/>
        <w:rPr/>
      </w:pPr>
      <w:r>
        <w:rPr>
          <w:rStyle w:val="Bold"/>
        </w:rPr>
        <w:t>Last Name:</w:t>
      </w:r>
      <w:r>
        <w:rPr/>
        <w:t xml:space="preserve"> </w:t>
      </w:r>
    </w:p>
    <w:p>
      <w:pPr>
        <w:pStyle w:val="BodyText"/>
        <w:bidi w:val="0"/>
        <w:spacing w:before="0" w:after="120"/>
        <w:jc w:val="left"/>
        <w:rPr/>
      </w:pPr>
      <w:r>
        <w:rPr>
          <w:rStyle w:val="Bold"/>
        </w:rPr>
        <w:t>Student: Id</w:t>
      </w:r>
      <w:r>
        <w:rPr/>
        <w:t xml:space="preserve"> </w:t>
      </w:r>
    </w:p>
    <w:p>
      <w:pPr>
        <w:pStyle w:val="BodyText"/>
        <w:bidi w:val="0"/>
        <w:spacing w:before="0" w:after="120"/>
        <w:jc w:val="left"/>
        <w:rPr/>
      </w:pPr>
      <w:r>
        <w:rPr/>
        <w:t xml:space="preserve">Before submitting your assignment: </w:t>
      </w:r>
    </w:p>
    <w:p>
      <w:pPr>
        <w:pStyle w:val="BodyText"/>
        <w:numPr>
          <w:ilvl w:val="0"/>
          <w:numId w:val="15"/>
        </w:numPr>
        <w:tabs>
          <w:tab w:val="clear" w:pos="709"/>
          <w:tab w:val="left" w:pos="720" w:leader="none"/>
        </w:tabs>
        <w:bidi w:val="0"/>
        <w:ind w:hanging="360" w:left="720"/>
        <w:jc w:val="left"/>
        <w:rPr/>
      </w:pPr>
      <w:r>
        <w:rPr/>
        <w:t xml:space="preserve">Check the marking scheme and ensure you have covered all requirements. </w:t>
      </w:r>
    </w:p>
    <w:p>
      <w:pPr>
        <w:pStyle w:val="BodyText"/>
        <w:numPr>
          <w:ilvl w:val="0"/>
          <w:numId w:val="14"/>
        </w:numPr>
        <w:tabs>
          <w:tab w:val="clear" w:pos="709"/>
          <w:tab w:val="left" w:pos="720" w:leader="none"/>
        </w:tabs>
        <w:bidi w:val="0"/>
        <w:ind w:hanging="360" w:left="720"/>
        <w:jc w:val="left"/>
        <w:rPr/>
      </w:pPr>
      <w:r>
        <w:rPr/>
        <w:t xml:space="preserve">re-read the learning outcomes and verify that you are comfortable with each concept. If not, please speak up on the discussion board and ask for further clarification. I can guarantee that if you feel uncertain about a concept, at least half the class will be in the same boat. So don't be shy! </w:t>
      </w:r>
    </w:p>
    <w:p>
      <w:pPr>
        <w:pStyle w:val="BodyText"/>
        <w:bidi w:val="0"/>
        <w:spacing w:before="0" w:after="120"/>
        <w:jc w:val="left"/>
        <w:rPr/>
      </w:pPr>
      <w:r>
        <w:rPr/>
        <w:t xml:space="preserve">To submit your assignment, you need to download it as </w:t>
      </w:r>
      <w:r>
        <w:rPr>
          <w:rStyle w:val="OrgCode"/>
        </w:rPr>
        <w:t>ipynb</w:t>
      </w:r>
      <w:r>
        <w:rPr/>
        <w:t xml:space="preserve"> notebook format </w:t>
      </w:r>
      <w:r>
        <w:rPr>
          <w:rStyle w:val="Bold"/>
        </w:rPr>
        <w:t>and</w:t>
      </w:r>
      <w:r>
        <w:rPr/>
        <w:t xml:space="preserve"> </w:t>
      </w:r>
      <w:r>
        <w:rPr>
          <w:rStyle w:val="OrgCode"/>
        </w:rPr>
        <w:t>pdf</w:t>
      </w:r>
      <w:r>
        <w:rPr/>
        <w:t xml:space="preserve"> format. The best way to export your notebook as pdf is to use your browser's print function (</w:t>
      </w:r>
      <w:r>
        <w:rPr>
          <w:rStyle w:val="OrgCode"/>
        </w:rPr>
        <w:t>Ctrl-P</w:t>
      </w:r>
      <w:r>
        <w:rPr/>
        <w:t xml:space="preserve">) and then select </w:t>
      </w:r>
      <w:r>
        <w:rPr>
          <w:rStyle w:val="OrgCode"/>
        </w:rPr>
        <w:t>Save as pfd</w:t>
      </w:r>
      <w:r>
        <w:rPr/>
        <w:t xml:space="preserve">. Please submit both files on Quercus. Note that the pdf export can fail if your file contains invalid markup/python code. So you need to check that the pdf export is complete and does not miss any sections. If you have export problems, don't hesitate to contact the course instructor directly. </w:t>
      </w:r>
    </w:p>
    <w:p>
      <w:pPr>
        <w:pStyle w:val="BodyText"/>
        <w:bidi w:val="0"/>
        <w:spacing w:before="0" w:after="120"/>
        <w:jc w:val="left"/>
        <w:rPr/>
      </w:pPr>
      <w:r>
        <w:rPr/>
        <w:t xml:space="preserve">Notebooks typically have empty code cells in which you must enter python code. Please use the respective cell below each question, or create a python cell where necessary. Add text cells to enter your answers where appropriate. Your responses will only count if the code executes without error. It is thus recommended to run your solutions before submitting the assignment. </w:t>
      </w:r>
    </w:p>
    <w:p>
      <w:pPr>
        <w:pStyle w:val="BodyText"/>
        <w:bidi w:val="0"/>
        <w:spacing w:before="0" w:after="120"/>
        <w:jc w:val="left"/>
        <w:rPr/>
      </w:pPr>
      <w:r>
        <w:rPr>
          <w:rStyle w:val="Bold"/>
        </w:rPr>
        <w:t>Note: Unless specifically requested, do not type your answers by</w:t>
      </w:r>
      <w:r>
        <w:rPr/>
        <w:t xml:space="preserve"> </w:t>
      </w:r>
      <w:r>
        <w:rPr>
          <w:rStyle w:val="Bold"/>
        </w:rPr>
        <w:t>hand. Instead, write code that produces the answer. Your pdf file</w:t>
      </w:r>
      <w:r>
        <w:rPr/>
        <w:t xml:space="preserve"> </w:t>
      </w:r>
      <w:r>
        <w:rPr>
          <w:rStyle w:val="Bold"/>
        </w:rPr>
        <w:t>should show the code and the results of the code execution.</w:t>
      </w:r>
      <w:r>
        <w:rPr/>
        <w:t xml:space="preserve"> </w:t>
      </w:r>
    </w:p>
    <w:sectPr>
      <w:footerReference w:type="default" r:id="rId7"/>
      <w:type w:val="nextPage"/>
      <w:pgSz w:w="11906" w:h="16838"/>
      <w:pgMar w:left="1134" w:right="1134" w:gutter="0" w:header="0" w:top="1134" w:footer="1134" w:bottom="1693"/>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modern"/>
    <w:pitch w:val="fixed"/>
  </w:font>
  <w:font w:name="Arial">
    <w:charset w:val="01"/>
    <w:family w:val="swiss"/>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pPr>
    <w:r>
      <w:rPr/>
      <w:fldChar w:fldCharType="begin"/>
    </w:r>
    <w:r>
      <w:rPr/>
      <w:instrText xml:space="preserve"> PAGE </w:instrText>
    </w:r>
    <w:r>
      <w:rPr/>
      <w:fldChar w:fldCharType="separate"/>
    </w:r>
    <w:r>
      <w:rPr/>
      <w:t>7</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suff w:val="nothing"/>
      <w:lvlText w:val="%1. "/>
      <w:lvlJc w:val="left"/>
      <w:pPr>
        <w:tabs>
          <w:tab w:val="num" w:pos="0"/>
        </w:tabs>
        <w:ind w:left="432" w:hanging="432"/>
      </w:pPr>
    </w:lvl>
    <w:lvl w:ilvl="1">
      <w:start w:val="1"/>
      <w:pStyle w:val="Heading2"/>
      <w:numFmt w:val="decimal"/>
      <w:suff w:val="nothing"/>
      <w:lvlText w:val="%1.%2. "/>
      <w:lvlJc w:val="left"/>
      <w:pPr>
        <w:tabs>
          <w:tab w:val="num" w:pos="0"/>
        </w:tabs>
        <w:ind w:left="576" w:hanging="576"/>
      </w:pPr>
    </w:lvl>
    <w:lvl w:ilvl="2">
      <w:start w:val="1"/>
      <w:pStyle w:val="Heading3"/>
      <w:numFmt w:val="decimal"/>
      <w:suff w:val="nothing"/>
      <w:lvlText w:val="%1.%2.%3. "/>
      <w:lvlJc w:val="left"/>
      <w:pPr>
        <w:tabs>
          <w:tab w:val="num" w:pos="0"/>
        </w:tabs>
        <w:ind w:left="720" w:hanging="720"/>
      </w:pPr>
    </w:lvl>
    <w:lvl w:ilvl="3">
      <w:start w:val="1"/>
      <w:pStyle w:val="Heading4"/>
      <w:numFmt w:val="decimal"/>
      <w:suff w:val="nothing"/>
      <w:lvlText w:val="%1.%2.%3.%4. "/>
      <w:lvlJc w:val="left"/>
      <w:pPr>
        <w:tabs>
          <w:tab w:val="num" w:pos="0"/>
        </w:tabs>
        <w:ind w:left="864" w:hanging="864"/>
      </w:pPr>
    </w:lvl>
    <w:lvl w:ilvl="4">
      <w:start w:val="1"/>
      <w:pStyle w:val="Heading5"/>
      <w:numFmt w:val="decimal"/>
      <w:suff w:val="nothing"/>
      <w:lvlText w:val="%1.%2.%3.%4.%5. "/>
      <w:lvlJc w:val="left"/>
      <w:pPr>
        <w:tabs>
          <w:tab w:val="num" w:pos="0"/>
        </w:tabs>
        <w:ind w:left="1008" w:hanging="1008"/>
      </w:pPr>
    </w:lvl>
    <w:lvl w:ilvl="5">
      <w:start w:val="1"/>
      <w:pStyle w:val="Heading6"/>
      <w:numFmt w:val="decimal"/>
      <w:suff w:val="nothing"/>
      <w:lvlText w:val="%1.%2.%3.%4.%5.%6. "/>
      <w:lvlJc w:val="left"/>
      <w:pPr>
        <w:tabs>
          <w:tab w:val="num" w:pos="0"/>
        </w:tabs>
        <w:ind w:left="1152" w:hanging="1152"/>
      </w:pPr>
    </w:lvl>
    <w:lvl w:ilvl="6">
      <w:start w:val="1"/>
      <w:pStyle w:val="Heading7"/>
      <w:numFmt w:val="decimal"/>
      <w:suff w:val="nothing"/>
      <w:lvlText w:val="%1.%2.%3.%4.%5.%6.%7. "/>
      <w:lvlJc w:val="left"/>
      <w:pPr>
        <w:tabs>
          <w:tab w:val="num" w:pos="0"/>
        </w:tabs>
        <w:ind w:left="1296" w:hanging="1296"/>
      </w:pPr>
    </w:lvl>
    <w:lvl w:ilvl="7">
      <w:start w:val="1"/>
      <w:pStyle w:val="Heading8"/>
      <w:numFmt w:val="decimal"/>
      <w:suff w:val="nothing"/>
      <w:lvlText w:val="%1.%2.%3.%4.%5.%6.%7.%8. "/>
      <w:lvlJc w:val="left"/>
      <w:pPr>
        <w:tabs>
          <w:tab w:val="num" w:pos="0"/>
        </w:tabs>
        <w:ind w:left="1440" w:hanging="1440"/>
      </w:pPr>
    </w:lvl>
    <w:lvl w:ilvl="8">
      <w:start w:val="1"/>
      <w:pStyle w:val="Heading9"/>
      <w:numFmt w:val="decimal"/>
      <w:suff w:val="nothing"/>
      <w:lvlText w:val="%1.%2.%3.%4.%5.%6.%7.%8.%9. "/>
      <w:lvlJc w:val="left"/>
      <w:pPr>
        <w:tabs>
          <w:tab w:val="num" w:pos="0"/>
        </w:tabs>
        <w:ind w:left="1584" w:hanging="1584"/>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num w:numId="1">
    <w:abstractNumId w:val="1"/>
  </w:num>
  <w:num w:numId="2">
    <w:abstractNumId w:val="2"/>
  </w:num>
  <w:num w:numId="3">
    <w:abstractNumId w:val="3"/>
  </w:num>
  <w:num w:numId="4">
    <w:abstractNumId w:val="3"/>
    <w:lvlOverride w:ilvl="0">
      <w:startOverride w:val="1"/>
    </w:lvlOverride>
  </w:num>
  <w:num w:numId="5">
    <w:abstractNumId w:val="5"/>
  </w:num>
  <w:num w:numId="6">
    <w:abstractNumId w:val="5"/>
    <w:lvlOverride w:ilvl="0">
      <w:startOverride w:val="1"/>
    </w:lvlOverride>
  </w:num>
  <w:num w:numId="7">
    <w:abstractNumId w:val="2"/>
    <w:lvlOverride w:ilvl="0">
      <w:startOverride w:val="1"/>
    </w:lvlOverride>
  </w:num>
  <w:num w:numId="8">
    <w:abstractNumId w:val="8"/>
  </w:num>
  <w:num w:numId="9">
    <w:abstractNumId w:val="8"/>
    <w:lvlOverride w:ilvl="0">
      <w:startOverride w:val="1"/>
    </w:lvlOverride>
  </w:num>
  <w:num w:numId="10">
    <w:abstractNumId w:val="10"/>
  </w:num>
  <w:num w:numId="11">
    <w:abstractNumId w:val="10"/>
    <w:lvlOverride w:ilvl="0">
      <w:startOverride w:val="1"/>
    </w:lvlOverride>
  </w:num>
  <w:num w:numId="12">
    <w:abstractNumId w:val="12"/>
  </w:num>
  <w:num w:numId="13">
    <w:abstractNumId w:val="12"/>
    <w:lvlOverride w:ilvl="0">
      <w:startOverride w:val="1"/>
    </w:lvlOverride>
  </w:num>
  <w:num w:numId="14">
    <w:abstractNumId w:val="14"/>
  </w:num>
  <w:num w:numId="15">
    <w:abstractNumId w:val="14"/>
    <w:lvlOverride w:ilvl="0">
      <w:startOverride w:val="1"/>
    </w:lvlOverride>
  </w:num>
</w:numbering>
</file>

<file path=word/settings.xml><?xml version="1.0" encoding="utf-8"?>
<w:settings xmlns:w="http://schemas.openxmlformats.org/wordprocessingml/2006/main">
  <w:zoom w:percent="100"/>
  <w:mirrorMargins/>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ahoma"/>
        <w:kern w:val="2"/>
        <w:sz w:val="24"/>
        <w:szCs w:val="24"/>
        <w:lang w:val="en-GB"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Times New Roman" w:hAnsi="Times New Roman" w:eastAsia="SimSun" w:cs="Tahoma"/>
      <w:color w:val="auto"/>
      <w:kern w:val="2"/>
      <w:sz w:val="24"/>
      <w:szCs w:val="24"/>
      <w:lang w:val="en-GB" w:eastAsia="zh-CN" w:bidi="hi-IN"/>
    </w:rPr>
  </w:style>
  <w:style w:type="paragraph" w:styleId="Heading1">
    <w:name w:val="Heading 1"/>
    <w:basedOn w:val="Heading"/>
    <w:next w:val="BodyText"/>
    <w:qFormat/>
    <w:pPr>
      <w:numPr>
        <w:ilvl w:val="0"/>
        <w:numId w:val="1"/>
      </w:numPr>
      <w:outlineLvl w:val="0"/>
    </w:pPr>
    <w:rPr>
      <w:b/>
      <w:bCs/>
      <w:sz w:val="32"/>
      <w:szCs w:val="32"/>
    </w:rPr>
  </w:style>
  <w:style w:type="paragraph" w:styleId="Heading2">
    <w:name w:val="Heading 2"/>
    <w:basedOn w:val="Heading"/>
    <w:next w:val="BodyText"/>
    <w:qFormat/>
    <w:pPr>
      <w:numPr>
        <w:ilvl w:val="1"/>
        <w:numId w:val="1"/>
      </w:numPr>
      <w:outlineLvl w:val="1"/>
    </w:pPr>
    <w:rPr>
      <w:b/>
      <w:bCs/>
      <w:i/>
      <w:iCs/>
      <w:sz w:val="28"/>
      <w:szCs w:val="28"/>
    </w:rPr>
  </w:style>
  <w:style w:type="paragraph" w:styleId="Heading3">
    <w:name w:val="Heading 3"/>
    <w:basedOn w:val="Heading"/>
    <w:next w:val="BodyText"/>
    <w:qFormat/>
    <w:pPr>
      <w:numPr>
        <w:ilvl w:val="2"/>
        <w:numId w:val="1"/>
      </w:numPr>
      <w:outlineLvl w:val="2"/>
    </w:pPr>
    <w:rPr>
      <w:b/>
      <w:bCs/>
      <w:sz w:val="28"/>
      <w:szCs w:val="28"/>
    </w:rPr>
  </w:style>
  <w:style w:type="paragraph" w:styleId="Heading4">
    <w:name w:val="Heading 4"/>
    <w:basedOn w:val="Heading"/>
    <w:next w:val="BodyText"/>
    <w:qFormat/>
    <w:pPr>
      <w:numPr>
        <w:ilvl w:val="3"/>
        <w:numId w:val="1"/>
      </w:numPr>
      <w:outlineLvl w:val="3"/>
    </w:pPr>
    <w:rPr>
      <w:b/>
      <w:bCs/>
      <w:i/>
      <w:iCs/>
      <w:sz w:val="24"/>
      <w:szCs w:val="24"/>
    </w:rPr>
  </w:style>
  <w:style w:type="paragraph" w:styleId="Heading5">
    <w:name w:val="Heading 5"/>
    <w:basedOn w:val="Heading"/>
    <w:next w:val="BodyText"/>
    <w:qFormat/>
    <w:pPr>
      <w:numPr>
        <w:ilvl w:val="4"/>
        <w:numId w:val="1"/>
      </w:numPr>
      <w:outlineLvl w:val="4"/>
    </w:pPr>
    <w:rPr>
      <w:b/>
      <w:bCs/>
      <w:sz w:val="24"/>
      <w:szCs w:val="24"/>
    </w:rPr>
  </w:style>
  <w:style w:type="paragraph" w:styleId="Heading6">
    <w:name w:val="Heading 6"/>
    <w:basedOn w:val="Heading"/>
    <w:next w:val="BodyText"/>
    <w:qFormat/>
    <w:pPr>
      <w:numPr>
        <w:ilvl w:val="5"/>
        <w:numId w:val="1"/>
      </w:numPr>
      <w:outlineLvl w:val="5"/>
    </w:pPr>
    <w:rPr>
      <w:b/>
      <w:bCs/>
      <w:sz w:val="21"/>
      <w:szCs w:val="21"/>
    </w:rPr>
  </w:style>
  <w:style w:type="paragraph" w:styleId="Heading7">
    <w:name w:val="Heading 7"/>
    <w:basedOn w:val="Heading"/>
    <w:next w:val="BodyText"/>
    <w:qFormat/>
    <w:pPr>
      <w:numPr>
        <w:ilvl w:val="6"/>
        <w:numId w:val="1"/>
      </w:numPr>
      <w:outlineLvl w:val="6"/>
    </w:pPr>
    <w:rPr>
      <w:b/>
      <w:bCs/>
      <w:sz w:val="21"/>
      <w:szCs w:val="21"/>
    </w:rPr>
  </w:style>
  <w:style w:type="paragraph" w:styleId="Heading8">
    <w:name w:val="Heading 8"/>
    <w:basedOn w:val="Heading"/>
    <w:next w:val="BodyText"/>
    <w:qFormat/>
    <w:pPr>
      <w:numPr>
        <w:ilvl w:val="7"/>
        <w:numId w:val="1"/>
      </w:numPr>
      <w:outlineLvl w:val="7"/>
    </w:pPr>
    <w:rPr>
      <w:b/>
      <w:bCs/>
      <w:sz w:val="21"/>
      <w:szCs w:val="21"/>
    </w:rPr>
  </w:style>
  <w:style w:type="paragraph" w:styleId="Heading9">
    <w:name w:val="Heading 9"/>
    <w:basedOn w:val="Heading"/>
    <w:next w:val="BodyText"/>
    <w:qFormat/>
    <w:pPr>
      <w:numPr>
        <w:ilvl w:val="8"/>
        <w:numId w:val="1"/>
      </w:numPr>
      <w:outlineLvl w:val="8"/>
    </w:pPr>
    <w:rPr>
      <w:b/>
      <w:bCs/>
      <w:sz w:val="21"/>
      <w:szCs w:val="21"/>
    </w:rPr>
  </w:style>
  <w:style w:type="character" w:styleId="Emphasis">
    <w:name w:val="Emphasis"/>
    <w:qFormat/>
    <w:rPr>
      <w:i/>
      <w:iCs/>
    </w:rPr>
  </w:style>
  <w:style w:type="character" w:styleId="Underline">
    <w:name w:val="Underline"/>
    <w:qFormat/>
    <w:rPr>
      <w:u w:val="single"/>
      <w:shd w:fill="auto" w:val="clear"/>
    </w:rPr>
  </w:style>
  <w:style w:type="character" w:styleId="Strikethrough">
    <w:name w:val="Strikethrough"/>
    <w:qFormat/>
    <w:rPr>
      <w:strike/>
    </w:rPr>
  </w:style>
  <w:style w:type="character" w:styleId="SourceText">
    <w:name w:val="Source Text"/>
    <w:qFormat/>
    <w:rPr>
      <w:rFonts w:ascii="Courier New" w:hAnsi="Courier New" w:eastAsia="NSimSun" w:cs="Courier New"/>
      <w:shd w:fill="auto" w:val="clear"/>
    </w:rPr>
  </w:style>
  <w:style w:type="character" w:styleId="Quotation">
    <w:name w:val="Quotation"/>
    <w:qFormat/>
    <w:rPr>
      <w:i/>
      <w:iCs/>
    </w:rPr>
  </w:style>
  <w:style w:type="character" w:styleId="Example">
    <w:name w:val="Example"/>
    <w:qFormat/>
    <w:rPr>
      <w:rFonts w:ascii="Courier New" w:hAnsi="Courier New" w:eastAsia="NSimSun" w:cs="Courier New"/>
      <w:shd w:fill="auto" w:val="clear"/>
    </w:rPr>
  </w:style>
  <w:style w:type="character" w:styleId="OrgCode">
    <w:name w:val="OrgCode"/>
    <w:basedOn w:val="SourceText"/>
    <w:qFormat/>
    <w:rPr/>
  </w:style>
  <w:style w:type="character" w:styleId="OrgTodo">
    <w:name w:val="OrgTodo"/>
    <w:qFormat/>
    <w:rPr/>
  </w:style>
  <w:style w:type="character" w:styleId="OrgDone">
    <w:name w:val="OrgDone"/>
    <w:qFormat/>
    <w:rPr/>
  </w:style>
  <w:style w:type="character" w:styleId="OrgTag">
    <w:name w:val="OrgTag"/>
    <w:qFormat/>
    <w:rPr>
      <w:smallCaps/>
      <w:shd w:fill="auto" w:val="clear"/>
    </w:rPr>
  </w:style>
  <w:style w:type="character" w:styleId="OrgTags">
    <w:name w:val="OrgTags"/>
    <w:qFormat/>
    <w:rPr/>
  </w:style>
  <w:style w:type="character" w:styleId="OrgPriority">
    <w:name w:val="OrgPriority"/>
    <w:qFormat/>
    <w:rPr/>
  </w:style>
  <w:style w:type="character" w:styleId="OrgPriority-A">
    <w:name w:val="OrgPriority-A"/>
    <w:basedOn w:val="OrgPriority"/>
    <w:qFormat/>
    <w:rPr/>
  </w:style>
  <w:style w:type="character" w:styleId="OrgPriority-B">
    <w:name w:val="OrgPriority-B"/>
    <w:basedOn w:val="OrgPriority"/>
    <w:qFormat/>
    <w:rPr/>
  </w:style>
  <w:style w:type="character" w:styleId="OrgPriority-C">
    <w:name w:val="OrgPriority-C"/>
    <w:basedOn w:val="OrgPriority"/>
    <w:qFormat/>
    <w:rPr/>
  </w:style>
  <w:style w:type="character" w:styleId="OrgTimestamp">
    <w:name w:val="OrgTimestamp"/>
    <w:qFormat/>
    <w:rPr>
      <w:rFonts w:ascii="Courier New" w:hAnsi="Courier New" w:eastAsia="NSimSun" w:cs="Courier New"/>
      <w:shd w:fill="auto" w:val="clear"/>
    </w:rPr>
  </w:style>
  <w:style w:type="character" w:styleId="OrgActiveTimestamp">
    <w:name w:val="OrgActiveTimestamp"/>
    <w:basedOn w:val="OrgTimestamp"/>
    <w:qFormat/>
    <w:rPr/>
  </w:style>
  <w:style w:type="character" w:styleId="OrgInactiveTimestamp">
    <w:name w:val="OrgInactiveTimestamp"/>
    <w:basedOn w:val="OrgTimestamp"/>
    <w:qFormat/>
    <w:rPr/>
  </w:style>
  <w:style w:type="character" w:styleId="OrgTimestampKeyword">
    <w:name w:val="OrgTimestampKeyword"/>
    <w:qFormat/>
    <w:rPr>
      <w:b/>
      <w:color w:val="auto"/>
    </w:rPr>
  </w:style>
  <w:style w:type="character" w:styleId="OrgScheduledKeyword">
    <w:name w:val="OrgScheduledKeyword"/>
    <w:basedOn w:val="OrgTimestampKeyword"/>
    <w:qFormat/>
    <w:rPr/>
  </w:style>
  <w:style w:type="character" w:styleId="OrgDeadlineKeyword">
    <w:name w:val="OrgDeadlineKeyword"/>
    <w:basedOn w:val="OrgTimestampKeyword"/>
    <w:qFormat/>
    <w:rPr/>
  </w:style>
  <w:style w:type="character" w:styleId="OrgClockKeyword">
    <w:name w:val="OrgClockKeyword"/>
    <w:basedOn w:val="OrgTimestampKeyword"/>
    <w:qFormat/>
    <w:rPr/>
  </w:style>
  <w:style w:type="character" w:styleId="OrgClosedKeyword">
    <w:name w:val="OrgClosedKeyword"/>
    <w:basedOn w:val="OrgTimestampKeyword"/>
    <w:qFormat/>
    <w:rPr/>
  </w:style>
  <w:style w:type="character" w:styleId="OrgTimestampWrapper">
    <w:name w:val="OrgTimestampWrapper"/>
    <w:qFormat/>
    <w:rPr/>
  </w:style>
  <w:style w:type="character" w:styleId="OrgTarget">
    <w:name w:val="OrgTarget"/>
    <w:qFormat/>
    <w:rPr/>
  </w:style>
  <w:style w:type="character" w:styleId="Bold">
    <w:name w:val="Bold"/>
    <w:qFormat/>
    <w:rPr>
      <w:b/>
    </w:rPr>
  </w:style>
  <w:style w:type="character" w:styleId="NumberingSymbols">
    <w:name w:val="Numbering Symbols"/>
    <w:qFormat/>
    <w:rPr/>
  </w:style>
  <w:style w:type="character" w:styleId="FootnoteCharacters">
    <w:name w:val="Footnote Characters"/>
    <w:qFormat/>
    <w:rPr/>
  </w:style>
  <w:style w:type="character" w:styleId="FootnoteReference">
    <w:name w:val="Footnote Reference"/>
    <w:rPr>
      <w:vertAlign w:val="superscript"/>
    </w:rPr>
  </w:style>
  <w:style w:type="character" w:styleId="OrgSuperscript">
    <w:name w:val="OrgSuperscript"/>
    <w:qFormat/>
    <w:rPr>
      <w:vertAlign w:val="superscript"/>
    </w:rPr>
  </w:style>
  <w:style w:type="character" w:styleId="OrgSubscript">
    <w:name w:val="OrgSubscript"/>
    <w:qFormat/>
    <w:rPr>
      <w:vertAlign w:val="subscript"/>
    </w:rPr>
  </w:style>
  <w:style w:type="character" w:styleId="Hyperlink">
    <w:name w:val="Hyperlink"/>
    <w:rPr>
      <w:color w:val="000080"/>
      <w:u w:val="single"/>
      <w:lang w:val="zxx" w:eastAsia="zxx" w:bidi="zxx"/>
    </w:rPr>
  </w:style>
  <w:style w:type="character" w:styleId="OrgSrcFontLockFunctionNameFace">
    <w:name w:val="OrgSrcFontLockFunctionNameFace"/>
    <w:qFormat/>
    <w:rPr>
      <w:color w:val="721045"/>
    </w:rPr>
  </w:style>
  <w:style w:type="character" w:styleId="OrgSrcFontLockKeywordFace">
    <w:name w:val="OrgSrcFontLockKeywordFace"/>
    <w:qFormat/>
    <w:rPr>
      <w:color w:val="000000"/>
    </w:rPr>
  </w:style>
  <w:style w:type="character" w:styleId="OrgSrcFontLockStringFace">
    <w:name w:val="OrgSrcFontLockStringFace"/>
    <w:qFormat/>
    <w:rPr>
      <w:color w:val="2544BB"/>
    </w:rPr>
  </w:style>
  <w:style w:type="character" w:styleId="OrgSrcFontLockOperatorFace">
    <w:name w:val="OrgSrcFontLockOperatorFace"/>
    <w:qFormat/>
    <w:rPr>
      <w:color w:val="000000"/>
    </w:rPr>
  </w:style>
  <w:style w:type="character" w:styleId="OrgSrcFontLockBuiltinFace">
    <w:name w:val="OrgSrcFontLockBuiltinFace"/>
    <w:qFormat/>
    <w:rPr>
      <w:color w:val="000000"/>
    </w:rPr>
  </w:style>
  <w:style w:type="character" w:styleId="OrgSrcFontLockVariableNameFace">
    <w:name w:val="OrgSrcFontLockVariableNameFace"/>
    <w:qFormat/>
    <w:rPr>
      <w:color w:val="00538B"/>
    </w:rPr>
  </w:style>
  <w:style w:type="character" w:styleId="OrgSrcFontLockCommentFace">
    <w:name w:val="OrgSrcFontLockCommentFace"/>
    <w:qFormat/>
    <w:rPr>
      <w:color w:val="000000"/>
    </w:rPr>
  </w:style>
  <w:style w:type="character" w:styleId="OrgSrcFontLockCommentDelimiterFace">
    <w:name w:val="OrgSrcFontLockCommentDelimiterFace"/>
    <w:qFormat/>
    <w:rPr>
      <w:color w:val="000000"/>
    </w:rPr>
  </w:style>
  <w:style w:type="character" w:styleId="Bullet20Symbols">
    <w:name w:val="Bullet_20_Symbols"/>
    <w:qFormat/>
    <w:rPr/>
  </w:style>
  <w:style w:type="paragraph" w:styleId="Heading">
    <w:name w:val="Heading"/>
    <w:basedOn w:val="Normal"/>
    <w:next w:val="BodyText"/>
    <w:qFormat/>
    <w:pPr>
      <w:keepNext w:val="true"/>
      <w:tabs>
        <w:tab w:val="clear" w:pos="709"/>
        <w:tab w:val="right" w:pos="9638" w:leader="none"/>
      </w:tabs>
      <w:spacing w:before="240" w:after="120"/>
    </w:pPr>
    <w:rPr>
      <w:rFonts w:ascii="Arial" w:hAnsi="Arial" w:eastAsia="SimSun" w:cs="Tahoma"/>
      <w:sz w:val="28"/>
      <w:szCs w:val="28"/>
    </w:rPr>
  </w:style>
  <w:style w:type="paragraph" w:styleId="BodyText">
    <w:name w:val="Body Text"/>
    <w:basedOn w:val="Normal"/>
    <w:pPr>
      <w:spacing w:before="0" w:after="120"/>
    </w:pPr>
    <w:rPr/>
  </w:style>
  <w:style w:type="paragraph" w:styleId="List">
    <w:name w:val="List"/>
    <w:basedOn w:val="BodyText"/>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Heading201unnumbered">
    <w:name w:val="Heading_20_1_unnumbered"/>
    <w:basedOn w:val="Heading1"/>
    <w:qFormat/>
    <w:pPr>
      <w:numPr>
        <w:ilvl w:val="0"/>
        <w:numId w:val="0"/>
      </w:numPr>
      <w:outlineLvl w:val="9"/>
    </w:pPr>
    <w:rPr/>
  </w:style>
  <w:style w:type="paragraph" w:styleId="Heading202unnumbered">
    <w:name w:val="Heading_20_2_unnumbered"/>
    <w:basedOn w:val="Heading2"/>
    <w:qFormat/>
    <w:pPr>
      <w:numPr>
        <w:ilvl w:val="0"/>
        <w:numId w:val="0"/>
      </w:numPr>
      <w:outlineLvl w:val="9"/>
    </w:pPr>
    <w:rPr/>
  </w:style>
  <w:style w:type="paragraph" w:styleId="Heading203unnumbered">
    <w:name w:val="Heading_20_3_unnumbered"/>
    <w:basedOn w:val="Heading3"/>
    <w:qFormat/>
    <w:pPr>
      <w:numPr>
        <w:ilvl w:val="0"/>
        <w:numId w:val="0"/>
      </w:numPr>
      <w:outlineLvl w:val="9"/>
    </w:pPr>
    <w:rPr/>
  </w:style>
  <w:style w:type="paragraph" w:styleId="Heading204unnumbered">
    <w:name w:val="Heading_20_4_unnumbered"/>
    <w:basedOn w:val="Heading4"/>
    <w:qFormat/>
    <w:pPr>
      <w:numPr>
        <w:ilvl w:val="0"/>
        <w:numId w:val="0"/>
      </w:numPr>
      <w:outlineLvl w:val="9"/>
    </w:pPr>
    <w:rPr/>
  </w:style>
  <w:style w:type="paragraph" w:styleId="Heading205unnumbered">
    <w:name w:val="Heading_20_5_unnumbered"/>
    <w:basedOn w:val="Heading5"/>
    <w:qFormat/>
    <w:pPr>
      <w:numPr>
        <w:ilvl w:val="0"/>
        <w:numId w:val="0"/>
      </w:numPr>
      <w:outlineLvl w:val="9"/>
    </w:pPr>
    <w:rPr/>
  </w:style>
  <w:style w:type="paragraph" w:styleId="Heading206unnumbered">
    <w:name w:val="Heading_20_6_unnumbered"/>
    <w:basedOn w:val="Heading6"/>
    <w:qFormat/>
    <w:pPr>
      <w:numPr>
        <w:ilvl w:val="0"/>
        <w:numId w:val="0"/>
      </w:numPr>
      <w:outlineLvl w:val="9"/>
    </w:pPr>
    <w:rPr/>
  </w:style>
  <w:style w:type="paragraph" w:styleId="Heading207unnumbered">
    <w:name w:val="Heading_20_7_unnumbered"/>
    <w:basedOn w:val="Heading7"/>
    <w:qFormat/>
    <w:pPr>
      <w:numPr>
        <w:ilvl w:val="0"/>
        <w:numId w:val="0"/>
      </w:numPr>
      <w:outlineLvl w:val="9"/>
    </w:pPr>
    <w:rPr/>
  </w:style>
  <w:style w:type="paragraph" w:styleId="Heading208unnumbered">
    <w:name w:val="Heading_20_8_unnumbered"/>
    <w:basedOn w:val="Heading8"/>
    <w:qFormat/>
    <w:pPr>
      <w:numPr>
        <w:ilvl w:val="0"/>
        <w:numId w:val="0"/>
      </w:numPr>
      <w:outlineLvl w:val="9"/>
    </w:pPr>
    <w:rPr/>
  </w:style>
  <w:style w:type="paragraph" w:styleId="Heading209unnumbered">
    <w:name w:val="Heading_20_9_unnumbered"/>
    <w:basedOn w:val="Heading9"/>
    <w:qFormat/>
    <w:pPr>
      <w:numPr>
        <w:ilvl w:val="0"/>
        <w:numId w:val="0"/>
      </w:numPr>
      <w:outlineLvl w:val="9"/>
    </w:pPr>
    <w:rPr/>
  </w:style>
  <w:style w:type="paragraph" w:styleId="Heading10">
    <w:name w:val="Heading 10"/>
    <w:basedOn w:val="Heading"/>
    <w:next w:val="BodyText"/>
    <w:qFormat/>
    <w:pPr>
      <w:numPr>
        <w:ilvl w:val="8"/>
        <w:numId w:val="1"/>
      </w:numPr>
      <w:outlineLvl w:val="8"/>
    </w:pPr>
    <w:rPr>
      <w:b/>
      <w:bCs/>
      <w:sz w:val="21"/>
      <w:szCs w:val="21"/>
    </w:rPr>
  </w:style>
  <w:style w:type="paragraph" w:styleId="Heading2010unnumbered">
    <w:name w:val="Heading_20_10_unnumbered"/>
    <w:basedOn w:val="Heading10"/>
    <w:qFormat/>
    <w:pPr>
      <w:numPr>
        <w:ilvl w:val="0"/>
        <w:numId w:val="0"/>
      </w:numPr>
      <w:outlineLvl w:val="9"/>
    </w:pPr>
    <w:rPr/>
  </w:style>
  <w:style w:type="paragraph" w:styleId="Heading1title">
    <w:name w:val="Heading 1.title"/>
    <w:basedOn w:val="Heading1"/>
    <w:qFormat/>
    <w:pPr>
      <w:numPr>
        <w:ilvl w:val="0"/>
        <w:numId w:val="0"/>
      </w:numPr>
      <w:jc w:val="center"/>
      <w:outlineLvl w:val="9"/>
    </w:pPr>
    <w:rPr/>
  </w:style>
  <w:style w:type="paragraph" w:styleId="Title">
    <w:name w:val="Title"/>
    <w:basedOn w:val="Heading"/>
    <w:next w:val="Subtitle"/>
    <w:qFormat/>
    <w:pPr>
      <w:jc w:val="center"/>
    </w:pPr>
    <w:rPr>
      <w:b/>
      <w:bCs/>
      <w:sz w:val="36"/>
      <w:szCs w:val="36"/>
    </w:rPr>
  </w:style>
  <w:style w:type="paragraph" w:styleId="OrgTitle">
    <w:name w:val="OrgTitle"/>
    <w:basedOn w:val="Title"/>
    <w:qFormat/>
    <w:pPr>
      <w:spacing w:before="0" w:after="0"/>
    </w:pPr>
    <w:rPr>
      <w:sz w:val="48"/>
    </w:rPr>
  </w:style>
  <w:style w:type="paragraph" w:styleId="Subtitle">
    <w:name w:val="Subtitle"/>
    <w:basedOn w:val="Heading"/>
    <w:next w:val="BodyText"/>
    <w:qFormat/>
    <w:pPr>
      <w:jc w:val="center"/>
    </w:pPr>
    <w:rPr>
      <w:i/>
      <w:iCs/>
      <w:sz w:val="28"/>
      <w:szCs w:val="28"/>
    </w:rPr>
  </w:style>
  <w:style w:type="paragraph" w:styleId="OrgSubtitle">
    <w:name w:val="OrgSubtitle"/>
    <w:basedOn w:val="Subtitle"/>
    <w:qFormat/>
    <w:pPr>
      <w:spacing w:before="0" w:after="0"/>
    </w:pPr>
    <w:rPr>
      <w:sz w:val="40"/>
    </w:rPr>
  </w:style>
  <w:style w:type="paragraph" w:styleId="BodyTextIndent">
    <w:name w:val="Body Text Indent"/>
    <w:basedOn w:val="BodyText"/>
    <w:pPr>
      <w:ind w:hanging="0" w:left="283" w:right="0"/>
    </w:pPr>
    <w:rPr/>
  </w:style>
  <w:style w:type="paragraph" w:styleId="ListIndent">
    <w:name w:val="List Indent"/>
    <w:basedOn w:val="BodyText"/>
    <w:qFormat/>
    <w:pPr>
      <w:tabs>
        <w:tab w:val="clear" w:pos="709"/>
        <w:tab w:val="left" w:pos="2835" w:leader="none"/>
      </w:tabs>
      <w:ind w:hanging="2551" w:left="2835" w:right="0"/>
    </w:pPr>
    <w:rPr/>
  </w:style>
  <w:style w:type="paragraph" w:styleId="BodyTextFirstIndent">
    <w:name w:val="Body Text First Indent"/>
    <w:basedOn w:val="BodyText"/>
    <w:pPr>
      <w:ind w:firstLine="283" w:left="0" w:right="0"/>
    </w:pPr>
    <w:rPr/>
  </w:style>
  <w:style w:type="paragraph" w:styleId="HangingIndent">
    <w:name w:val="Hanging Indent"/>
    <w:basedOn w:val="BodyText"/>
    <w:qFormat/>
    <w:pPr>
      <w:tabs>
        <w:tab w:val="clear" w:pos="709"/>
        <w:tab w:val="left" w:pos="567" w:leader="none"/>
      </w:tabs>
      <w:ind w:hanging="283" w:left="567" w:right="0"/>
    </w:pPr>
    <w:rPr/>
  </w:style>
  <w:style w:type="paragraph" w:styleId="Salutation">
    <w:name w:val="Salutation"/>
    <w:basedOn w:val="Normal"/>
    <w:pPr>
      <w:suppressLineNumbers/>
    </w:pPr>
    <w:rPr/>
  </w:style>
  <w:style w:type="paragraph" w:styleId="IndexHeading">
    <w:name w:val="Index Heading"/>
    <w:basedOn w:val="Heading"/>
    <w:pPr>
      <w:suppressLineNumbers/>
      <w:ind w:hanging="0" w:left="0"/>
    </w:pPr>
    <w:rPr>
      <w:b/>
      <w:bCs/>
      <w:sz w:val="32"/>
      <w:szCs w:val="32"/>
    </w:rPr>
  </w:style>
  <w:style w:type="paragraph" w:styleId="TOCHeading">
    <w:name w:val="TOC Heading"/>
    <w:basedOn w:val="Heading"/>
    <w:qFormat/>
    <w:pPr>
      <w:suppressLineNumbers/>
      <w:ind w:hanging="0" w:left="0" w:right="0"/>
    </w:pPr>
    <w:rPr>
      <w:b/>
      <w:bCs/>
      <w:sz w:val="32"/>
      <w:szCs w:val="32"/>
    </w:rPr>
  </w:style>
  <w:style w:type="paragraph" w:styleId="TOC1">
    <w:name w:val="TOC 1"/>
    <w:basedOn w:val="Index"/>
    <w:pPr>
      <w:tabs>
        <w:tab w:val="clear" w:pos="709"/>
        <w:tab w:val="right" w:pos="9638" w:leader="dot"/>
      </w:tabs>
      <w:ind w:hanging="0" w:left="0" w:right="0"/>
    </w:pPr>
    <w:rPr/>
  </w:style>
  <w:style w:type="paragraph" w:styleId="TOC2">
    <w:name w:val="TOC 2"/>
    <w:basedOn w:val="Index"/>
    <w:pPr>
      <w:tabs>
        <w:tab w:val="clear" w:pos="709"/>
        <w:tab w:val="right" w:pos="9638" w:leader="dot"/>
      </w:tabs>
      <w:ind w:hanging="0" w:left="283" w:right="0"/>
    </w:pPr>
    <w:rPr/>
  </w:style>
  <w:style w:type="paragraph" w:styleId="TOC3">
    <w:name w:val="TOC 3"/>
    <w:basedOn w:val="Index"/>
    <w:pPr>
      <w:tabs>
        <w:tab w:val="clear" w:pos="709"/>
        <w:tab w:val="right" w:pos="9638" w:leader="dot"/>
      </w:tabs>
      <w:ind w:hanging="0" w:left="566" w:right="0"/>
    </w:pPr>
    <w:rPr/>
  </w:style>
  <w:style w:type="paragraph" w:styleId="TOC4">
    <w:name w:val="TOC 4"/>
    <w:basedOn w:val="Index"/>
    <w:pPr>
      <w:tabs>
        <w:tab w:val="clear" w:pos="709"/>
        <w:tab w:val="right" w:pos="9638" w:leader="dot"/>
      </w:tabs>
      <w:ind w:hanging="0" w:left="849" w:right="0"/>
    </w:pPr>
    <w:rPr/>
  </w:style>
  <w:style w:type="paragraph" w:styleId="TOC5">
    <w:name w:val="TOC 5"/>
    <w:basedOn w:val="Index"/>
    <w:pPr>
      <w:tabs>
        <w:tab w:val="clear" w:pos="709"/>
        <w:tab w:val="right" w:pos="9638" w:leader="dot"/>
      </w:tabs>
      <w:ind w:hanging="0" w:left="1132" w:right="0"/>
    </w:pPr>
    <w:rPr/>
  </w:style>
  <w:style w:type="paragraph" w:styleId="TOC6">
    <w:name w:val="TOC 6"/>
    <w:basedOn w:val="Index"/>
    <w:pPr>
      <w:tabs>
        <w:tab w:val="clear" w:pos="709"/>
        <w:tab w:val="right" w:pos="9638" w:leader="dot"/>
      </w:tabs>
      <w:ind w:hanging="0" w:left="1415" w:right="0"/>
    </w:pPr>
    <w:rPr/>
  </w:style>
  <w:style w:type="paragraph" w:styleId="TOC7">
    <w:name w:val="TOC 7"/>
    <w:basedOn w:val="Index"/>
    <w:pPr>
      <w:tabs>
        <w:tab w:val="clear" w:pos="709"/>
        <w:tab w:val="right" w:pos="9638" w:leader="dot"/>
      </w:tabs>
      <w:ind w:hanging="0" w:left="1698" w:right="0"/>
    </w:pPr>
    <w:rPr/>
  </w:style>
  <w:style w:type="paragraph" w:styleId="TOC8">
    <w:name w:val="TOC 8"/>
    <w:basedOn w:val="Index"/>
    <w:pPr>
      <w:tabs>
        <w:tab w:val="clear" w:pos="709"/>
        <w:tab w:val="right" w:pos="9638" w:leader="dot"/>
      </w:tabs>
      <w:ind w:hanging="0" w:left="1981" w:right="0"/>
    </w:pPr>
    <w:rPr/>
  </w:style>
  <w:style w:type="paragraph" w:styleId="TOC9">
    <w:name w:val="TOC 9"/>
    <w:basedOn w:val="Index"/>
    <w:pPr>
      <w:tabs>
        <w:tab w:val="clear" w:pos="709"/>
        <w:tab w:val="right" w:pos="9638" w:leader="dot"/>
      </w:tabs>
      <w:ind w:hanging="0" w:left="2264" w:right="0"/>
    </w:pPr>
    <w:rPr/>
  </w:style>
  <w:style w:type="paragraph" w:styleId="Contents10">
    <w:name w:val="Contents 10"/>
    <w:basedOn w:val="Index"/>
    <w:qFormat/>
    <w:pPr>
      <w:tabs>
        <w:tab w:val="clear" w:pos="709"/>
        <w:tab w:val="right" w:pos="9638" w:leader="dot"/>
      </w:tabs>
      <w:ind w:hanging="0" w:left="2547" w:right="0"/>
    </w:pPr>
    <w:rPr/>
  </w:style>
  <w:style w:type="paragraph" w:styleId="BlockQuotation">
    <w:name w:val="Block Quotation"/>
    <w:basedOn w:val="Normal"/>
    <w:qFormat/>
    <w:pPr>
      <w:spacing w:before="0" w:after="283"/>
      <w:ind w:hanging="0" w:left="567" w:right="567"/>
    </w:pPr>
    <w:rPr/>
  </w:style>
  <w:style w:type="paragraph" w:styleId="OrgFootnoteQuotations">
    <w:name w:val="OrgFootnoteQuotations"/>
    <w:basedOn w:val="FootnoteText"/>
    <w:qFormat/>
    <w:pPr>
      <w:spacing w:before="0" w:after="283"/>
      <w:ind w:hanging="0" w:left="567" w:right="567"/>
    </w:pPr>
    <w:rPr/>
  </w:style>
  <w:style w:type="paragraph" w:styleId="PreformattedText">
    <w:name w:val="Preformatted Text"/>
    <w:basedOn w:val="Normal"/>
    <w:qFormat/>
    <w:pPr>
      <w:spacing w:before="0" w:after="0"/>
    </w:pPr>
    <w:rPr>
      <w:rFonts w:ascii="Courier New" w:hAnsi="Courier New" w:eastAsia="NSimSun" w:cs="Courier New"/>
      <w:sz w:val="20"/>
      <w:szCs w:val="20"/>
    </w:rPr>
  </w:style>
  <w:style w:type="paragraph" w:styleId="OrgVerse">
    <w:name w:val="OrgVerse"/>
    <w:basedOn w:val="PreformattedText"/>
    <w:qFormat/>
    <w:pPr>
      <w:pBdr/>
    </w:pPr>
    <w:rPr/>
  </w:style>
  <w:style w:type="paragraph" w:styleId="OrgClock">
    <w:name w:val="OrgClock"/>
    <w:basedOn w:val="BodyText"/>
    <w:qFormat/>
    <w:pPr>
      <w:spacing w:before="0" w:after="0"/>
    </w:pPr>
    <w:rPr/>
  </w:style>
  <w:style w:type="paragraph" w:styleId="OrgClockLastLine">
    <w:name w:val="OrgClockLastLine"/>
    <w:basedOn w:val="OrgClock"/>
    <w:qFormat/>
    <w:pPr/>
    <w:rPr/>
  </w:style>
  <w:style w:type="paragraph" w:styleId="OrgPlanning">
    <w:name w:val="OrgPlanning"/>
    <w:basedOn w:val="BodyText"/>
    <w:qFormat/>
    <w:pPr/>
    <w:rPr/>
  </w:style>
  <w:style w:type="paragraph" w:styleId="OrgFixedWidthBlock">
    <w:name w:val="OrgFixedWidthBlock"/>
    <w:basedOn w:val="PreformattedText"/>
    <w:qFormat/>
    <w:pPr>
      <w:pBdr>
        <w:top w:val="single" w:sz="2" w:space="1" w:color="000000"/>
        <w:left w:val="single" w:sz="2" w:space="1" w:color="000000"/>
        <w:bottom w:val="single" w:sz="2" w:space="1" w:color="000000"/>
        <w:right w:val="single" w:sz="2" w:space="1" w:color="000000"/>
      </w:pBdr>
      <w:shd w:fill="C0C0C0" w:val="clear"/>
    </w:pPr>
    <w:rPr/>
  </w:style>
  <w:style w:type="paragraph" w:styleId="OrgFixedWidthBlockLastLine">
    <w:name w:val="OrgFixedWidthBlockLastLine"/>
    <w:basedOn w:val="OrgFixedWidthBlock"/>
    <w:qFormat/>
    <w:pPr>
      <w:spacing w:before="0" w:after="119"/>
    </w:pPr>
    <w:rPr/>
  </w:style>
  <w:style w:type="paragraph" w:styleId="OrgFormula">
    <w:name w:val="OrgFormula"/>
    <w:basedOn w:val="BodyText"/>
    <w:qFormat/>
    <w:pPr>
      <w:tabs>
        <w:tab w:val="clear" w:pos="709"/>
        <w:tab w:val="right" w:pos="9638" w:leader="none"/>
      </w:tabs>
    </w:pPr>
    <w:rPr/>
  </w:style>
  <w:style w:type="paragraph" w:styleId="OrgSrcBlockLastLine">
    <w:name w:val="OrgSrcBlockLastLine"/>
    <w:basedOn w:val="OrgSrcBlock"/>
    <w:qFormat/>
    <w:pPr>
      <w:spacing w:before="0" w:after="119"/>
    </w:pPr>
    <w:rPr/>
  </w:style>
  <w:style w:type="paragraph" w:styleId="OrgCenter">
    <w:name w:val="OrgCenter"/>
    <w:basedOn w:val="BodyText"/>
    <w:qFormat/>
    <w:pPr>
      <w:jc w:val="center"/>
    </w:pPr>
    <w:rPr/>
  </w:style>
  <w:style w:type="paragraph" w:styleId="OrgFootnoteCenter">
    <w:name w:val="OrgFootnoteCenter"/>
    <w:basedOn w:val="FootnoteText"/>
    <w:qFormat/>
    <w:pPr>
      <w:jc w:val="center"/>
    </w:pPr>
    <w:rPr/>
  </w:style>
  <w:style w:type="paragraph" w:styleId="OrgTableContents">
    <w:name w:val="OrgTableContents"/>
    <w:basedOn w:val="BodyText"/>
    <w:qFormat/>
    <w:pPr/>
    <w:rPr/>
  </w:style>
  <w:style w:type="paragraph" w:styleId="OrgTableHeading">
    <w:name w:val="OrgTableHeading"/>
    <w:basedOn w:val="OrgTableContents"/>
    <w:qFormat/>
    <w:pPr>
      <w:suppressLineNumbers/>
      <w:jc w:val="center"/>
    </w:pPr>
    <w:rPr>
      <w:b/>
      <w:bCs/>
    </w:rPr>
  </w:style>
  <w:style w:type="paragraph" w:styleId="OrgTableHeadingLeft">
    <w:name w:val="OrgTableHeadingLeft"/>
    <w:basedOn w:val="OrgTableHeading"/>
    <w:qFormat/>
    <w:pPr>
      <w:jc w:val="left"/>
    </w:pPr>
    <w:rPr/>
  </w:style>
  <w:style w:type="paragraph" w:styleId="OrgTableHeadingRight">
    <w:name w:val="OrgTableHeadingRight"/>
    <w:basedOn w:val="OrgTableHeading"/>
    <w:qFormat/>
    <w:pPr>
      <w:jc w:val="right"/>
    </w:pPr>
    <w:rPr/>
  </w:style>
  <w:style w:type="paragraph" w:styleId="OrgTableHeadingCenter">
    <w:name w:val="OrgTableHeadingCenter"/>
    <w:basedOn w:val="OrgTableHeading"/>
    <w:qFormat/>
    <w:pPr>
      <w:jc w:val="center"/>
    </w:pPr>
    <w:rPr/>
  </w:style>
  <w:style w:type="paragraph" w:styleId="OrgTableContentsLeft">
    <w:name w:val="OrgTableContentsLeft"/>
    <w:basedOn w:val="OrgTableContents"/>
    <w:qFormat/>
    <w:pPr>
      <w:jc w:val="left"/>
    </w:pPr>
    <w:rPr/>
  </w:style>
  <w:style w:type="paragraph" w:styleId="OrgTableContentsRight">
    <w:name w:val="OrgTableContentsRight"/>
    <w:basedOn w:val="OrgTableContents"/>
    <w:qFormat/>
    <w:pPr>
      <w:jc w:val="right"/>
    </w:pPr>
    <w:rPr/>
  </w:style>
  <w:style w:type="paragraph" w:styleId="OrgTableContentsCenter">
    <w:name w:val="OrgTableContentsCenter"/>
    <w:basedOn w:val="OrgTableContents"/>
    <w:qFormat/>
    <w:pPr>
      <w:jc w:val="center"/>
    </w:pPr>
    <w:rPr/>
  </w:style>
  <w:style w:type="paragraph" w:styleId="Textbodybold">
    <w:name w:val="Text body bold"/>
    <w:basedOn w:val="BodyText"/>
    <w:next w:val="BodyText"/>
    <w:qFormat/>
    <w:pPr/>
    <w:rPr>
      <w:b/>
    </w:rPr>
  </w:style>
  <w:style w:type="paragraph" w:styleId="FootnoteText">
    <w:name w:val="Footnote Text"/>
    <w:basedOn w:val="Normal"/>
    <w:pPr>
      <w:suppressLineNumbers/>
      <w:ind w:hanging="283" w:left="283" w:right="0"/>
    </w:pPr>
    <w:rPr>
      <w:sz w:val="20"/>
      <w:szCs w:val="20"/>
    </w:rPr>
  </w:style>
  <w:style w:type="paragraph" w:styleId="Figure">
    <w:name w:val="Figure"/>
    <w:basedOn w:val="Caption"/>
    <w:qFormat/>
    <w:pPr/>
    <w:rPr/>
  </w:style>
  <w:style w:type="paragraph" w:styleId="IllustrationIndexHeading">
    <w:name w:val="Illustration Index Heading"/>
    <w:basedOn w:val="Heading"/>
    <w:qFormat/>
    <w:pPr>
      <w:suppressLineNumbers/>
      <w:ind w:hanging="0" w:left="0" w:right="0"/>
    </w:pPr>
    <w:rPr>
      <w:b/>
      <w:bCs/>
      <w:sz w:val="32"/>
      <w:szCs w:val="32"/>
    </w:rPr>
  </w:style>
  <w:style w:type="paragraph" w:styleId="Table">
    <w:name w:val="Table"/>
    <w:basedOn w:val="Caption"/>
    <w:qFormat/>
    <w:pPr>
      <w:jc w:val="center"/>
    </w:pPr>
    <w:rPr/>
  </w:style>
  <w:style w:type="paragraph" w:styleId="Listing">
    <w:name w:val="Listing"/>
    <w:basedOn w:val="Caption"/>
    <w:qFormat/>
    <w:pPr>
      <w:keepNext w:val="true"/>
      <w:tabs>
        <w:tab w:val="clear" w:pos="709"/>
      </w:tabs>
      <w:ind w:hanging="0" w:left="0" w:right="0"/>
    </w:pPr>
    <w:rPr/>
  </w:style>
  <w:style w:type="paragraph" w:styleId="HorizontalLine">
    <w:name w:val="Horizontal Line"/>
    <w:basedOn w:val="Normal"/>
    <w:next w:val="BodyText"/>
    <w:qFormat/>
    <w:pPr>
      <w:suppressLineNumbers/>
      <w:pBdr>
        <w:bottom w:val="single" w:sz="2" w:space="0" w:color="000000"/>
      </w:pBdr>
      <w:spacing w:before="0" w:after="119"/>
    </w:pPr>
    <w:rPr>
      <w:sz w:val="12"/>
      <w:szCs w:val="12"/>
    </w:rPr>
  </w:style>
  <w:style w:type="paragraph" w:styleId="OrgInlineTaskHeading">
    <w:name w:val="OrgInlineTaskHeading"/>
    <w:basedOn w:val="Caption"/>
    <w:next w:val="BodyText"/>
    <w:qFormat/>
    <w:pPr/>
    <w:rPr>
      <w:b/>
      <w:i w:val="false"/>
    </w:rPr>
  </w:style>
  <w:style w:type="paragraph" w:styleId="OrgSrcBlock">
    <w:name w:val="OrgSrcBlock"/>
    <w:basedOn w:val="PreformattedText"/>
    <w:qFormat/>
    <w:pPr>
      <w:pBdr>
        <w:top w:val="single" w:sz="4" w:space="1" w:color="000000"/>
        <w:left w:val="single" w:sz="4" w:space="1" w:color="000000"/>
        <w:bottom w:val="single" w:sz="4" w:space="1" w:color="000000"/>
        <w:right w:val="single" w:sz="4" w:space="1" w:color="000000"/>
      </w:pBdr>
      <w:shd w:fill="FFFFFF" w:val="clear"/>
    </w:pPr>
    <w:rPr>
      <w:color w:val="000000"/>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pPr>
    <w:rPr/>
  </w:style>
  <w:style w:type="paragraph" w:styleId="FrameContents">
    <w:name w:val="Frame Contents"/>
    <w:basedOn w:val="Normal"/>
    <w:qFormat/>
    <w:pPr/>
    <w:rPr/>
  </w:style>
  <w:style w:type="paragraph" w:styleId="Illustration">
    <w:name w:val="Illustration"/>
    <w:basedOn w:val="Caption"/>
    <w:qFormat/>
    <w:pPr/>
    <w:rPr/>
  </w:style>
  <w:style w:type="numbering" w:styleId="Numbering1">
    <w:name w:val="Numbering 1"/>
    <w:qFormat/>
  </w:style>
  <w:style w:type="numbering" w:styleId="Bullet">
    <w:name w:val="Bullet •"/>
    <w:qFormat/>
  </w:style>
  <w:style w:type="numbering" w:styleId="OrgNumberedList">
    <w:name w:val="OrgNumberedList"/>
    <w:qFormat/>
  </w:style>
  <w:style w:type="numbering" w:styleId="OrgBulletedList">
    <w:name w:val="OrgBulletedList"/>
    <w:qFormat/>
  </w:style>
  <w:style w:type="numbering" w:styleId="OrgDescriptionList">
    <w:name w:val="OrgDescriptionList"/>
    <w:qFormat/>
  </w:style>
  <w:style w:type="numbering" w:styleId="OrgSrcBlockNumberedLine">
    <w:name w:val="OrgSrcBlockNumberedLine"/>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fig:IRMS" TargetMode="External"/><Relationship Id="rId3" Type="http://schemas.openxmlformats.org/officeDocument/2006/relationships/image" Target="media/image1.png"/><Relationship Id="rId4" Type="http://schemas.openxmlformats.org/officeDocument/2006/relationships/hyperlink" Target="https://commons.wikimedia.org/wiki/File:Mass_Spectrometer_Schematic.svg" TargetMode="External"/><Relationship Id="rId5" Type="http://schemas.openxmlformats.org/officeDocument/2006/relationships/image" Target="media/image1.png"/><Relationship Id="rId6" Type="http://schemas.openxmlformats.org/officeDocument/2006/relationships/hyperlink" Target="https://commons.wikimedia.org/wiki/File:Mass_Spectrometer_Schematic.svg" TargetMode="Externa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LibreOffice/7.6.2.1$Linux_X86_64 LibreOffice_project/60$Build-1</Application>
  <AppVersion>15.0000</AppVersion>
  <Pages>7</Pages>
  <Words>1773</Words>
  <Characters>9245</Characters>
  <CharactersWithSpaces>11144</CharactersWithSpaces>
  <Paragraphs>118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2023-12-11T16:32:09Z</dcterms:created>
  <dc:creator>Uli Wortmann</dc:creator>
  <dc:description/>
  <cp:keywords/>
  <dc:language>en-CA</dc:language>
  <cp:lastModifiedBy/>
  <dcterms:modified xsi:type="dcterms:W3CDTF">2023-12-11T16:33:14Z</dcterms:modified>
  <cp:revision>1</cp:revision>
  <dc:subject/>
  <dc:title/>
</cp:coreProperties>
</file>