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266" w:rsidRDefault="00EF7266" w:rsidP="00EF7266">
      <w:pPr>
        <w:pStyle w:val="Heading3"/>
      </w:pPr>
      <w:r>
        <w:t>Academic Analysis of the Multi-Granularity Citizen Science Platform (MG-CSP)</w:t>
      </w:r>
    </w:p>
    <w:p w:rsidR="00EF7266" w:rsidRDefault="00EF7266" w:rsidP="00EF7266">
      <w:r>
        <w:pict>
          <v:rect id="_x0000_i1025" style="width:0;height:1.5pt" o:hralign="center" o:hrstd="t" o:hr="t" fillcolor="#a0a0a0" stroked="f"/>
        </w:pict>
      </w:r>
    </w:p>
    <w:p w:rsidR="00EF7266" w:rsidRDefault="00EF7266" w:rsidP="00EF7266">
      <w:pPr>
        <w:pStyle w:val="Heading4"/>
      </w:pPr>
      <w:r>
        <w:t>Introduction</w:t>
      </w:r>
    </w:p>
    <w:p w:rsidR="00EF7266" w:rsidRDefault="00EF7266" w:rsidP="00EF7266">
      <w:pPr>
        <w:pStyle w:val="NormalWeb"/>
      </w:pPr>
      <w:r>
        <w:t>The Multi-Granularity Citizen Science Platform (MG-CSP) represents a paradigm shift in participatory research and digital collaboration. Engineered as a static web-based hub, the MG-CSP champions citizen-led scientific inquiry and decentralized knowledge curation. It functions at the intersection of Human-Computer Interaction (HCI), semantic web architecture, information science, and systems engineering to foster structured, inclusive, and scalable cooperation between scientists, students, educators, and non-expert contributors.</w:t>
      </w:r>
    </w:p>
    <w:p w:rsidR="00EF7266" w:rsidRDefault="00EF7266" w:rsidP="00EF7266">
      <w:pPr>
        <w:pStyle w:val="NormalWeb"/>
      </w:pPr>
      <w:r>
        <w:t>Unlike traditional academic portals, MG-CSP supports multilayered granularity, empowering contributors at diverse skill levels to document, disseminate, and manage scientific content. This includes micro-contributions from volunteers, moderate documentation from citizen experts, and high-level project synthesis by researchers. Rooted in the principles of user-centered design (UCD), the platform adopts progressive disclosure, responsive interfaces, and semantic interoperability as baseline standards for interaction. The underlying infrastructure leverages modular design frameworks (e.g., Tailwind CSS), version control systems (e.g., GitHub), and compliance-driven accessibility norms (e.g., WCAG 2.1), enabling the platform to serve as a gold standard for digital participation in open science.</w:t>
      </w:r>
    </w:p>
    <w:p w:rsidR="00EF7266" w:rsidRDefault="00EF7266" w:rsidP="00EF7266">
      <w:pPr>
        <w:pStyle w:val="NormalWeb"/>
      </w:pPr>
      <w:r>
        <w:t>Through its multi-granularity framework, the MG-CSP provides a maintainable and ethically aware digital architecture that sustains collaborative research initiatives. This analysis dissects the platform’s design layers—information architecture, UX, e-commerce incentive integration, technical infrastructure, security, and performance monitoring—through theoretical lenses informed by digital sociology, participatory epistemology, and computational design theory.</w:t>
      </w:r>
    </w:p>
    <w:p w:rsidR="00EF7266" w:rsidRDefault="00EF7266" w:rsidP="00EF7266">
      <w:r>
        <w:pict>
          <v:rect id="_x0000_i1026" style="width:0;height:1.5pt" o:hralign="center" o:hrstd="t" o:hr="t" fillcolor="#a0a0a0" stroked="f"/>
        </w:pict>
      </w:r>
    </w:p>
    <w:p w:rsidR="00EF7266" w:rsidRDefault="00EF7266" w:rsidP="00EF7266">
      <w:pPr>
        <w:pStyle w:val="Heading3"/>
      </w:pPr>
      <w:r>
        <w:t>1. Information Architecture in a Multi-Granularity Citizen Science Platform</w:t>
      </w:r>
    </w:p>
    <w:p w:rsidR="00EF7266" w:rsidRDefault="00EF7266" w:rsidP="00EF7266">
      <w:pPr>
        <w:pStyle w:val="NormalWeb"/>
      </w:pPr>
      <w:r>
        <w:t>The information architecture (IA) of MG-CSP is engineered to accommodate structured and unstructured data generated from heterogeneous sources. Its design facilitates role-sensitive access to datasets, tools, and metadata, layered by participation levels.</w:t>
      </w:r>
    </w:p>
    <w:p w:rsidR="00EF7266" w:rsidRDefault="00EF7266" w:rsidP="00EF7266">
      <w:pPr>
        <w:pStyle w:val="NormalWeb"/>
      </w:pPr>
      <w:r>
        <w:rPr>
          <w:rStyle w:val="Strong"/>
        </w:rPr>
        <w:t>1.1 Hierarchical Structure:</w:t>
      </w:r>
      <w:r>
        <w:br/>
        <w:t xml:space="preserve">The hierarchical architecture follows principles articulated by Rosenfeld and </w:t>
      </w:r>
      <w:proofErr w:type="spellStart"/>
      <w:r>
        <w:t>Morville</w:t>
      </w:r>
      <w:proofErr w:type="spellEnd"/>
      <w:r>
        <w:t xml:space="preserve"> (2015), employing nested taxonomies for content categorization. Primary nodes include Projects, Documentation, Contributors, and Tools. Subcategories dynamically populate based on user interaction, supporting progressive disclosure and cognitive chunking.</w:t>
      </w:r>
    </w:p>
    <w:p w:rsidR="00EF7266" w:rsidRDefault="00EF7266" w:rsidP="00EF7266">
      <w:pPr>
        <w:pStyle w:val="NormalWeb"/>
      </w:pPr>
      <w:r>
        <w:rPr>
          <w:rStyle w:val="Strong"/>
        </w:rPr>
        <w:t>1.2 Semantic Interoperability:</w:t>
      </w:r>
      <w:r>
        <w:br/>
        <w:t xml:space="preserve">To support machine-actionable data exchange and interoperability, metadata adheres to vocabularies like Dublin Core and Schema.org. These structures are essential for external </w:t>
      </w:r>
      <w:r>
        <w:lastRenderedPageBreak/>
        <w:t>harvesting (e.g., academic repositories, open knowledge bases), making the platform compatible with broader knowledge ecosystems.</w:t>
      </w:r>
    </w:p>
    <w:p w:rsidR="00EF7266" w:rsidRDefault="00EF7266" w:rsidP="00EF7266">
      <w:pPr>
        <w:pStyle w:val="NormalWeb"/>
      </w:pPr>
      <w:r>
        <w:rPr>
          <w:rStyle w:val="Strong"/>
        </w:rPr>
        <w:t>1.3 Faceted Navigation:</w:t>
      </w:r>
      <w:r>
        <w:br/>
        <w:t>Advanced faceted filtering mechanisms (Hearst, 2009) enable users to search by project type, contribution phase, document format, and geolocation. This enhances discoverability while reducing cognitive overload.</w:t>
      </w:r>
    </w:p>
    <w:p w:rsidR="00EF7266" w:rsidRDefault="00EF7266" w:rsidP="00EF7266">
      <w:pPr>
        <w:pStyle w:val="NormalWeb"/>
      </w:pPr>
      <w:r>
        <w:rPr>
          <w:rStyle w:val="Strong"/>
        </w:rPr>
        <w:t>1.4 Real-Time Data Sync:</w:t>
      </w:r>
      <w:r>
        <w:br/>
        <w:t>The IA supports real-time synchronization across distributed nodes. Citizen-submitted data (e.g., wildlife observations, air quality readings) are timestamped, geotagged, and indexed for rapid retrieval and triangulation.</w:t>
      </w:r>
    </w:p>
    <w:p w:rsidR="00EF7266" w:rsidRDefault="00EF7266" w:rsidP="00EF7266">
      <w:r>
        <w:pict>
          <v:rect id="_x0000_i1027" style="width:0;height:1.5pt" o:hralign="center" o:hrstd="t" o:hr="t" fillcolor="#a0a0a0" stroked="f"/>
        </w:pict>
      </w:r>
    </w:p>
    <w:p w:rsidR="00EF7266" w:rsidRDefault="00EF7266" w:rsidP="00EF7266">
      <w:pPr>
        <w:pStyle w:val="Heading3"/>
      </w:pPr>
      <w:r>
        <w:t>2. User Experience (UX) Design for Multi-Granularity Participation</w:t>
      </w:r>
    </w:p>
    <w:p w:rsidR="00EF7266" w:rsidRDefault="00EF7266" w:rsidP="00EF7266">
      <w:pPr>
        <w:pStyle w:val="NormalWeb"/>
      </w:pPr>
      <w:r>
        <w:t>The MG-CSP’s user experience is designed to accommodate the continuum of participants—from novice volunteers to academic researchers. The UX framework incorporates accessibility, engagement, and clarity as core design tenets.</w:t>
      </w:r>
    </w:p>
    <w:p w:rsidR="00EF7266" w:rsidRDefault="00EF7266" w:rsidP="00EF7266">
      <w:pPr>
        <w:pStyle w:val="NormalWeb"/>
      </w:pPr>
      <w:r>
        <w:rPr>
          <w:rStyle w:val="Strong"/>
        </w:rPr>
        <w:t>2.1 Inclusive Interaction Models:</w:t>
      </w:r>
      <w:r>
        <w:br/>
        <w:t>Role-based dashboards differentiate between visitor, contributor, validator, and project lead roles. Each user journey is optimized via contextual affordances and task-based navigation.</w:t>
      </w:r>
    </w:p>
    <w:p w:rsidR="00EF7266" w:rsidRDefault="00EF7266" w:rsidP="00EF7266">
      <w:pPr>
        <w:pStyle w:val="NormalWeb"/>
      </w:pPr>
      <w:r>
        <w:rPr>
          <w:rStyle w:val="Strong"/>
        </w:rPr>
        <w:t>2.2 Progressive Disclosure:</w:t>
      </w:r>
      <w:r>
        <w:br/>
        <w:t>Borrowing from interaction design best practices, advanced functions (e.g., dataset merging, algorithm training) are hidden from non-expert users, revealed only upon expertise verification or task progression.</w:t>
      </w:r>
    </w:p>
    <w:p w:rsidR="00EF7266" w:rsidRDefault="00EF7266" w:rsidP="00EF7266">
      <w:pPr>
        <w:pStyle w:val="NormalWeb"/>
      </w:pPr>
      <w:r>
        <w:rPr>
          <w:rStyle w:val="Strong"/>
        </w:rPr>
        <w:t>2.3 Feedback Mechanisms:</w:t>
      </w:r>
      <w:r>
        <w:br/>
        <w:t xml:space="preserve">The platform includes real-time validation feedback, contribution scoring, and community voting mechanisms. </w:t>
      </w:r>
      <w:proofErr w:type="gramStart"/>
      <w:r>
        <w:t>These foster transparency</w:t>
      </w:r>
      <w:proofErr w:type="gramEnd"/>
      <w:r>
        <w:t xml:space="preserve"> and promote data integrity while increasing user engagement.</w:t>
      </w:r>
    </w:p>
    <w:p w:rsidR="00EF7266" w:rsidRDefault="00EF7266" w:rsidP="00EF7266">
      <w:pPr>
        <w:pStyle w:val="NormalWeb"/>
      </w:pPr>
      <w:r>
        <w:rPr>
          <w:rStyle w:val="Strong"/>
        </w:rPr>
        <w:t>2.4 Multilingual &amp; Cultural Adaptation:</w:t>
      </w:r>
      <w:r>
        <w:br/>
        <w:t>The platform supports internationalization (i18n) and localization (l10n), offering multilingual interfaces and culturally nuanced visual assets to expand global accessibility.</w:t>
      </w:r>
    </w:p>
    <w:p w:rsidR="00EF7266" w:rsidRDefault="00EF7266" w:rsidP="00EF7266">
      <w:r>
        <w:pict>
          <v:rect id="_x0000_i1028" style="width:0;height:1.5pt" o:hralign="center" o:hrstd="t" o:hr="t" fillcolor="#a0a0a0" stroked="f"/>
        </w:pict>
      </w:r>
    </w:p>
    <w:p w:rsidR="00EF7266" w:rsidRDefault="00EF7266" w:rsidP="00EF7266">
      <w:pPr>
        <w:pStyle w:val="Heading3"/>
      </w:pPr>
      <w:r>
        <w:t>3. E-Commerce and Incentive Integration in Citizen Science</w:t>
      </w:r>
    </w:p>
    <w:p w:rsidR="00EF7266" w:rsidRDefault="00EF7266" w:rsidP="00EF7266">
      <w:pPr>
        <w:pStyle w:val="NormalWeb"/>
      </w:pPr>
      <w:r>
        <w:t>To align scientific goals with user engagement, MG-CSP integrates economic incentives and gamified participation pathways.</w:t>
      </w:r>
    </w:p>
    <w:p w:rsidR="00EF7266" w:rsidRDefault="00EF7266" w:rsidP="00EF7266">
      <w:pPr>
        <w:pStyle w:val="NormalWeb"/>
      </w:pPr>
      <w:r>
        <w:rPr>
          <w:rStyle w:val="Strong"/>
        </w:rPr>
        <w:t xml:space="preserve">3.1 </w:t>
      </w:r>
      <w:proofErr w:type="spellStart"/>
      <w:r>
        <w:rPr>
          <w:rStyle w:val="Strong"/>
        </w:rPr>
        <w:t>Tokenomics</w:t>
      </w:r>
      <w:proofErr w:type="spellEnd"/>
      <w:r>
        <w:rPr>
          <w:rStyle w:val="Strong"/>
        </w:rPr>
        <w:t xml:space="preserve"> &amp; Blockchain:</w:t>
      </w:r>
      <w:r>
        <w:br/>
        <w:t>A token-based reward system built on blockchain architecture allows contributors to earn verifiable tokens for data submissions, validations, and peer reviews. Tokens can be redeemed for tools, merchandise, or API access.</w:t>
      </w:r>
    </w:p>
    <w:p w:rsidR="00EF7266" w:rsidRDefault="00EF7266" w:rsidP="00EF7266">
      <w:pPr>
        <w:pStyle w:val="NormalWeb"/>
      </w:pPr>
      <w:r>
        <w:rPr>
          <w:rStyle w:val="Strong"/>
        </w:rPr>
        <w:t>3.2 Marketplace Integration:</w:t>
      </w:r>
      <w:r>
        <w:br/>
        <w:t>An embedded e-commerce module facilitates the purchase of scientific kits, hardware sensors, or educational materials. Secure payment gateways and user wallets support transaction transparency and anti-fraud protocols.</w:t>
      </w:r>
    </w:p>
    <w:p w:rsidR="00EF7266" w:rsidRDefault="00EF7266" w:rsidP="00EF7266">
      <w:pPr>
        <w:pStyle w:val="NormalWeb"/>
      </w:pPr>
      <w:r>
        <w:rPr>
          <w:rStyle w:val="Strong"/>
        </w:rPr>
        <w:t>3.3 Incentive Governance:</w:t>
      </w:r>
      <w:r>
        <w:br/>
        <w:t>Smart contracts dictate rules for token issuance and expenditure, ensuring equitable distribution based on community-defined metrics (e.g., data quality, frequency, novelty).</w:t>
      </w:r>
    </w:p>
    <w:p w:rsidR="00EF7266" w:rsidRDefault="00EF7266" w:rsidP="00EF7266">
      <w:r>
        <w:pict>
          <v:rect id="_x0000_i1029" style="width:0;height:1.5pt" o:hralign="center" o:hrstd="t" o:hr="t" fillcolor="#a0a0a0" stroked="f"/>
        </w:pict>
      </w:r>
    </w:p>
    <w:p w:rsidR="00EF7266" w:rsidRDefault="00EF7266" w:rsidP="00EF7266">
      <w:pPr>
        <w:pStyle w:val="Heading3"/>
      </w:pPr>
      <w:r>
        <w:t>4. Technical Implementation Framework</w:t>
      </w:r>
    </w:p>
    <w:p w:rsidR="00EF7266" w:rsidRDefault="00EF7266" w:rsidP="00EF7266">
      <w:pPr>
        <w:pStyle w:val="NormalWeb"/>
      </w:pPr>
      <w:r>
        <w:t>The technical foundation of MG-CSP balances scalability, responsiveness, and modularity to ensure robustness under high concurrency and data loads.</w:t>
      </w:r>
    </w:p>
    <w:p w:rsidR="00EF7266" w:rsidRDefault="00EF7266" w:rsidP="00EF7266">
      <w:pPr>
        <w:pStyle w:val="NormalWeb"/>
      </w:pPr>
      <w:r>
        <w:rPr>
          <w:rStyle w:val="Strong"/>
        </w:rPr>
        <w:t>4.1 Frontend Architecture:</w:t>
      </w:r>
      <w:r>
        <w:br/>
        <w:t xml:space="preserve">The interface employs </w:t>
      </w:r>
      <w:proofErr w:type="spellStart"/>
      <w:r>
        <w:t>Eleventy</w:t>
      </w:r>
      <w:proofErr w:type="spellEnd"/>
      <w:r>
        <w:t xml:space="preserve"> (11ty) for static site generation, augmented with Alpine.js and Stimulus for dynamic interactions. Component reusability is maximized via Tailwind CSS’s utility-first design system.</w:t>
      </w:r>
    </w:p>
    <w:p w:rsidR="00EF7266" w:rsidRDefault="00EF7266" w:rsidP="00EF7266">
      <w:pPr>
        <w:pStyle w:val="NormalWeb"/>
      </w:pPr>
      <w:r>
        <w:rPr>
          <w:rStyle w:val="Strong"/>
        </w:rPr>
        <w:t>4.2 Backend &amp; APIs:</w:t>
      </w:r>
      <w:r>
        <w:br/>
        <w:t xml:space="preserve">Though frontend-dominant, the platform connects to headless CMSs and data sources via RESTful and </w:t>
      </w:r>
      <w:proofErr w:type="spellStart"/>
      <w:r>
        <w:t>GraphQL</w:t>
      </w:r>
      <w:proofErr w:type="spellEnd"/>
      <w:r>
        <w:t xml:space="preserve"> APIs. </w:t>
      </w:r>
      <w:proofErr w:type="spellStart"/>
      <w:r>
        <w:t>Microservices</w:t>
      </w:r>
      <w:proofErr w:type="spellEnd"/>
      <w:r>
        <w:t xml:space="preserve"> handle distinct tasks: submission logging, validation, contribution scoring, and real-time notifications.</w:t>
      </w:r>
    </w:p>
    <w:p w:rsidR="00EF7266" w:rsidRDefault="00EF7266" w:rsidP="00EF7266">
      <w:pPr>
        <w:pStyle w:val="NormalWeb"/>
      </w:pPr>
      <w:r>
        <w:rPr>
          <w:rStyle w:val="Strong"/>
        </w:rPr>
        <w:t>4.3 Containerization &amp; DevOps:</w:t>
      </w:r>
      <w:r>
        <w:br/>
        <w:t>Docker containers and Kubernetes orchestration facilitate scalable deployments, continuous integration, and automated testing across environments (development, staging, production).</w:t>
      </w:r>
    </w:p>
    <w:p w:rsidR="00EF7266" w:rsidRDefault="00EF7266" w:rsidP="00EF7266">
      <w:pPr>
        <w:pStyle w:val="NormalWeb"/>
      </w:pPr>
      <w:r>
        <w:rPr>
          <w:rStyle w:val="Strong"/>
        </w:rPr>
        <w:t>4.4 Machine Learning Integration:</w:t>
      </w:r>
      <w:r>
        <w:br/>
        <w:t>ML models support automatic classification (e.g., species recognition), anomaly detection, and recommendation systems. TensorFlow.js enables lightweight on-device computation for edge-based validations.</w:t>
      </w:r>
    </w:p>
    <w:p w:rsidR="00EF7266" w:rsidRDefault="00EF7266" w:rsidP="00EF7266">
      <w:r>
        <w:pict>
          <v:rect id="_x0000_i1030" style="width:0;height:1.5pt" o:hralign="center" o:hrstd="t" o:hr="t" fillcolor="#a0a0a0" stroked="f"/>
        </w:pict>
      </w:r>
    </w:p>
    <w:p w:rsidR="00EF7266" w:rsidRDefault="00EF7266" w:rsidP="00EF7266">
      <w:pPr>
        <w:pStyle w:val="Heading3"/>
      </w:pPr>
      <w:r>
        <w:t>5. Security and Privacy in Citizen Science Platforms</w:t>
      </w:r>
    </w:p>
    <w:p w:rsidR="00EF7266" w:rsidRDefault="00EF7266" w:rsidP="00EF7266">
      <w:pPr>
        <w:pStyle w:val="NormalWeb"/>
      </w:pPr>
      <w:r>
        <w:t>Trust is essential in participatory platforms, particularly where sensitive data are collected.</w:t>
      </w:r>
    </w:p>
    <w:p w:rsidR="00EF7266" w:rsidRDefault="00EF7266" w:rsidP="00EF7266">
      <w:pPr>
        <w:pStyle w:val="NormalWeb"/>
      </w:pPr>
      <w:r>
        <w:rPr>
          <w:rStyle w:val="Strong"/>
        </w:rPr>
        <w:t>5.1 Data Encryption &amp; Storage:</w:t>
      </w:r>
      <w:r>
        <w:br/>
        <w:t>All transmission occurs over TLS 1.3. Sensitive data is encrypted using AES-256 and stored in region-compliant data centers.</w:t>
      </w:r>
    </w:p>
    <w:p w:rsidR="00EF7266" w:rsidRDefault="00EF7266" w:rsidP="00EF7266">
      <w:pPr>
        <w:pStyle w:val="NormalWeb"/>
      </w:pPr>
      <w:r>
        <w:rPr>
          <w:rStyle w:val="Strong"/>
        </w:rPr>
        <w:t>5.2 Authentication &amp; Role-Based Access:</w:t>
      </w:r>
      <w:r>
        <w:br/>
        <w:t>OAuth 2.0 governs login processes, while fine-grained access controls restrict user privileges based on role, contribution history, and data sensitivity.</w:t>
      </w:r>
    </w:p>
    <w:p w:rsidR="00EF7266" w:rsidRDefault="00EF7266" w:rsidP="00EF7266">
      <w:pPr>
        <w:pStyle w:val="NormalWeb"/>
      </w:pPr>
      <w:r>
        <w:rPr>
          <w:rStyle w:val="Strong"/>
        </w:rPr>
        <w:t>5.3 Compliance Standards:</w:t>
      </w:r>
      <w:r>
        <w:br/>
        <w:t>Platform operations are aligned with GDPR, COPPA, and CCPA regulations. Data minimization and consent frameworks are implemented by design.</w:t>
      </w:r>
    </w:p>
    <w:p w:rsidR="00EF7266" w:rsidRDefault="00EF7266" w:rsidP="00EF7266">
      <w:pPr>
        <w:pStyle w:val="NormalWeb"/>
      </w:pPr>
      <w:r>
        <w:rPr>
          <w:rStyle w:val="Strong"/>
        </w:rPr>
        <w:t>5.4 Advanced Privacy Techniques:</w:t>
      </w:r>
      <w:r>
        <w:br/>
        <w:t>Homomorphic encryption and federated learning allow model training on decentralized data without compromising individual identities.</w:t>
      </w:r>
    </w:p>
    <w:p w:rsidR="00EF7266" w:rsidRDefault="00EF7266" w:rsidP="00EF7266">
      <w:r>
        <w:pict>
          <v:rect id="_x0000_i1031" style="width:0;height:1.5pt" o:hralign="center" o:hrstd="t" o:hr="t" fillcolor="#a0a0a0" stroked="f"/>
        </w:pict>
      </w:r>
    </w:p>
    <w:p w:rsidR="00EF7266" w:rsidRDefault="00EF7266" w:rsidP="00EF7266">
      <w:pPr>
        <w:pStyle w:val="Heading3"/>
      </w:pPr>
      <w:r>
        <w:t>6. Monitoring, Evaluation, and Impact Assessment</w:t>
      </w:r>
    </w:p>
    <w:p w:rsidR="00EF7266" w:rsidRDefault="00EF7266" w:rsidP="00EF7266">
      <w:pPr>
        <w:pStyle w:val="NormalWeb"/>
      </w:pPr>
      <w:r>
        <w:t>An embedded monitoring and evaluation (M&amp;E) system ensures data-driven platform governance and continual improvement.</w:t>
      </w:r>
    </w:p>
    <w:p w:rsidR="00EF7266" w:rsidRDefault="00EF7266" w:rsidP="00EF7266">
      <w:pPr>
        <w:pStyle w:val="NormalWeb"/>
      </w:pPr>
      <w:r>
        <w:rPr>
          <w:rStyle w:val="Strong"/>
        </w:rPr>
        <w:t>6.1 Real-Time Analytics:</w:t>
      </w:r>
      <w:r>
        <w:br/>
        <w:t>Built-in dashboards provide administrators with KPIs such as active users, data submissions per region, retention rates, and data quality scores.</w:t>
      </w:r>
    </w:p>
    <w:p w:rsidR="00EF7266" w:rsidRDefault="00EF7266" w:rsidP="00EF7266">
      <w:pPr>
        <w:pStyle w:val="NormalWeb"/>
      </w:pPr>
      <w:r>
        <w:rPr>
          <w:rStyle w:val="Strong"/>
        </w:rPr>
        <w:t>6.2 Performance Auditing:</w:t>
      </w:r>
      <w:r>
        <w:br/>
        <w:t xml:space="preserve">Scripts audit latency, API uptime, and responsiveness metrics (e.g., Largest </w:t>
      </w:r>
      <w:proofErr w:type="spellStart"/>
      <w:r>
        <w:t>Contentful</w:t>
      </w:r>
      <w:proofErr w:type="spellEnd"/>
      <w:r>
        <w:t xml:space="preserve"> Paint, Time to Interactive) on a rolling basis.</w:t>
      </w:r>
    </w:p>
    <w:p w:rsidR="00EF7266" w:rsidRDefault="00EF7266" w:rsidP="00EF7266">
      <w:pPr>
        <w:pStyle w:val="NormalWeb"/>
      </w:pPr>
      <w:r>
        <w:rPr>
          <w:rStyle w:val="Strong"/>
        </w:rPr>
        <w:t>6.3 Scientific Impact Metrics:</w:t>
      </w:r>
      <w:r>
        <w:br/>
        <w:t>Citation tracking, dataset downloads, and publication mentions are logged to quantify academic value. These outputs feed into funding justifications and partnership proposals.</w:t>
      </w:r>
    </w:p>
    <w:p w:rsidR="00EF7266" w:rsidRDefault="00EF7266" w:rsidP="00EF7266">
      <w:pPr>
        <w:pStyle w:val="NormalWeb"/>
      </w:pPr>
      <w:r>
        <w:rPr>
          <w:rStyle w:val="Strong"/>
        </w:rPr>
        <w:t>6.4 Community Feedback Loops:</w:t>
      </w:r>
      <w:r>
        <w:br/>
        <w:t>Surveys, polls, and forum interactions are analyzed using natural language processing to gauge user satisfaction, identify feature requests, and detect frustration patterns.</w:t>
      </w:r>
    </w:p>
    <w:p w:rsidR="00EF7266" w:rsidRDefault="00EF7266" w:rsidP="00EF7266">
      <w:r>
        <w:pict>
          <v:rect id="_x0000_i1032" style="width:0;height:1.5pt" o:hralign="center" o:hrstd="t" o:hr="t" fillcolor="#a0a0a0" stroked="f"/>
        </w:pict>
      </w:r>
    </w:p>
    <w:p w:rsidR="00EF7266" w:rsidRDefault="00EF7266" w:rsidP="00EF7266">
      <w:pPr>
        <w:pStyle w:val="Heading3"/>
      </w:pPr>
      <w:r>
        <w:t>Conclusion</w:t>
      </w:r>
    </w:p>
    <w:p w:rsidR="00EF7266" w:rsidRDefault="00EF7266" w:rsidP="00EF7266">
      <w:pPr>
        <w:pStyle w:val="NormalWeb"/>
      </w:pPr>
      <w:r>
        <w:t>The Multi-Granularity Citizen Science Platform embodies a holistic digital ecology for open research participation. Its layered architecture, inclusive UX design, and robust technical scaffolding position it as a model for next-generation citizen science infrastructure.</w:t>
      </w:r>
    </w:p>
    <w:p w:rsidR="00EF7266" w:rsidRDefault="00EF7266" w:rsidP="00EF7266">
      <w:pPr>
        <w:pStyle w:val="NormalWeb"/>
      </w:pPr>
      <w:r>
        <w:t>MG-CSP not only democratizes scientific engagement but operationalizes best practices from HCI, AI ethics, platform governance, and participatory epistemology. As digital citizenship continues to evolve, platforms like MG-CSP will remain central in shaping how collaborative intelligence contributes to knowledge economies, policy interventions, and planetary stewardship.</w:t>
      </w:r>
    </w:p>
    <w:p w:rsidR="00EF7266" w:rsidRDefault="00EF7266" w:rsidP="00EF7266">
      <w:r>
        <w:pict>
          <v:rect id="_x0000_i1033" style="width:0;height:1.5pt" o:hralign="center" o:hrstd="t" o:hr="t" fillcolor="#a0a0a0" stroked="f"/>
        </w:pict>
      </w:r>
    </w:p>
    <w:p w:rsidR="00EF7266" w:rsidRDefault="00EF7266" w:rsidP="00EF7266">
      <w:pPr>
        <w:pStyle w:val="Heading3"/>
      </w:pPr>
      <w:r>
        <w:t>Recommendations for Future Iterations</w:t>
      </w:r>
    </w:p>
    <w:p w:rsidR="00EF7266" w:rsidRDefault="00EF7266" w:rsidP="00EF7266">
      <w:pPr>
        <w:pStyle w:val="NormalWeb"/>
        <w:numPr>
          <w:ilvl w:val="0"/>
          <w:numId w:val="1"/>
        </w:numPr>
      </w:pPr>
      <w:r>
        <w:rPr>
          <w:rStyle w:val="Strong"/>
        </w:rPr>
        <w:t>AI-Driven Personalization:</w:t>
      </w:r>
      <w:r>
        <w:t xml:space="preserve"> Adaptive UIs and contextual recommendations based on user profiles and behavioral history.</w:t>
      </w:r>
    </w:p>
    <w:p w:rsidR="00EF7266" w:rsidRDefault="00EF7266" w:rsidP="00EF7266">
      <w:pPr>
        <w:pStyle w:val="NormalWeb"/>
        <w:numPr>
          <w:ilvl w:val="0"/>
          <w:numId w:val="1"/>
        </w:numPr>
      </w:pPr>
      <w:r>
        <w:rPr>
          <w:rStyle w:val="Strong"/>
        </w:rPr>
        <w:t>Distributed Ledger Technologies:</w:t>
      </w:r>
      <w:r>
        <w:t xml:space="preserve"> Immutable logging of scientific claims, review processes, and contributor provenance.</w:t>
      </w:r>
    </w:p>
    <w:p w:rsidR="00EF7266" w:rsidRDefault="00EF7266" w:rsidP="00EF7266">
      <w:pPr>
        <w:pStyle w:val="NormalWeb"/>
        <w:numPr>
          <w:ilvl w:val="0"/>
          <w:numId w:val="1"/>
        </w:numPr>
      </w:pPr>
      <w:r>
        <w:rPr>
          <w:rStyle w:val="Strong"/>
        </w:rPr>
        <w:t>Open API Expansion:</w:t>
      </w:r>
      <w:r>
        <w:t xml:space="preserve"> Modular hooks for integration with educational platforms (Moodle), automation tools (</w:t>
      </w:r>
      <w:proofErr w:type="spellStart"/>
      <w:r>
        <w:t>Zapier</w:t>
      </w:r>
      <w:proofErr w:type="spellEnd"/>
      <w:r>
        <w:t>), and academic repositories (</w:t>
      </w:r>
      <w:proofErr w:type="spellStart"/>
      <w:r>
        <w:t>Zenodo</w:t>
      </w:r>
      <w:proofErr w:type="spellEnd"/>
      <w:r>
        <w:t>).</w:t>
      </w:r>
    </w:p>
    <w:p w:rsidR="00EF7266" w:rsidRDefault="00EF7266" w:rsidP="00EF7266">
      <w:pPr>
        <w:pStyle w:val="NormalWeb"/>
        <w:numPr>
          <w:ilvl w:val="0"/>
          <w:numId w:val="1"/>
        </w:numPr>
      </w:pPr>
      <w:r>
        <w:rPr>
          <w:rStyle w:val="Strong"/>
        </w:rPr>
        <w:t>Edge AI Deployment:</w:t>
      </w:r>
      <w:r>
        <w:t xml:space="preserve"> On-device data validation for real-time, offline-compatible fieldwork support.</w:t>
      </w:r>
    </w:p>
    <w:p w:rsidR="00EF7266" w:rsidRDefault="00EF7266" w:rsidP="00EF7266">
      <w:r>
        <w:pict>
          <v:rect id="_x0000_i1034" style="width:0;height:1.5pt" o:hralign="center" o:hrstd="t" o:hr="t" fillcolor="#a0a0a0" stroked="f"/>
        </w:pict>
      </w:r>
    </w:p>
    <w:p w:rsidR="00EF7266" w:rsidRDefault="00EF7266" w:rsidP="00EF7266">
      <w:pPr>
        <w:pStyle w:val="Heading3"/>
      </w:pPr>
      <w:r>
        <w:t>References</w:t>
      </w:r>
    </w:p>
    <w:p w:rsidR="00EF7266" w:rsidRDefault="00EF7266" w:rsidP="00EF7266">
      <w:pPr>
        <w:pStyle w:val="NormalWeb"/>
        <w:numPr>
          <w:ilvl w:val="0"/>
          <w:numId w:val="2"/>
        </w:numPr>
      </w:pPr>
      <w:proofErr w:type="spellStart"/>
      <w:r>
        <w:t>Deterding</w:t>
      </w:r>
      <w:proofErr w:type="spellEnd"/>
      <w:r>
        <w:t xml:space="preserve">, S., et al. (2011). From Game Design Elements to </w:t>
      </w:r>
      <w:proofErr w:type="spellStart"/>
      <w:r>
        <w:t>Gamefulness</w:t>
      </w:r>
      <w:proofErr w:type="spellEnd"/>
      <w:r>
        <w:t>. CHI.</w:t>
      </w:r>
    </w:p>
    <w:p w:rsidR="00EF7266" w:rsidRDefault="00EF7266" w:rsidP="00EF7266">
      <w:pPr>
        <w:pStyle w:val="NormalWeb"/>
        <w:numPr>
          <w:ilvl w:val="0"/>
          <w:numId w:val="2"/>
        </w:numPr>
      </w:pPr>
      <w:proofErr w:type="spellStart"/>
      <w:r>
        <w:t>Grigorik</w:t>
      </w:r>
      <w:proofErr w:type="spellEnd"/>
      <w:r>
        <w:t>, I. (2013). High Performance Browser Networking. O'Reilly Media.</w:t>
      </w:r>
    </w:p>
    <w:p w:rsidR="00EF7266" w:rsidRDefault="00EF7266" w:rsidP="00EF7266">
      <w:pPr>
        <w:pStyle w:val="NormalWeb"/>
        <w:numPr>
          <w:ilvl w:val="0"/>
          <w:numId w:val="2"/>
        </w:numPr>
      </w:pPr>
      <w:r>
        <w:t>Hearst, M. (2009). Search User Interfaces. Cambridge University Press.</w:t>
      </w:r>
    </w:p>
    <w:p w:rsidR="00EF7266" w:rsidRDefault="00EF7266" w:rsidP="00EF7266">
      <w:pPr>
        <w:pStyle w:val="NormalWeb"/>
        <w:numPr>
          <w:ilvl w:val="0"/>
          <w:numId w:val="2"/>
        </w:numPr>
      </w:pPr>
      <w:proofErr w:type="spellStart"/>
      <w:r>
        <w:t>Lidwell</w:t>
      </w:r>
      <w:proofErr w:type="spellEnd"/>
      <w:r>
        <w:t>, W., Holden, K., &amp; Butler, J. (2010). Universal Principles of Design. Rockport.</w:t>
      </w:r>
    </w:p>
    <w:p w:rsidR="00EF7266" w:rsidRDefault="00EF7266" w:rsidP="00EF7266">
      <w:pPr>
        <w:pStyle w:val="NormalWeb"/>
        <w:numPr>
          <w:ilvl w:val="0"/>
          <w:numId w:val="2"/>
        </w:numPr>
      </w:pPr>
      <w:proofErr w:type="spellStart"/>
      <w:r>
        <w:t>Marcotte</w:t>
      </w:r>
      <w:proofErr w:type="spellEnd"/>
      <w:r>
        <w:t>, E. (2011). Responsive Web Design. A Book Apart.</w:t>
      </w:r>
    </w:p>
    <w:p w:rsidR="00EF7266" w:rsidRDefault="00EF7266" w:rsidP="00EF7266">
      <w:pPr>
        <w:pStyle w:val="NormalWeb"/>
        <w:numPr>
          <w:ilvl w:val="0"/>
          <w:numId w:val="2"/>
        </w:numPr>
      </w:pPr>
      <w:r>
        <w:t>Mayer, R. E. (2001). Multimedia Learning. Cambridge University Press.</w:t>
      </w:r>
    </w:p>
    <w:p w:rsidR="00EF7266" w:rsidRDefault="00EF7266" w:rsidP="00EF7266">
      <w:pPr>
        <w:pStyle w:val="NormalWeb"/>
        <w:numPr>
          <w:ilvl w:val="0"/>
          <w:numId w:val="2"/>
        </w:numPr>
      </w:pPr>
      <w:r>
        <w:t xml:space="preserve">Nielsen, J. (2006). F-Shaped Pattern </w:t>
      </w:r>
      <w:proofErr w:type="gramStart"/>
      <w:r>
        <w:t>For</w:t>
      </w:r>
      <w:proofErr w:type="gramEnd"/>
      <w:r>
        <w:t xml:space="preserve"> Reading Web Content.</w:t>
      </w:r>
    </w:p>
    <w:p w:rsidR="00EF7266" w:rsidRDefault="00EF7266" w:rsidP="00EF7266">
      <w:pPr>
        <w:pStyle w:val="NormalWeb"/>
        <w:numPr>
          <w:ilvl w:val="0"/>
          <w:numId w:val="2"/>
        </w:numPr>
      </w:pPr>
      <w:r>
        <w:t xml:space="preserve">Rosenfeld, L., &amp; </w:t>
      </w:r>
      <w:proofErr w:type="spellStart"/>
      <w:r>
        <w:t>Morville</w:t>
      </w:r>
      <w:proofErr w:type="spellEnd"/>
      <w:r>
        <w:t>, P. (2015). Information Architecture for the World Wide Web. O'Reilly.</w:t>
      </w:r>
    </w:p>
    <w:p w:rsidR="00EF7266" w:rsidRDefault="00EF7266" w:rsidP="00EF7266">
      <w:pPr>
        <w:pStyle w:val="NormalWeb"/>
        <w:numPr>
          <w:ilvl w:val="0"/>
          <w:numId w:val="2"/>
        </w:numPr>
      </w:pPr>
      <w:proofErr w:type="spellStart"/>
      <w:r>
        <w:t>Enge</w:t>
      </w:r>
      <w:proofErr w:type="spellEnd"/>
      <w:r>
        <w:t>, E., et al. (2015). The Art of SEO. O'Reilly.</w:t>
      </w:r>
    </w:p>
    <w:p w:rsidR="00EF7266" w:rsidRDefault="00EF7266" w:rsidP="00EF7266">
      <w:pPr>
        <w:pStyle w:val="NormalWeb"/>
        <w:numPr>
          <w:ilvl w:val="0"/>
          <w:numId w:val="2"/>
        </w:numPr>
      </w:pPr>
      <w:r>
        <w:t>Google (2020). Material Design Dark Theme Guidelines.</w:t>
      </w:r>
    </w:p>
    <w:p w:rsidR="00EF7266" w:rsidRDefault="00EF7266" w:rsidP="00EF7266">
      <w:r>
        <w:pict>
          <v:rect id="_x0000_i1035" style="width:0;height:1.5pt" o:hralign="center" o:hrstd="t" o:hr="t" fillcolor="#a0a0a0" stroked="f"/>
        </w:pict>
      </w:r>
    </w:p>
    <w:p w:rsidR="007000D0" w:rsidRPr="00EF7266" w:rsidRDefault="007000D0" w:rsidP="00EF7266">
      <w:bookmarkStart w:id="0" w:name="_GoBack"/>
      <w:bookmarkEnd w:id="0"/>
    </w:p>
    <w:sectPr w:rsidR="007000D0" w:rsidRPr="00EF7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21E08"/>
    <w:multiLevelType w:val="multilevel"/>
    <w:tmpl w:val="82F8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176A4"/>
    <w:multiLevelType w:val="multilevel"/>
    <w:tmpl w:val="8818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266"/>
    <w:rsid w:val="007000D0"/>
    <w:rsid w:val="00EF7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561B8"/>
  <w15:chartTrackingRefBased/>
  <w15:docId w15:val="{3ECD47E3-4895-44F6-B1AA-B68F1B8A5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F72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F72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7266"/>
    <w:rPr>
      <w:rFonts w:ascii="Times New Roman" w:eastAsia="Times New Roman" w:hAnsi="Times New Roman" w:cs="Times New Roman"/>
      <w:b/>
      <w:bCs/>
      <w:sz w:val="27"/>
      <w:szCs w:val="27"/>
    </w:rPr>
  </w:style>
  <w:style w:type="character" w:styleId="Strong">
    <w:name w:val="Strong"/>
    <w:basedOn w:val="DefaultParagraphFont"/>
    <w:uiPriority w:val="22"/>
    <w:qFormat/>
    <w:rsid w:val="00EF7266"/>
    <w:rPr>
      <w:b/>
      <w:bCs/>
    </w:rPr>
  </w:style>
  <w:style w:type="paragraph" w:styleId="NormalWeb">
    <w:name w:val="Normal (Web)"/>
    <w:basedOn w:val="Normal"/>
    <w:uiPriority w:val="99"/>
    <w:semiHidden/>
    <w:unhideWhenUsed/>
    <w:rsid w:val="00EF72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F726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82176">
      <w:bodyDiv w:val="1"/>
      <w:marLeft w:val="0"/>
      <w:marRight w:val="0"/>
      <w:marTop w:val="0"/>
      <w:marBottom w:val="0"/>
      <w:divBdr>
        <w:top w:val="none" w:sz="0" w:space="0" w:color="auto"/>
        <w:left w:val="none" w:sz="0" w:space="0" w:color="auto"/>
        <w:bottom w:val="none" w:sz="0" w:space="0" w:color="auto"/>
        <w:right w:val="none" w:sz="0" w:space="0" w:color="auto"/>
      </w:divBdr>
    </w:div>
    <w:div w:id="296376043">
      <w:bodyDiv w:val="1"/>
      <w:marLeft w:val="0"/>
      <w:marRight w:val="0"/>
      <w:marTop w:val="0"/>
      <w:marBottom w:val="0"/>
      <w:divBdr>
        <w:top w:val="none" w:sz="0" w:space="0" w:color="auto"/>
        <w:left w:val="none" w:sz="0" w:space="0" w:color="auto"/>
        <w:bottom w:val="none" w:sz="0" w:space="0" w:color="auto"/>
        <w:right w:val="none" w:sz="0" w:space="0" w:color="auto"/>
      </w:divBdr>
    </w:div>
    <w:div w:id="182755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1222</Words>
  <Characters>9048</Characters>
  <Application>Microsoft Office Word</Application>
  <DocSecurity>0</DocSecurity>
  <Lines>131</Lines>
  <Paragraphs>28</Paragraphs>
  <ScaleCrop>false</ScaleCrop>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2025-05-30T22:26:00Z</dcterms:created>
  <dcterms:modified xsi:type="dcterms:W3CDTF">2025-05-30T22:37:00Z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a8936fab-9b9a-477b-b457-7eb09149a684</vt:lpwstr>
  </property>
</Properties>
</file>