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Mesurer le ton des communications de la Banque du Canada :</w:t>
        <w:br/>
        <w:t>un indice hawkish/dovish sur la période 2009-2026</w:t>
      </w:r>
    </w:p>
    <w:p>
      <w:pPr>
        <w:spacing w:after="280"/>
        <w:jc w:val="center"/>
      </w:pPr>
      <w:r>
        <w:rPr>
          <w:sz w:val="20"/>
        </w:rPr>
        <w:t>Note descriptive — Projet bdc-fedspeak | Ulrich Djidonou | Mai 2026</w:t>
      </w:r>
    </w:p>
    <w:p>
      <w:pPr>
        <w:pStyle w:val="Heading2"/>
        <w:jc w:val="left"/>
      </w:pPr>
      <w:r>
        <w:t>Résumé</w:t>
      </w:r>
    </w:p>
    <w:p>
      <w:pPr>
        <w:spacing w:before="0" w:after="120"/>
      </w:pPr>
      <w:r>
        <w:rPr>
          <w:b w:val="0"/>
          <w:i w:val="0"/>
          <w:sz w:val="20"/>
        </w:rPr>
        <w:t>Cette note présente un indice de ton hawkish/dovish construit à partir des 127 communiqués de décision de taux de la Banque du Canada publiés entre janvier 2009 et avril 2026. L'indice est calculé par comptage de termes dans un lexique adapté de la littérature (Apel et Blix Grimaldi, 2014 ; Picault et Renault, 2017). Les résultats montrent que le ton des communiqués anticipe systématiquement les retournements de politique monétaire et que le cycle Macklem (2022-2026) constitue l'épisode le plus documenté en termes de signal hawkish avant les hausses de taux.</w:t>
      </w:r>
    </w:p>
    <w:p/>
    <w:p>
      <w:pPr>
        <w:pStyle w:val="Heading1"/>
        <w:jc w:val="left"/>
      </w:pPr>
      <w:r>
        <w:t>1. Contexte et question de recherche</w:t>
      </w:r>
    </w:p>
    <w:p>
      <w:pPr>
        <w:spacing w:before="0" w:after="120"/>
      </w:pPr>
      <w:r>
        <w:rPr>
          <w:b w:val="0"/>
          <w:i w:val="0"/>
          <w:sz w:val="22"/>
        </w:rPr>
        <w:t>Les décisions de politique monétaire de la Banque du Canada ne se limitent pas au changement du taux directeur. Le texte des communiqués officiels (Fixed Announcement Dates, FAD) contient une information prospective — la guidance — qui conditionne les anticipations des marchés financiers au-delà de la décision elle-même. Cette note s'inscrit dans la littérature sur le 'fedspeak' en posant la question suivante : le ton des communiqués de la BdC est-il mesurable, systématique, et lié aux décisions de taux qui suivent ?</w:t>
      </w:r>
    </w:p>
    <w:p>
      <w:pPr>
        <w:pStyle w:val="Heading1"/>
        <w:jc w:val="left"/>
      </w:pPr>
      <w:r>
        <w:t>2. Données et méthodologie</w:t>
      </w:r>
    </w:p>
    <w:p>
      <w:pPr>
        <w:pStyle w:val="Heading2"/>
        <w:jc w:val="left"/>
      </w:pPr>
      <w:r>
        <w:t>2.1 Données</w:t>
      </w:r>
    </w:p>
    <w:p>
      <w:pPr>
        <w:spacing w:before="0" w:after="120"/>
      </w:pPr>
      <w:r>
        <w:rPr>
          <w:b w:val="0"/>
          <w:i w:val="0"/>
          <w:sz w:val="22"/>
        </w:rPr>
        <w:t>Les communiqués FAD sont collectés via le sitemap WordPress de bankofcanada.ca (pattern d'URL fad-press-release, disponible depuis janvier 2009). L'échantillon final comprend 127 annonces après nettoyage du boilerplate institutionnel. Le taux directeur cible est issu de l'API Valet de la BdC (série V39079).</w:t>
      </w:r>
    </w:p>
    <w:p>
      <w:pPr>
        <w:pStyle w:val="Heading2"/>
        <w:jc w:val="left"/>
      </w:pPr>
      <w:r>
        <w:t>2.2 Construction de l'indice de ton</w:t>
      </w:r>
    </w:p>
    <w:p>
      <w:pPr>
        <w:spacing w:before="0" w:after="120"/>
      </w:pPr>
      <w:r>
        <w:rPr>
          <w:b w:val="0"/>
          <w:i w:val="0"/>
          <w:sz w:val="22"/>
        </w:rPr>
        <w:t>L'indice de ton est construit par comptage de termes dans un lexique bilingue (anglais/français) classifiant les expressions en deux catégories :</w:t>
      </w:r>
    </w:p>
    <w:p>
      <w:pPr>
        <w:pStyle w:val="ListBullet"/>
        <w:spacing w:after="40"/>
      </w:pPr>
      <w:r>
        <w:rPr>
          <w:b/>
        </w:rPr>
        <w:t xml:space="preserve">Hawkish (restrictif) : </w:t>
      </w:r>
      <w:r>
        <w:t>termes signalant un resserrement monétaire, des pressions inflationnistes, ou une économie en surchauffe (ex. : 'tightening', 'inflation pressures', 'further increases', 'excess demand').</w:t>
      </w:r>
    </w:p>
    <w:p>
      <w:pPr>
        <w:pStyle w:val="ListBullet"/>
        <w:spacing w:after="160"/>
      </w:pPr>
      <w:r>
        <w:rPr>
          <w:b/>
        </w:rPr>
        <w:t xml:space="preserve">Dovish (accommodant) : </w:t>
      </w:r>
      <w:r>
        <w:t>termes signalant un assouplissement, des risques à la baisse, ou un soutien à la croissance (ex. : 'easing', 'downside risks', 'accommodative', 'uncertainty', 'tariffs').</w:t>
      </w:r>
    </w:p>
    <w:p>
      <w:pPr>
        <w:spacing w:before="0" w:after="120"/>
      </w:pPr>
      <w:r>
        <w:rPr>
          <w:b w:val="0"/>
          <w:i w:val="0"/>
          <w:sz w:val="22"/>
        </w:rPr>
        <w:t>Le lexique est adapté de Apel et Blix Grimaldi (2014) et Picault et Renault (2017), avec des ajouts propres au vocabulaire de la BdC. Le score net est calculé comme suit :</w:t>
      </w:r>
    </w:p>
    <w:p>
      <w:pPr>
        <w:spacing w:after="160"/>
        <w:jc w:val="center"/>
      </w:pPr>
      <w:r>
        <w:rPr>
          <w:b/>
          <w:sz w:val="22"/>
        </w:rPr>
        <w:t>Indice de ton = (N_hawkish - N_dovish) / (N_hawkish + N_dovish)</w:t>
      </w:r>
    </w:p>
    <w:p>
      <w:pPr>
        <w:spacing w:before="0" w:after="120"/>
      </w:pPr>
      <w:r>
        <w:rPr>
          <w:b w:val="0"/>
          <w:i w:val="0"/>
          <w:sz w:val="22"/>
        </w:rPr>
        <w:t>L'indice prend des valeurs dans [-1, 1] : +1 indique un communiqué entièrement hawkish, -1 un communiqué entièrement dovish, 0 un ton neutre ou équilibré. Les communiqués sans aucun terme des deux catégories reçoivent un score nul et sont classés 'neutres' (3 observations sur 127).</w:t>
      </w:r>
    </w:p>
    <w:p>
      <w:pPr>
        <w:pStyle w:val="Heading1"/>
        <w:jc w:val="left"/>
      </w:pPr>
      <w:r>
        <w:t>3. Résultats descriptifs</w:t>
      </w:r>
    </w:p>
    <w:p>
      <w:pPr>
        <w:pStyle w:val="Heading2"/>
        <w:jc w:val="left"/>
      </w:pPr>
      <w:r>
        <w:t>3.1 Évolution de l'indice sur l'ensemble de la période</w:t>
      </w:r>
    </w:p>
    <w:p>
      <w:pPr>
        <w:spacing w:before="0" w:after="120"/>
      </w:pPr>
      <w:r>
        <w:rPr>
          <w:b w:val="0"/>
          <w:i w:val="0"/>
          <w:sz w:val="22"/>
        </w:rPr>
        <w:t>La Figure 1 représente l'indice de ton de chaque annonce FAD entre 2009 et 2026, superposé à la trajectoire du taux directeur. Cinq grands épisodes ressortent :</w:t>
      </w:r>
    </w:p>
    <w:p>
      <w:pPr>
        <w:pStyle w:val="ListBullet"/>
        <w:spacing w:after="60"/>
      </w:pPr>
      <w:r>
        <w:rPr>
          <w:b/>
        </w:rPr>
        <w:t xml:space="preserve">Crise financière (2009-2010) : </w:t>
      </w:r>
      <w:r>
        <w:t>ton systématiquement dovish (moy. = -0,92 en 2009), avec des scores de -1,0 lors des premières baisses de taux d'urgence.</w:t>
      </w:r>
    </w:p>
    <w:p>
      <w:pPr>
        <w:pStyle w:val="ListBullet"/>
        <w:spacing w:after="60"/>
      </w:pPr>
      <w:r>
        <w:rPr>
          <w:b/>
        </w:rPr>
        <w:t xml:space="preserve">Reprise progressive (2011-2017) : </w:t>
      </w:r>
      <w:r>
        <w:t>dominance dovish persistante malgré quelques signaux hawkish en 2011 et 2014, reflétant une croissance canadienne fragile et des chocs pétroliers (2015-2016).</w:t>
      </w:r>
    </w:p>
    <w:p>
      <w:pPr>
        <w:pStyle w:val="ListBullet"/>
        <w:spacing w:after="60"/>
      </w:pPr>
      <w:r>
        <w:rPr>
          <w:b/>
        </w:rPr>
        <w:t xml:space="preserve">Resserrement pré-COVID (2017-2018) : </w:t>
      </w:r>
      <w:r>
        <w:t>basculement hawkish net : score moyen de +0,47 en 2018, avec 3 annonces à +1,0 — le signal le plus restrictif de la décennie avant le cycle Macklem.</w:t>
      </w:r>
    </w:p>
    <w:p>
      <w:pPr>
        <w:pStyle w:val="ListBullet"/>
        <w:spacing w:after="60"/>
      </w:pPr>
      <w:r>
        <w:rPr>
          <w:b/>
        </w:rPr>
        <w:t xml:space="preserve">COVID (2020-2021) : </w:t>
      </w:r>
      <w:r>
        <w:t>retour au score plancher : moy. = -0,95 en 2020, reflétant l'engagement d'un maintien des taux à la borne effective basse.</w:t>
      </w:r>
    </w:p>
    <w:p>
      <w:pPr>
        <w:pStyle w:val="ListBullet"/>
        <w:spacing w:after="60"/>
      </w:pPr>
      <w:r>
        <w:rPr>
          <w:b/>
        </w:rPr>
        <w:t xml:space="preserve">Cycle Macklem (2022-2026) : </w:t>
      </w:r>
      <w:r>
        <w:t>épisode le plus documenté : 10 hausses consécutives accompagnées de scores hawkish élevés (moy. = +0,55 en 2022), suivies d'une détente progressive à partir de mi-2024 (moy. = -0,74 en 2025).</w:t>
      </w:r>
    </w:p>
    <w:p/>
    <w:p>
      <w:pPr>
        <w:jc w:val="center"/>
      </w:pPr>
      <w:r>
        <w:drawing>
          <wp:inline xmlns:a="http://schemas.openxmlformats.org/drawingml/2006/main" xmlns:pic="http://schemas.openxmlformats.org/drawingml/2006/picture">
            <wp:extent cx="5486400" cy="2252409"/>
            <wp:docPr id="1" name="Picture 1"/>
            <wp:cNvGraphicFramePr>
              <a:graphicFrameLocks noChangeAspect="1"/>
            </wp:cNvGraphicFramePr>
            <a:graphic>
              <a:graphicData uri="http://schemas.openxmlformats.org/drawingml/2006/picture">
                <pic:pic>
                  <pic:nvPicPr>
                    <pic:cNvPr id="0" name="tone_vs_rate.png"/>
                    <pic:cNvPicPr/>
                  </pic:nvPicPr>
                  <pic:blipFill>
                    <a:blip r:embed="rId9"/>
                    <a:stretch>
                      <a:fillRect/>
                    </a:stretch>
                  </pic:blipFill>
                  <pic:spPr>
                    <a:xfrm>
                      <a:off x="0" y="0"/>
                      <a:ext cx="5486400" cy="2252409"/>
                    </a:xfrm>
                    <a:prstGeom prst="rect"/>
                  </pic:spPr>
                </pic:pic>
              </a:graphicData>
            </a:graphic>
          </wp:inline>
        </w:drawing>
      </w:r>
    </w:p>
    <w:p>
      <w:pPr>
        <w:spacing w:before="40" w:after="200"/>
        <w:jc w:val="center"/>
      </w:pPr>
      <w:r>
        <w:rPr>
          <w:i/>
          <w:color w:val="555555"/>
          <w:sz w:val="18"/>
        </w:rPr>
        <w:t>Figure 1. Indice de ton des communiqués FAD de la Banque du Canada (2009-2026) et taux directeur cible. Points rouges = ton hawkish, bleus = dovish, gris = neutre. Source : bankofcanada.ca, API Valet. Calculs de l'auteur.</w:t>
      </w:r>
    </w:p>
    <w:p>
      <w:pPr>
        <w:pStyle w:val="Heading2"/>
        <w:jc w:val="left"/>
      </w:pPr>
      <w:r>
        <w:t>3.2 Statistiques annuelles</w:t>
      </w:r>
    </w:p>
    <w:p>
      <w:pPr>
        <w:spacing w:before="0" w:after="120"/>
      </w:pPr>
      <w:r>
        <w:rPr>
          <w:b w:val="0"/>
          <w:i w:val="0"/>
          <w:sz w:val="22"/>
        </w:rPr>
        <w:t>Le Tableau 1 résume les statistiques de l'indice par année. L'hétérogénéité interannuelle est marquée : l'écart entre 2022 (+0,55) et 2020 (-0,95) représente le basculement le plus rapide observé dans l'échantillon.</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1473"/>
            <w:shd w:val="clear" w:color="auto" w:fill="2E4057"/>
          </w:tcPr>
          <w:p>
            <w:pPr>
              <w:jc w:val="center"/>
            </w:pPr>
            <w:r>
              <w:rPr>
                <w:b/>
                <w:color w:val="FFFFFF"/>
                <w:sz w:val="18"/>
              </w:rPr>
              <w:t>Année</w:t>
            </w:r>
          </w:p>
        </w:tc>
        <w:tc>
          <w:tcPr>
            <w:tcW w:type="dxa" w:w="1473"/>
            <w:shd w:val="clear" w:color="auto" w:fill="2E4057"/>
          </w:tcPr>
          <w:p>
            <w:pPr>
              <w:jc w:val="center"/>
            </w:pPr>
            <w:r>
              <w:rPr>
                <w:b/>
                <w:color w:val="FFFFFF"/>
                <w:sz w:val="18"/>
              </w:rPr>
              <w:t>N annonces</w:t>
            </w:r>
          </w:p>
        </w:tc>
        <w:tc>
          <w:tcPr>
            <w:tcW w:type="dxa" w:w="1473"/>
            <w:shd w:val="clear" w:color="auto" w:fill="2E4057"/>
          </w:tcPr>
          <w:p>
            <w:pPr>
              <w:jc w:val="center"/>
            </w:pPr>
            <w:r>
              <w:rPr>
                <w:b/>
                <w:color w:val="FFFFFF"/>
                <w:sz w:val="18"/>
              </w:rPr>
              <w:t>Score moyen</w:t>
            </w:r>
          </w:p>
        </w:tc>
        <w:tc>
          <w:tcPr>
            <w:tcW w:type="dxa" w:w="1473"/>
            <w:shd w:val="clear" w:color="auto" w:fill="2E4057"/>
          </w:tcPr>
          <w:p>
            <w:pPr>
              <w:jc w:val="center"/>
            </w:pPr>
            <w:r>
              <w:rPr>
                <w:b/>
                <w:color w:val="FFFFFF"/>
                <w:sz w:val="18"/>
              </w:rPr>
              <w:t>Min</w:t>
            </w:r>
          </w:p>
        </w:tc>
        <w:tc>
          <w:tcPr>
            <w:tcW w:type="dxa" w:w="1473"/>
            <w:shd w:val="clear" w:color="auto" w:fill="2E4057"/>
          </w:tcPr>
          <w:p>
            <w:pPr>
              <w:jc w:val="center"/>
            </w:pPr>
            <w:r>
              <w:rPr>
                <w:b/>
                <w:color w:val="FFFFFF"/>
                <w:sz w:val="18"/>
              </w:rPr>
              <w:t>Max</w:t>
            </w:r>
          </w:p>
        </w:tc>
        <w:tc>
          <w:tcPr>
            <w:tcW w:type="dxa" w:w="1473"/>
            <w:shd w:val="clear" w:color="auto" w:fill="2E4057"/>
          </w:tcPr>
          <w:p>
            <w:pPr>
              <w:jc w:val="center"/>
            </w:pPr>
            <w:r>
              <w:rPr>
                <w:b/>
                <w:color w:val="FFFFFF"/>
                <w:sz w:val="18"/>
              </w:rPr>
              <w:t>Orientation dominante</w:t>
            </w:r>
          </w:p>
        </w:tc>
      </w:tr>
      <w:tr>
        <w:tc>
          <w:tcPr>
            <w:tcW w:type="dxa" w:w="1473"/>
            <w:shd w:val="clear" w:color="auto" w:fill="E8F0FF"/>
          </w:tcPr>
          <w:p>
            <w:pPr>
              <w:jc w:val="center"/>
            </w:pPr>
            <w:r>
              <w:rPr>
                <w:sz w:val="18"/>
              </w:rPr>
              <w:t>2009</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-0.917</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-0.33</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2010</w:t>
            </w:r>
          </w:p>
        </w:tc>
        <w:tc>
          <w:tcPr>
            <w:tcW w:type="dxa" w:w="1473"/>
            <w:shd w:val="clear" w:color="auto" w:fill="E8F0FF"/>
          </w:tcPr>
          <w:p>
            <w:pPr>
              <w:jc w:val="center"/>
            </w:pPr>
            <w:r>
              <w:rPr>
                <w:sz w:val="18"/>
              </w:rPr>
              <w:t>7</w:t>
            </w:r>
          </w:p>
        </w:tc>
        <w:tc>
          <w:tcPr>
            <w:tcW w:type="dxa" w:w="1473"/>
            <w:shd w:val="clear" w:color="auto" w:fill="E8F0FF"/>
          </w:tcPr>
          <w:p>
            <w:pPr>
              <w:jc w:val="center"/>
            </w:pPr>
            <w:r>
              <w:rPr>
                <w:sz w:val="18"/>
              </w:rPr>
              <w:t>-0.823</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-0.43</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2011</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-0.308</w:t>
            </w:r>
          </w:p>
        </w:tc>
        <w:tc>
          <w:tcPr>
            <w:tcW w:type="dxa" w:w="1473"/>
            <w:shd w:val="clear" w:color="auto" w:fill="E8F0FF"/>
          </w:tcPr>
          <w:p>
            <w:pPr>
              <w:jc w:val="center"/>
            </w:pPr>
            <w:r>
              <w:rPr>
                <w:sz w:val="18"/>
              </w:rPr>
              <w:t>-0.67</w:t>
            </w:r>
          </w:p>
        </w:tc>
        <w:tc>
          <w:tcPr>
            <w:tcW w:type="dxa" w:w="1473"/>
            <w:shd w:val="clear" w:color="auto" w:fill="E8F0FF"/>
          </w:tcPr>
          <w:p>
            <w:pPr>
              <w:jc w:val="center"/>
            </w:pPr>
            <w:r>
              <w:rPr>
                <w:sz w:val="18"/>
              </w:rPr>
              <w:t>0.11</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2012</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-0.664</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-0.33</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2013</w:t>
            </w:r>
          </w:p>
        </w:tc>
        <w:tc>
          <w:tcPr>
            <w:tcW w:type="dxa" w:w="1473"/>
            <w:shd w:val="clear" w:color="auto" w:fill="E8F0FF"/>
          </w:tcPr>
          <w:p>
            <w:pPr>
              <w:jc w:val="center"/>
            </w:pPr>
            <w:r>
              <w:rPr>
                <w:sz w:val="18"/>
              </w:rPr>
              <w:t>5</w:t>
            </w:r>
          </w:p>
        </w:tc>
        <w:tc>
          <w:tcPr>
            <w:tcW w:type="dxa" w:w="1473"/>
            <w:shd w:val="clear" w:color="auto" w:fill="E8F0FF"/>
          </w:tcPr>
          <w:p>
            <w:pPr>
              <w:jc w:val="center"/>
            </w:pPr>
            <w:r>
              <w:rPr>
                <w:sz w:val="18"/>
              </w:rPr>
              <w:t>-0.670</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0.00</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2014</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-0.833</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0.33</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2015</w:t>
            </w:r>
          </w:p>
        </w:tc>
        <w:tc>
          <w:tcPr>
            <w:tcW w:type="dxa" w:w="1473"/>
            <w:shd w:val="clear" w:color="auto" w:fill="E8F0FF"/>
          </w:tcPr>
          <w:p>
            <w:pPr>
              <w:jc w:val="center"/>
            </w:pPr>
            <w:r>
              <w:rPr>
                <w:sz w:val="18"/>
              </w:rPr>
              <w:t>4</w:t>
            </w:r>
          </w:p>
        </w:tc>
        <w:tc>
          <w:tcPr>
            <w:tcW w:type="dxa" w:w="1473"/>
            <w:shd w:val="clear" w:color="auto" w:fill="E8F0FF"/>
          </w:tcPr>
          <w:p>
            <w:pPr>
              <w:jc w:val="center"/>
            </w:pPr>
            <w:r>
              <w:rPr>
                <w:sz w:val="18"/>
              </w:rPr>
              <w:t>-0.750</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0.00</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2016</w:t>
            </w:r>
          </w:p>
        </w:tc>
        <w:tc>
          <w:tcPr>
            <w:tcW w:type="dxa" w:w="1473"/>
            <w:shd w:val="clear" w:color="auto" w:fill="E8F0FF"/>
          </w:tcPr>
          <w:p>
            <w:pPr>
              <w:jc w:val="center"/>
            </w:pPr>
            <w:r>
              <w:rPr>
                <w:sz w:val="18"/>
              </w:rPr>
              <w:t>4</w:t>
            </w:r>
          </w:p>
        </w:tc>
        <w:tc>
          <w:tcPr>
            <w:tcW w:type="dxa" w:w="1473"/>
            <w:shd w:val="clear" w:color="auto" w:fill="E8F0FF"/>
          </w:tcPr>
          <w:p>
            <w:pPr>
              <w:jc w:val="center"/>
            </w:pPr>
            <w:r>
              <w:rPr>
                <w:sz w:val="18"/>
              </w:rPr>
              <w:t>-0.875</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-0.50</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2017</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-0.300</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0.50</w:t>
            </w:r>
          </w:p>
        </w:tc>
        <w:tc>
          <w:tcPr>
            <w:tcW w:type="dxa" w:w="1473"/>
            <w:shd w:val="clear" w:color="auto" w:fill="E8F0FF"/>
          </w:tcPr>
          <w:p>
            <w:pPr>
              <w:jc w:val="center"/>
            </w:pPr>
            <w:r>
              <w:rPr>
                <w:sz w:val="18"/>
              </w:rPr>
              <w:t>Dovish</w:t>
            </w:r>
          </w:p>
        </w:tc>
      </w:tr>
      <w:tr>
        <w:tc>
          <w:tcPr>
            <w:tcW w:type="dxa" w:w="1473"/>
            <w:shd w:val="clear" w:color="auto" w:fill="FFE8E8"/>
          </w:tcPr>
          <w:p>
            <w:pPr>
              <w:jc w:val="center"/>
            </w:pPr>
            <w:r>
              <w:rPr>
                <w:sz w:val="18"/>
              </w:rPr>
              <w:t>2018</w:t>
            </w:r>
          </w:p>
        </w:tc>
        <w:tc>
          <w:tcPr>
            <w:tcW w:type="dxa" w:w="1473"/>
            <w:shd w:val="clear" w:color="auto" w:fill="FFE8E8"/>
          </w:tcPr>
          <w:p>
            <w:pPr>
              <w:jc w:val="center"/>
            </w:pPr>
            <w:r>
              <w:rPr>
                <w:sz w:val="18"/>
              </w:rPr>
              <w:t>8</w:t>
            </w:r>
          </w:p>
        </w:tc>
        <w:tc>
          <w:tcPr>
            <w:tcW w:type="dxa" w:w="1473"/>
            <w:shd w:val="clear" w:color="auto" w:fill="FFE8E8"/>
          </w:tcPr>
          <w:p>
            <w:pPr>
              <w:jc w:val="center"/>
            </w:pPr>
            <w:r>
              <w:rPr>
                <w:sz w:val="18"/>
              </w:rPr>
              <w:t>+0.469</w:t>
            </w:r>
          </w:p>
        </w:tc>
        <w:tc>
          <w:tcPr>
            <w:tcW w:type="dxa" w:w="1473"/>
            <w:shd w:val="clear" w:color="auto" w:fill="FFE8E8"/>
          </w:tcPr>
          <w:p>
            <w:pPr>
              <w:jc w:val="center"/>
            </w:pPr>
            <w:r>
              <w:rPr>
                <w:sz w:val="18"/>
              </w:rPr>
              <w:t>-0.33</w:t>
            </w:r>
          </w:p>
        </w:tc>
        <w:tc>
          <w:tcPr>
            <w:tcW w:type="dxa" w:w="1473"/>
            <w:shd w:val="clear" w:color="auto" w:fill="FFE8E8"/>
          </w:tcPr>
          <w:p>
            <w:pPr>
              <w:jc w:val="center"/>
            </w:pPr>
            <w:r>
              <w:rPr>
                <w:sz w:val="18"/>
              </w:rPr>
              <w:t>1.00</w:t>
            </w:r>
          </w:p>
        </w:tc>
        <w:tc>
          <w:tcPr>
            <w:tcW w:type="dxa" w:w="1473"/>
            <w:shd w:val="clear" w:color="auto" w:fill="FFE8E8"/>
          </w:tcPr>
          <w:p>
            <w:pPr>
              <w:jc w:val="center"/>
            </w:pPr>
            <w:r>
              <w:rPr>
                <w:sz w:val="18"/>
              </w:rPr>
              <w:t>Hawkish</w:t>
            </w:r>
          </w:p>
        </w:tc>
      </w:tr>
      <w:tr>
        <w:tc>
          <w:tcPr>
            <w:tcW w:type="dxa" w:w="1473"/>
            <w:shd w:val="clear" w:color="auto" w:fill="E8F0FF"/>
          </w:tcPr>
          <w:p>
            <w:pPr>
              <w:jc w:val="center"/>
            </w:pPr>
            <w:r>
              <w:rPr>
                <w:sz w:val="18"/>
              </w:rPr>
              <w:t>2019</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-0.748</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-0.33</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2020</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-0.950</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-0.60</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2021</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-0.854</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-0.50</w:t>
            </w:r>
          </w:p>
        </w:tc>
        <w:tc>
          <w:tcPr>
            <w:tcW w:type="dxa" w:w="1473"/>
            <w:shd w:val="clear" w:color="auto" w:fill="E8F0FF"/>
          </w:tcPr>
          <w:p>
            <w:pPr>
              <w:jc w:val="center"/>
            </w:pPr>
            <w:r>
              <w:rPr>
                <w:sz w:val="18"/>
              </w:rPr>
              <w:t>Dovish</w:t>
            </w:r>
          </w:p>
        </w:tc>
      </w:tr>
      <w:tr>
        <w:tc>
          <w:tcPr>
            <w:tcW w:type="dxa" w:w="1473"/>
            <w:shd w:val="clear" w:color="auto" w:fill="FFE8E8"/>
          </w:tcPr>
          <w:p>
            <w:pPr>
              <w:jc w:val="center"/>
            </w:pPr>
            <w:r>
              <w:rPr>
                <w:sz w:val="18"/>
              </w:rPr>
              <w:t>2022</w:t>
            </w:r>
          </w:p>
        </w:tc>
        <w:tc>
          <w:tcPr>
            <w:tcW w:type="dxa" w:w="1473"/>
            <w:shd w:val="clear" w:color="auto" w:fill="FFE8E8"/>
          </w:tcPr>
          <w:p>
            <w:pPr>
              <w:jc w:val="center"/>
            </w:pPr>
            <w:r>
              <w:rPr>
                <w:sz w:val="18"/>
              </w:rPr>
              <w:t>8</w:t>
            </w:r>
          </w:p>
        </w:tc>
        <w:tc>
          <w:tcPr>
            <w:tcW w:type="dxa" w:w="1473"/>
            <w:shd w:val="clear" w:color="auto" w:fill="FFE8E8"/>
          </w:tcPr>
          <w:p>
            <w:pPr>
              <w:jc w:val="center"/>
            </w:pPr>
            <w:r>
              <w:rPr>
                <w:sz w:val="18"/>
              </w:rPr>
              <w:t>+0.545</w:t>
            </w:r>
          </w:p>
        </w:tc>
        <w:tc>
          <w:tcPr>
            <w:tcW w:type="dxa" w:w="1473"/>
            <w:shd w:val="clear" w:color="auto" w:fill="FFE8E8"/>
          </w:tcPr>
          <w:p>
            <w:pPr>
              <w:jc w:val="center"/>
            </w:pPr>
            <w:r>
              <w:rPr>
                <w:sz w:val="18"/>
              </w:rPr>
              <w:t>-0.67</w:t>
            </w:r>
          </w:p>
        </w:tc>
        <w:tc>
          <w:tcPr>
            <w:tcW w:type="dxa" w:w="1473"/>
            <w:shd w:val="clear" w:color="auto" w:fill="FFE8E8"/>
          </w:tcPr>
          <w:p>
            <w:pPr>
              <w:jc w:val="center"/>
            </w:pPr>
            <w:r>
              <w:rPr>
                <w:sz w:val="18"/>
              </w:rPr>
              <w:t>1.00</w:t>
            </w:r>
          </w:p>
        </w:tc>
        <w:tc>
          <w:tcPr>
            <w:tcW w:type="dxa" w:w="1473"/>
            <w:shd w:val="clear" w:color="auto" w:fill="FFE8E8"/>
          </w:tcPr>
          <w:p>
            <w:pPr>
              <w:jc w:val="center"/>
            </w:pPr>
            <w:r>
              <w:rPr>
                <w:sz w:val="18"/>
              </w:rPr>
              <w:t>Hawkish</w:t>
            </w:r>
          </w:p>
        </w:tc>
      </w:tr>
      <w:tr>
        <w:tc>
          <w:tcPr>
            <w:tcW w:type="dxa" w:w="1473"/>
            <w:shd w:val="clear" w:color="auto" w:fill="FFE8E8"/>
          </w:tcPr>
          <w:p>
            <w:pPr>
              <w:jc w:val="center"/>
            </w:pPr>
            <w:r>
              <w:rPr>
                <w:sz w:val="18"/>
              </w:rPr>
              <w:t>2023</w:t>
            </w:r>
          </w:p>
        </w:tc>
        <w:tc>
          <w:tcPr>
            <w:tcW w:type="dxa" w:w="1473"/>
            <w:shd w:val="clear" w:color="auto" w:fill="FFE8E8"/>
          </w:tcPr>
          <w:p>
            <w:pPr>
              <w:jc w:val="center"/>
            </w:pPr>
            <w:r>
              <w:rPr>
                <w:sz w:val="18"/>
              </w:rPr>
              <w:t>8</w:t>
            </w:r>
          </w:p>
        </w:tc>
        <w:tc>
          <w:tcPr>
            <w:tcW w:type="dxa" w:w="1473"/>
            <w:shd w:val="clear" w:color="auto" w:fill="FFE8E8"/>
          </w:tcPr>
          <w:p>
            <w:pPr>
              <w:jc w:val="center"/>
            </w:pPr>
            <w:r>
              <w:rPr>
                <w:sz w:val="18"/>
              </w:rPr>
              <w:t>+0.317</w:t>
            </w:r>
          </w:p>
        </w:tc>
        <w:tc>
          <w:tcPr>
            <w:tcW w:type="dxa" w:w="1473"/>
            <w:shd w:val="clear" w:color="auto" w:fill="FFE8E8"/>
          </w:tcPr>
          <w:p>
            <w:pPr>
              <w:jc w:val="center"/>
            </w:pPr>
            <w:r>
              <w:rPr>
                <w:sz w:val="18"/>
              </w:rPr>
              <w:t>-0.06</w:t>
            </w:r>
          </w:p>
        </w:tc>
        <w:tc>
          <w:tcPr>
            <w:tcW w:type="dxa" w:w="1473"/>
            <w:shd w:val="clear" w:color="auto" w:fill="FFE8E8"/>
          </w:tcPr>
          <w:p>
            <w:pPr>
              <w:jc w:val="center"/>
            </w:pPr>
            <w:r>
              <w:rPr>
                <w:sz w:val="18"/>
              </w:rPr>
              <w:t>0.78</w:t>
            </w:r>
          </w:p>
        </w:tc>
        <w:tc>
          <w:tcPr>
            <w:tcW w:type="dxa" w:w="1473"/>
            <w:shd w:val="clear" w:color="auto" w:fill="FFE8E8"/>
          </w:tcPr>
          <w:p>
            <w:pPr>
              <w:jc w:val="center"/>
            </w:pPr>
            <w:r>
              <w:rPr>
                <w:sz w:val="18"/>
              </w:rPr>
              <w:t>Hawkish</w:t>
            </w:r>
          </w:p>
        </w:tc>
      </w:tr>
      <w:tr>
        <w:tc>
          <w:tcPr>
            <w:tcW w:type="dxa" w:w="1473"/>
            <w:shd w:val="clear" w:color="auto" w:fill="E8F0FF"/>
          </w:tcPr>
          <w:p>
            <w:pPr>
              <w:jc w:val="center"/>
            </w:pPr>
            <w:r>
              <w:rPr>
                <w:sz w:val="18"/>
              </w:rPr>
              <w:t>2024</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-0.415</w:t>
            </w:r>
          </w:p>
        </w:tc>
        <w:tc>
          <w:tcPr>
            <w:tcW w:type="dxa" w:w="1473"/>
            <w:shd w:val="clear" w:color="auto" w:fill="E8F0FF"/>
          </w:tcPr>
          <w:p>
            <w:pPr>
              <w:jc w:val="center"/>
            </w:pPr>
            <w:r>
              <w:rPr>
                <w:sz w:val="18"/>
              </w:rPr>
              <w:t>-0.75</w:t>
            </w:r>
          </w:p>
        </w:tc>
        <w:tc>
          <w:tcPr>
            <w:tcW w:type="dxa" w:w="1473"/>
            <w:shd w:val="clear" w:color="auto" w:fill="E8F0FF"/>
          </w:tcPr>
          <w:p>
            <w:pPr>
              <w:jc w:val="center"/>
            </w:pPr>
            <w:r>
              <w:rPr>
                <w:sz w:val="18"/>
              </w:rPr>
              <w:t>-0.17</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2025</w:t>
            </w:r>
          </w:p>
        </w:tc>
        <w:tc>
          <w:tcPr>
            <w:tcW w:type="dxa" w:w="1473"/>
            <w:shd w:val="clear" w:color="auto" w:fill="E8F0FF"/>
          </w:tcPr>
          <w:p>
            <w:pPr>
              <w:jc w:val="center"/>
            </w:pPr>
            <w:r>
              <w:rPr>
                <w:sz w:val="18"/>
              </w:rPr>
              <w:t>8</w:t>
            </w:r>
          </w:p>
        </w:tc>
        <w:tc>
          <w:tcPr>
            <w:tcW w:type="dxa" w:w="1473"/>
            <w:shd w:val="clear" w:color="auto" w:fill="E8F0FF"/>
          </w:tcPr>
          <w:p>
            <w:pPr>
              <w:jc w:val="center"/>
            </w:pPr>
            <w:r>
              <w:rPr>
                <w:sz w:val="18"/>
              </w:rPr>
              <w:t>-0.736</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-0.25</w:t>
            </w:r>
          </w:p>
        </w:tc>
        <w:tc>
          <w:tcPr>
            <w:tcW w:type="dxa" w:w="1473"/>
            <w:shd w:val="clear" w:color="auto" w:fill="E8F0FF"/>
          </w:tcPr>
          <w:p>
            <w:pPr>
              <w:jc w:val="center"/>
            </w:pPr>
            <w:r>
              <w:rPr>
                <w:sz w:val="18"/>
              </w:rPr>
              <w:t>Dovish</w:t>
            </w:r>
          </w:p>
        </w:tc>
      </w:tr>
      <w:tr>
        <w:tc>
          <w:tcPr>
            <w:tcW w:type="dxa" w:w="1473"/>
            <w:shd w:val="clear" w:color="auto" w:fill="E8F0FF"/>
          </w:tcPr>
          <w:p>
            <w:pPr>
              <w:jc w:val="center"/>
            </w:pPr>
            <w:r>
              <w:rPr>
                <w:sz w:val="18"/>
              </w:rPr>
              <w:t>2026</w:t>
            </w:r>
          </w:p>
        </w:tc>
        <w:tc>
          <w:tcPr>
            <w:tcW w:type="dxa" w:w="1473"/>
            <w:shd w:val="clear" w:color="auto" w:fill="E8F0FF"/>
          </w:tcPr>
          <w:p>
            <w:pPr>
              <w:jc w:val="center"/>
            </w:pPr>
            <w:r>
              <w:rPr>
                <w:sz w:val="18"/>
              </w:rPr>
              <w:t>3</w:t>
            </w:r>
          </w:p>
        </w:tc>
        <w:tc>
          <w:tcPr>
            <w:tcW w:type="dxa" w:w="1473"/>
            <w:shd w:val="clear" w:color="auto" w:fill="E8F0FF"/>
          </w:tcPr>
          <w:p>
            <w:pPr>
              <w:jc w:val="center"/>
            </w:pPr>
            <w:r>
              <w:rPr>
                <w:sz w:val="18"/>
              </w:rPr>
              <w:t>-0.659</w:t>
            </w:r>
          </w:p>
        </w:tc>
        <w:tc>
          <w:tcPr>
            <w:tcW w:type="dxa" w:w="1473"/>
            <w:shd w:val="clear" w:color="auto" w:fill="E8F0FF"/>
          </w:tcPr>
          <w:p>
            <w:pPr>
              <w:jc w:val="center"/>
            </w:pPr>
            <w:r>
              <w:rPr>
                <w:sz w:val="18"/>
              </w:rPr>
              <w:t>-1.00</w:t>
            </w:r>
          </w:p>
        </w:tc>
        <w:tc>
          <w:tcPr>
            <w:tcW w:type="dxa" w:w="1473"/>
            <w:shd w:val="clear" w:color="auto" w:fill="E8F0FF"/>
          </w:tcPr>
          <w:p>
            <w:pPr>
              <w:jc w:val="center"/>
            </w:pPr>
            <w:r>
              <w:rPr>
                <w:sz w:val="18"/>
              </w:rPr>
              <w:t>-0.14</w:t>
            </w:r>
          </w:p>
        </w:tc>
        <w:tc>
          <w:tcPr>
            <w:tcW w:type="dxa" w:w="1473"/>
            <w:shd w:val="clear" w:color="auto" w:fill="E8F0FF"/>
          </w:tcPr>
          <w:p>
            <w:pPr>
              <w:jc w:val="center"/>
            </w:pPr>
            <w:r>
              <w:rPr>
                <w:sz w:val="18"/>
              </w:rPr>
              <w:t>Dovish</w:t>
            </w:r>
          </w:p>
        </w:tc>
      </w:tr>
    </w:tbl>
    <w:p>
      <w:pPr>
        <w:spacing w:before="40" w:after="200"/>
        <w:jc w:val="center"/>
      </w:pPr>
      <w:r>
        <w:rPr>
          <w:i/>
          <w:color w:val="555555"/>
          <w:sz w:val="18"/>
        </w:rPr>
        <w:t>Tableau 1. Statistiques annuelles de l'indice de ton (2009-2026). Fond rouge = orientation hawkish dominante ; fond bleu = orientation dovish.</w:t>
      </w:r>
    </w:p>
    <w:p>
      <w:pPr>
        <w:pStyle w:val="Heading2"/>
        <w:jc w:val="left"/>
      </w:pPr>
      <w:r>
        <w:t>3.3 Communiqués aux tons extrêmes</w:t>
      </w:r>
    </w:p>
    <w:p>
      <w:pPr>
        <w:spacing w:before="0" w:after="120"/>
      </w:pPr>
      <w:r>
        <w:rPr>
          <w:b w:val="0"/>
          <w:i w:val="0"/>
          <w:sz w:val="22"/>
        </w:rPr>
        <w:t>Le Tableau 2 identifie les cinq annonces les plus hawkish et les cinq les plus dovish de l'échantillon. Les annonces les plus hawkish se concentrent sur deux épisodes : le resserrement de 2018 et le cycle d'urgence de 2022. Les annonces les plus dovish correspondent toutes à la gestion de la crise financière de 2009.</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shd w:val="clear" w:color="auto" w:fill="2E4057"/>
          </w:tcPr>
          <w:p>
            <w:pPr>
              <w:jc w:val="center"/>
            </w:pPr>
            <w:r>
              <w:rPr>
                <w:b/>
                <w:color w:val="FFFFFF"/>
                <w:sz w:val="18"/>
              </w:rPr>
              <w:t>Date</w:t>
            </w:r>
          </w:p>
        </w:tc>
        <w:tc>
          <w:tcPr>
            <w:tcW w:type="dxa" w:w="1768"/>
            <w:shd w:val="clear" w:color="auto" w:fill="2E4057"/>
          </w:tcPr>
          <w:p>
            <w:pPr>
              <w:jc w:val="center"/>
            </w:pPr>
            <w:r>
              <w:rPr>
                <w:b/>
                <w:color w:val="FFFFFF"/>
                <w:sz w:val="18"/>
              </w:rPr>
              <w:t>Taux (%)</w:t>
            </w:r>
          </w:p>
        </w:tc>
        <w:tc>
          <w:tcPr>
            <w:tcW w:type="dxa" w:w="1768"/>
            <w:shd w:val="clear" w:color="auto" w:fill="2E4057"/>
          </w:tcPr>
          <w:p>
            <w:pPr>
              <w:jc w:val="center"/>
            </w:pPr>
            <w:r>
              <w:rPr>
                <w:b/>
                <w:color w:val="FFFFFF"/>
                <w:sz w:val="18"/>
              </w:rPr>
              <w:t>Chgt (bp)</w:t>
            </w:r>
          </w:p>
        </w:tc>
        <w:tc>
          <w:tcPr>
            <w:tcW w:type="dxa" w:w="1768"/>
            <w:shd w:val="clear" w:color="auto" w:fill="2E4057"/>
          </w:tcPr>
          <w:p>
            <w:pPr>
              <w:jc w:val="center"/>
            </w:pPr>
            <w:r>
              <w:rPr>
                <w:b/>
                <w:color w:val="FFFFFF"/>
                <w:sz w:val="18"/>
              </w:rPr>
              <w:t>Score</w:t>
            </w:r>
          </w:p>
        </w:tc>
        <w:tc>
          <w:tcPr>
            <w:tcW w:type="dxa" w:w="1768"/>
            <w:shd w:val="clear" w:color="auto" w:fill="2E4057"/>
          </w:tcPr>
          <w:p>
            <w:pPr>
              <w:jc w:val="center"/>
            </w:pPr>
            <w:r>
              <w:rPr>
                <w:b/>
                <w:color w:val="FFFFFF"/>
                <w:sz w:val="18"/>
              </w:rPr>
              <w:t>Résumé de l'annonce</w:t>
            </w:r>
          </w:p>
        </w:tc>
      </w:tr>
      <w:tr>
        <w:tc>
          <w:tcPr>
            <w:tcW w:type="dxa" w:w="1768"/>
            <w:shd w:val="clear" w:color="auto" w:fill="FFE8E8"/>
          </w:tcPr>
          <w:p>
            <w:pPr>
              <w:jc w:val="center"/>
            </w:pPr>
            <w:r>
              <w:rPr>
                <w:sz w:val="18"/>
              </w:rPr>
              <w:t>2018-01-17</w:t>
            </w:r>
          </w:p>
        </w:tc>
        <w:tc>
          <w:tcPr>
            <w:tcW w:type="dxa" w:w="1768"/>
            <w:shd w:val="clear" w:color="auto" w:fill="FFE8E8"/>
          </w:tcPr>
          <w:p>
            <w:pPr>
              <w:jc w:val="center"/>
            </w:pPr>
            <w:r>
              <w:rPr>
                <w:sz w:val="18"/>
              </w:rPr>
              <w:t>1.25</w:t>
            </w:r>
          </w:p>
        </w:tc>
        <w:tc>
          <w:tcPr>
            <w:tcW w:type="dxa" w:w="1768"/>
            <w:shd w:val="clear" w:color="auto" w:fill="FFE8E8"/>
          </w:tcPr>
          <w:p>
            <w:pPr>
              <w:jc w:val="center"/>
            </w:pPr>
            <w:r>
              <w:rPr>
                <w:sz w:val="18"/>
              </w:rPr>
              <w:t>+25</w:t>
            </w:r>
          </w:p>
        </w:tc>
        <w:tc>
          <w:tcPr>
            <w:tcW w:type="dxa" w:w="1768"/>
            <w:shd w:val="clear" w:color="auto" w:fill="FFE8E8"/>
          </w:tcPr>
          <w:p>
            <w:pPr>
              <w:jc w:val="center"/>
            </w:pPr>
            <w:r>
              <w:rPr>
                <w:sz w:val="18"/>
              </w:rPr>
              <w:t>+1.00</w:t>
            </w:r>
          </w:p>
        </w:tc>
        <w:tc>
          <w:tcPr>
            <w:tcW w:type="dxa" w:w="1768"/>
            <w:shd w:val="clear" w:color="auto" w:fill="FFE8E8"/>
          </w:tcPr>
          <w:p>
            <w:pPr>
              <w:jc w:val="center"/>
            </w:pPr>
            <w:r>
              <w:rPr>
                <w:sz w:val="18"/>
              </w:rPr>
              <w:t>BdC increases overnight rate target to 1 1/4 per cent</w:t>
            </w:r>
          </w:p>
        </w:tc>
      </w:tr>
      <w:tr>
        <w:tc>
          <w:tcPr>
            <w:tcW w:type="dxa" w:w="1768"/>
            <w:shd w:val="clear" w:color="auto" w:fill="FFE8E8"/>
          </w:tcPr>
          <w:p>
            <w:pPr>
              <w:jc w:val="center"/>
            </w:pPr>
            <w:r>
              <w:rPr>
                <w:sz w:val="18"/>
              </w:rPr>
              <w:t>2018-03-07</w:t>
            </w:r>
          </w:p>
        </w:tc>
        <w:tc>
          <w:tcPr>
            <w:tcW w:type="dxa" w:w="1768"/>
            <w:shd w:val="clear" w:color="auto" w:fill="FFE8E8"/>
          </w:tcPr>
          <w:p>
            <w:pPr>
              <w:jc w:val="center"/>
            </w:pPr>
            <w:r>
              <w:rPr>
                <w:sz w:val="18"/>
              </w:rPr>
              <w:t>1.25</w:t>
            </w:r>
          </w:p>
        </w:tc>
        <w:tc>
          <w:tcPr>
            <w:tcW w:type="dxa" w:w="1768"/>
            <w:shd w:val="clear" w:color="auto" w:fill="FFE8E8"/>
          </w:tcPr>
          <w:p>
            <w:pPr>
              <w:jc w:val="center"/>
            </w:pPr>
            <w:r>
              <w:rPr>
                <w:sz w:val="18"/>
              </w:rPr>
              <w:t>0</w:t>
            </w:r>
          </w:p>
        </w:tc>
        <w:tc>
          <w:tcPr>
            <w:tcW w:type="dxa" w:w="1768"/>
            <w:shd w:val="clear" w:color="auto" w:fill="FFE8E8"/>
          </w:tcPr>
          <w:p>
            <w:pPr>
              <w:jc w:val="center"/>
            </w:pPr>
            <w:r>
              <w:rPr>
                <w:sz w:val="18"/>
              </w:rPr>
              <w:t>+1.00</w:t>
            </w:r>
          </w:p>
        </w:tc>
        <w:tc>
          <w:tcPr>
            <w:tcW w:type="dxa" w:w="1768"/>
            <w:shd w:val="clear" w:color="auto" w:fill="FFE8E8"/>
          </w:tcPr>
          <w:p>
            <w:pPr>
              <w:jc w:val="center"/>
            </w:pPr>
            <w:r>
              <w:rPr>
                <w:sz w:val="18"/>
              </w:rPr>
              <w:t>BdC maintains overnight rate target at 1 1/4 per cent</w:t>
            </w:r>
          </w:p>
        </w:tc>
      </w:tr>
      <w:tr>
        <w:tc>
          <w:tcPr>
            <w:tcW w:type="dxa" w:w="1768"/>
            <w:shd w:val="clear" w:color="auto" w:fill="FFE8E8"/>
          </w:tcPr>
          <w:p>
            <w:pPr>
              <w:jc w:val="center"/>
            </w:pPr>
            <w:r>
              <w:rPr>
                <w:sz w:val="18"/>
              </w:rPr>
              <w:t>2018-05-30</w:t>
            </w:r>
          </w:p>
        </w:tc>
        <w:tc>
          <w:tcPr>
            <w:tcW w:type="dxa" w:w="1768"/>
            <w:shd w:val="clear" w:color="auto" w:fill="FFE8E8"/>
          </w:tcPr>
          <w:p>
            <w:pPr>
              <w:jc w:val="center"/>
            </w:pPr>
            <w:r>
              <w:rPr>
                <w:sz w:val="18"/>
              </w:rPr>
              <w:t>1.25</w:t>
            </w:r>
          </w:p>
        </w:tc>
        <w:tc>
          <w:tcPr>
            <w:tcW w:type="dxa" w:w="1768"/>
            <w:shd w:val="clear" w:color="auto" w:fill="FFE8E8"/>
          </w:tcPr>
          <w:p>
            <w:pPr>
              <w:jc w:val="center"/>
            </w:pPr>
            <w:r>
              <w:rPr>
                <w:sz w:val="18"/>
              </w:rPr>
              <w:t>0</w:t>
            </w:r>
          </w:p>
        </w:tc>
        <w:tc>
          <w:tcPr>
            <w:tcW w:type="dxa" w:w="1768"/>
            <w:shd w:val="clear" w:color="auto" w:fill="FFE8E8"/>
          </w:tcPr>
          <w:p>
            <w:pPr>
              <w:jc w:val="center"/>
            </w:pPr>
            <w:r>
              <w:rPr>
                <w:sz w:val="18"/>
              </w:rPr>
              <w:t>+1.00</w:t>
            </w:r>
          </w:p>
        </w:tc>
        <w:tc>
          <w:tcPr>
            <w:tcW w:type="dxa" w:w="1768"/>
            <w:shd w:val="clear" w:color="auto" w:fill="FFE8E8"/>
          </w:tcPr>
          <w:p>
            <w:pPr>
              <w:jc w:val="center"/>
            </w:pPr>
            <w:r>
              <w:rPr>
                <w:sz w:val="18"/>
              </w:rPr>
              <w:t>BdC maintains overnight rate target at 1¼ per cent</w:t>
            </w:r>
          </w:p>
        </w:tc>
      </w:tr>
      <w:tr>
        <w:tc>
          <w:tcPr>
            <w:tcW w:type="dxa" w:w="1768"/>
            <w:shd w:val="clear" w:color="auto" w:fill="FFE8E8"/>
          </w:tcPr>
          <w:p>
            <w:pPr>
              <w:jc w:val="center"/>
            </w:pPr>
            <w:r>
              <w:rPr>
                <w:sz w:val="18"/>
              </w:rPr>
              <w:t>2022-09-07</w:t>
            </w:r>
          </w:p>
        </w:tc>
        <w:tc>
          <w:tcPr>
            <w:tcW w:type="dxa" w:w="1768"/>
            <w:shd w:val="clear" w:color="auto" w:fill="FFE8E8"/>
          </w:tcPr>
          <w:p>
            <w:pPr>
              <w:jc w:val="center"/>
            </w:pPr>
            <w:r>
              <w:rPr>
                <w:sz w:val="18"/>
              </w:rPr>
              <w:t>2.5</w:t>
            </w:r>
          </w:p>
        </w:tc>
        <w:tc>
          <w:tcPr>
            <w:tcW w:type="dxa" w:w="1768"/>
            <w:shd w:val="clear" w:color="auto" w:fill="FFE8E8"/>
          </w:tcPr>
          <w:p>
            <w:pPr>
              <w:jc w:val="center"/>
            </w:pPr>
            <w:r>
              <w:rPr>
                <w:sz w:val="18"/>
              </w:rPr>
              <w:t>+100</w:t>
            </w:r>
          </w:p>
        </w:tc>
        <w:tc>
          <w:tcPr>
            <w:tcW w:type="dxa" w:w="1768"/>
            <w:shd w:val="clear" w:color="auto" w:fill="FFE8E8"/>
          </w:tcPr>
          <w:p>
            <w:pPr>
              <w:jc w:val="center"/>
            </w:pPr>
            <w:r>
              <w:rPr>
                <w:sz w:val="18"/>
              </w:rPr>
              <w:t>+1.00</w:t>
            </w:r>
          </w:p>
        </w:tc>
        <w:tc>
          <w:tcPr>
            <w:tcW w:type="dxa" w:w="1768"/>
            <w:shd w:val="clear" w:color="auto" w:fill="FFE8E8"/>
          </w:tcPr>
          <w:p>
            <w:pPr>
              <w:jc w:val="center"/>
            </w:pPr>
            <w:r>
              <w:rPr>
                <w:sz w:val="18"/>
              </w:rPr>
              <w:t>BdC increases policy interest rate by 75 basis points,  continues</w:t>
            </w:r>
          </w:p>
        </w:tc>
      </w:tr>
      <w:tr>
        <w:tc>
          <w:tcPr>
            <w:tcW w:type="dxa" w:w="1768"/>
            <w:shd w:val="clear" w:color="auto" w:fill="FFE8E8"/>
          </w:tcPr>
          <w:p>
            <w:pPr>
              <w:jc w:val="center"/>
            </w:pPr>
            <w:r>
              <w:rPr>
                <w:sz w:val="18"/>
              </w:rPr>
              <w:t>2022-07-13</w:t>
            </w:r>
          </w:p>
        </w:tc>
        <w:tc>
          <w:tcPr>
            <w:tcW w:type="dxa" w:w="1768"/>
            <w:shd w:val="clear" w:color="auto" w:fill="FFE8E8"/>
          </w:tcPr>
          <w:p>
            <w:pPr>
              <w:jc w:val="center"/>
            </w:pPr>
            <w:r>
              <w:rPr>
                <w:sz w:val="18"/>
              </w:rPr>
              <w:t>1.5</w:t>
            </w:r>
          </w:p>
        </w:tc>
        <w:tc>
          <w:tcPr>
            <w:tcW w:type="dxa" w:w="1768"/>
            <w:shd w:val="clear" w:color="auto" w:fill="FFE8E8"/>
          </w:tcPr>
          <w:p>
            <w:pPr>
              <w:jc w:val="center"/>
            </w:pPr>
            <w:r>
              <w:rPr>
                <w:sz w:val="18"/>
              </w:rPr>
              <w:t>+50</w:t>
            </w:r>
          </w:p>
        </w:tc>
        <w:tc>
          <w:tcPr>
            <w:tcW w:type="dxa" w:w="1768"/>
            <w:shd w:val="clear" w:color="auto" w:fill="FFE8E8"/>
          </w:tcPr>
          <w:p>
            <w:pPr>
              <w:jc w:val="center"/>
            </w:pPr>
            <w:r>
              <w:rPr>
                <w:sz w:val="18"/>
              </w:rPr>
              <w:t>+0.90</w:t>
            </w:r>
          </w:p>
        </w:tc>
        <w:tc>
          <w:tcPr>
            <w:tcW w:type="dxa" w:w="1768"/>
            <w:shd w:val="clear" w:color="auto" w:fill="FFE8E8"/>
          </w:tcPr>
          <w:p>
            <w:pPr>
              <w:jc w:val="center"/>
            </w:pPr>
            <w:r>
              <w:rPr>
                <w:sz w:val="18"/>
              </w:rPr>
              <w:t>BdC increases policy interest rate by 100 basis points, continues</w:t>
            </w:r>
          </w:p>
        </w:tc>
      </w:tr>
      <w:tr>
        <w:tc>
          <w:tcPr>
            <w:tcW w:type="dxa" w:w="8840"/>
            <w:gridSpan w:val="5"/>
            <w:shd w:val="clear" w:color="auto" w:fill="2E4057"/>
          </w:tcPr>
          <w:p>
            <w:pPr>
              <w:jc w:val="center"/>
            </w:pPr>
            <w:r>
              <w:rPr>
                <w:b/>
                <w:color w:val="FFFFFF"/>
                <w:sz w:val="18"/>
              </w:rPr>
              <w:t>5 communiqués les plus dovish</w:t>
            </w:r>
          </w:p>
        </w:tc>
      </w:tr>
      <w:tr>
        <w:tc>
          <w:tcPr>
            <w:tcW w:type="dxa" w:w="1768"/>
            <w:shd w:val="clear" w:color="auto" w:fill="E8F0FF"/>
          </w:tcPr>
          <w:p>
            <w:pPr>
              <w:jc w:val="center"/>
            </w:pPr>
            <w:r>
              <w:rPr>
                <w:sz w:val="18"/>
              </w:rPr>
              <w:t>2009-01-20</w:t>
            </w:r>
          </w:p>
        </w:tc>
        <w:tc>
          <w:tcPr>
            <w:tcW w:type="dxa" w:w="1768"/>
            <w:shd w:val="clear" w:color="auto" w:fill="E8F0FF"/>
          </w:tcPr>
          <w:p>
            <w:pPr>
              <w:jc w:val="center"/>
            </w:pPr>
            <w:r>
              <w:rPr>
                <w:sz w:val="18"/>
              </w:rPr>
              <w:t>1.0</w:t>
            </w:r>
          </w:p>
        </w:tc>
        <w:tc>
          <w:tcPr>
            <w:tcW w:type="dxa" w:w="1768"/>
            <w:shd w:val="clear" w:color="auto" w:fill="E8F0FF"/>
          </w:tcPr>
          <w:p>
            <w:pPr>
              <w:jc w:val="center"/>
            </w:pPr>
            <w:r>
              <w:rPr>
                <w:sz w:val="18"/>
              </w:rPr>
              <w:t>-</w:t>
            </w:r>
          </w:p>
        </w:tc>
        <w:tc>
          <w:tcPr>
            <w:tcW w:type="dxa" w:w="1768"/>
            <w:shd w:val="clear" w:color="auto" w:fill="E8F0FF"/>
          </w:tcPr>
          <w:p>
            <w:pPr>
              <w:jc w:val="center"/>
            </w:pPr>
            <w:r>
              <w:rPr>
                <w:sz w:val="18"/>
              </w:rPr>
              <w:t>-1.00</w:t>
            </w:r>
          </w:p>
        </w:tc>
        <w:tc>
          <w:tcPr>
            <w:tcW w:type="dxa" w:w="1768"/>
            <w:shd w:val="clear" w:color="auto" w:fill="E8F0FF"/>
          </w:tcPr>
          <w:p>
            <w:pPr>
              <w:jc w:val="center"/>
            </w:pPr>
            <w:r>
              <w:rPr>
                <w:sz w:val="18"/>
              </w:rPr>
              <w:t>BdC lowers overnight rate target by 1/2 percentage point to 1 per</w:t>
            </w:r>
          </w:p>
        </w:tc>
      </w:tr>
      <w:tr>
        <w:tc>
          <w:tcPr>
            <w:tcW w:type="dxa" w:w="1768"/>
            <w:shd w:val="clear" w:color="auto" w:fill="E8F0FF"/>
          </w:tcPr>
          <w:p>
            <w:pPr>
              <w:jc w:val="center"/>
            </w:pPr>
            <w:r>
              <w:rPr>
                <w:sz w:val="18"/>
              </w:rPr>
              <w:t>2009-03-03</w:t>
            </w:r>
          </w:p>
        </w:tc>
        <w:tc>
          <w:tcPr>
            <w:tcW w:type="dxa" w:w="1768"/>
            <w:shd w:val="clear" w:color="auto" w:fill="E8F0FF"/>
          </w:tcPr>
          <w:p>
            <w:pPr>
              <w:jc w:val="center"/>
            </w:pPr>
            <w:r>
              <w:rPr>
                <w:sz w:val="18"/>
              </w:rPr>
              <w:t>0.5</w:t>
            </w:r>
          </w:p>
        </w:tc>
        <w:tc>
          <w:tcPr>
            <w:tcW w:type="dxa" w:w="1768"/>
            <w:shd w:val="clear" w:color="auto" w:fill="E8F0FF"/>
          </w:tcPr>
          <w:p>
            <w:pPr>
              <w:jc w:val="center"/>
            </w:pPr>
            <w:r>
              <w:rPr>
                <w:sz w:val="18"/>
              </w:rPr>
              <w:t>-50</w:t>
            </w:r>
          </w:p>
        </w:tc>
        <w:tc>
          <w:tcPr>
            <w:tcW w:type="dxa" w:w="1768"/>
            <w:shd w:val="clear" w:color="auto" w:fill="E8F0FF"/>
          </w:tcPr>
          <w:p>
            <w:pPr>
              <w:jc w:val="center"/>
            </w:pPr>
            <w:r>
              <w:rPr>
                <w:sz w:val="18"/>
              </w:rPr>
              <w:t>-1.00</w:t>
            </w:r>
          </w:p>
        </w:tc>
        <w:tc>
          <w:tcPr>
            <w:tcW w:type="dxa" w:w="1768"/>
            <w:shd w:val="clear" w:color="auto" w:fill="E8F0FF"/>
          </w:tcPr>
          <w:p>
            <w:pPr>
              <w:jc w:val="center"/>
            </w:pPr>
            <w:r>
              <w:rPr>
                <w:sz w:val="18"/>
              </w:rPr>
              <w:t>BdC lowers overnight rate target by 1/2 percentage point to 1/2 p</w:t>
            </w:r>
          </w:p>
        </w:tc>
      </w:tr>
      <w:tr>
        <w:tc>
          <w:tcPr>
            <w:tcW w:type="dxa" w:w="1768"/>
            <w:shd w:val="clear" w:color="auto" w:fill="E8F0FF"/>
          </w:tcPr>
          <w:p>
            <w:pPr>
              <w:jc w:val="center"/>
            </w:pPr>
            <w:r>
              <w:rPr>
                <w:sz w:val="18"/>
              </w:rPr>
              <w:t>2009-04-21</w:t>
            </w:r>
          </w:p>
        </w:tc>
        <w:tc>
          <w:tcPr>
            <w:tcW w:type="dxa" w:w="1768"/>
            <w:shd w:val="clear" w:color="auto" w:fill="E8F0FF"/>
          </w:tcPr>
          <w:p>
            <w:pPr>
              <w:jc w:val="center"/>
            </w:pPr>
            <w:r>
              <w:rPr>
                <w:sz w:val="18"/>
              </w:rPr>
              <w:t>0.25</w:t>
            </w:r>
          </w:p>
        </w:tc>
        <w:tc>
          <w:tcPr>
            <w:tcW w:type="dxa" w:w="1768"/>
            <w:shd w:val="clear" w:color="auto" w:fill="E8F0FF"/>
          </w:tcPr>
          <w:p>
            <w:pPr>
              <w:jc w:val="center"/>
            </w:pPr>
            <w:r>
              <w:rPr>
                <w:sz w:val="18"/>
              </w:rPr>
              <w:t>-25</w:t>
            </w:r>
          </w:p>
        </w:tc>
        <w:tc>
          <w:tcPr>
            <w:tcW w:type="dxa" w:w="1768"/>
            <w:shd w:val="clear" w:color="auto" w:fill="E8F0FF"/>
          </w:tcPr>
          <w:p>
            <w:pPr>
              <w:jc w:val="center"/>
            </w:pPr>
            <w:r>
              <w:rPr>
                <w:sz w:val="18"/>
              </w:rPr>
              <w:t>-1.00</w:t>
            </w:r>
          </w:p>
        </w:tc>
        <w:tc>
          <w:tcPr>
            <w:tcW w:type="dxa" w:w="1768"/>
            <w:shd w:val="clear" w:color="auto" w:fill="E8F0FF"/>
          </w:tcPr>
          <w:p>
            <w:pPr>
              <w:jc w:val="center"/>
            </w:pPr>
            <w:r>
              <w:rPr>
                <w:sz w:val="18"/>
              </w:rPr>
              <w:t>BdC lowers overnight rate target by 1/4 percentage point to 1/4 p</w:t>
            </w:r>
          </w:p>
        </w:tc>
      </w:tr>
      <w:tr>
        <w:tc>
          <w:tcPr>
            <w:tcW w:type="dxa" w:w="1768"/>
            <w:shd w:val="clear" w:color="auto" w:fill="E8F0FF"/>
          </w:tcPr>
          <w:p>
            <w:pPr>
              <w:jc w:val="center"/>
            </w:pPr>
            <w:r>
              <w:rPr>
                <w:sz w:val="18"/>
              </w:rPr>
              <w:t>2009-06-04</w:t>
            </w:r>
          </w:p>
        </w:tc>
        <w:tc>
          <w:tcPr>
            <w:tcW w:type="dxa" w:w="1768"/>
            <w:shd w:val="clear" w:color="auto" w:fill="E8F0FF"/>
          </w:tcPr>
          <w:p>
            <w:pPr>
              <w:jc w:val="center"/>
            </w:pPr>
            <w:r>
              <w:rPr>
                <w:sz w:val="18"/>
              </w:rPr>
              <w:t>0.25</w:t>
            </w:r>
          </w:p>
        </w:tc>
        <w:tc>
          <w:tcPr>
            <w:tcW w:type="dxa" w:w="1768"/>
            <w:shd w:val="clear" w:color="auto" w:fill="E8F0FF"/>
          </w:tcPr>
          <w:p>
            <w:pPr>
              <w:jc w:val="center"/>
            </w:pPr>
            <w:r>
              <w:rPr>
                <w:sz w:val="18"/>
              </w:rPr>
              <w:t>0</w:t>
            </w:r>
          </w:p>
        </w:tc>
        <w:tc>
          <w:tcPr>
            <w:tcW w:type="dxa" w:w="1768"/>
            <w:shd w:val="clear" w:color="auto" w:fill="E8F0FF"/>
          </w:tcPr>
          <w:p>
            <w:pPr>
              <w:jc w:val="center"/>
            </w:pPr>
            <w:r>
              <w:rPr>
                <w:sz w:val="18"/>
              </w:rPr>
              <w:t>-1.00</w:t>
            </w:r>
          </w:p>
        </w:tc>
        <w:tc>
          <w:tcPr>
            <w:tcW w:type="dxa" w:w="1768"/>
            <w:shd w:val="clear" w:color="auto" w:fill="E8F0FF"/>
          </w:tcPr>
          <w:p>
            <w:pPr>
              <w:jc w:val="center"/>
            </w:pPr>
            <w:r>
              <w:rPr>
                <w:sz w:val="18"/>
              </w:rPr>
              <w:t>BdC maintains overnight rate target at 1/4 per cent and reiterate</w:t>
            </w:r>
          </w:p>
        </w:tc>
      </w:tr>
      <w:tr>
        <w:tc>
          <w:tcPr>
            <w:tcW w:type="dxa" w:w="1768"/>
            <w:shd w:val="clear" w:color="auto" w:fill="E8F0FF"/>
          </w:tcPr>
          <w:p>
            <w:pPr>
              <w:jc w:val="center"/>
            </w:pPr>
            <w:r>
              <w:rPr>
                <w:sz w:val="18"/>
              </w:rPr>
              <w:t>2009-07-21</w:t>
            </w:r>
          </w:p>
        </w:tc>
        <w:tc>
          <w:tcPr>
            <w:tcW w:type="dxa" w:w="1768"/>
            <w:shd w:val="clear" w:color="auto" w:fill="E8F0FF"/>
          </w:tcPr>
          <w:p>
            <w:pPr>
              <w:jc w:val="center"/>
            </w:pPr>
            <w:r>
              <w:rPr>
                <w:sz w:val="18"/>
              </w:rPr>
              <w:t>0.25</w:t>
            </w:r>
          </w:p>
        </w:tc>
        <w:tc>
          <w:tcPr>
            <w:tcW w:type="dxa" w:w="1768"/>
            <w:shd w:val="clear" w:color="auto" w:fill="E8F0FF"/>
          </w:tcPr>
          <w:p>
            <w:pPr>
              <w:jc w:val="center"/>
            </w:pPr>
            <w:r>
              <w:rPr>
                <w:sz w:val="18"/>
              </w:rPr>
              <w:t>0</w:t>
            </w:r>
          </w:p>
        </w:tc>
        <w:tc>
          <w:tcPr>
            <w:tcW w:type="dxa" w:w="1768"/>
            <w:shd w:val="clear" w:color="auto" w:fill="E8F0FF"/>
          </w:tcPr>
          <w:p>
            <w:pPr>
              <w:jc w:val="center"/>
            </w:pPr>
            <w:r>
              <w:rPr>
                <w:sz w:val="18"/>
              </w:rPr>
              <w:t>-1.00</w:t>
            </w:r>
          </w:p>
        </w:tc>
        <w:tc>
          <w:tcPr>
            <w:tcW w:type="dxa" w:w="1768"/>
            <w:shd w:val="clear" w:color="auto" w:fill="E8F0FF"/>
          </w:tcPr>
          <w:p>
            <w:pPr>
              <w:jc w:val="center"/>
            </w:pPr>
            <w:r>
              <w:rPr>
                <w:sz w:val="18"/>
              </w:rPr>
              <w:t>BdC maintains overnight rate target at 1/4 per cent and reiterate</w:t>
            </w:r>
          </w:p>
        </w:tc>
      </w:tr>
    </w:tbl>
    <w:p>
      <w:pPr>
        <w:spacing w:before="40" w:after="200"/>
        <w:jc w:val="center"/>
      </w:pPr>
      <w:r>
        <w:rPr>
          <w:i/>
          <w:color w:val="555555"/>
          <w:sz w:val="18"/>
        </w:rPr>
        <w:t>Tableau 2. Cinq communiqués aux tons les plus hawkish (fond rouge) et dovish (fond bleu). Chgt = variation du taux directeur en points de base à l'annonce. Source : calculs de l'auteur.</w:t>
      </w:r>
    </w:p>
    <w:p>
      <w:pPr>
        <w:pStyle w:val="Heading1"/>
        <w:jc w:val="left"/>
      </w:pPr>
      <w:r>
        <w:t>4. Le cycle Macklem (2022-2026) : un cas d'école</w:t>
      </w:r>
    </w:p>
    <w:p>
      <w:pPr>
        <w:spacing w:before="0" w:after="120"/>
      </w:pPr>
      <w:r>
        <w:rPr>
          <w:b w:val="0"/>
          <w:i w:val="0"/>
          <w:sz w:val="22"/>
        </w:rPr>
        <w:t>Le cycle de politique monétaire amorcé sous Tiff Macklem en 2022 constitue l'épisode le mieux documenté de l'échantillon, tant par l'ampleur des mouvements de taux (de 0,25 % à 5,0 % en 18 mois) que par la cohérence du signal textuel. La Figure 2 illustre la correspondance entre l'indice de ton et la trajectoire du taux directeur sur cette période.</w:t>
      </w:r>
    </w:p>
    <w:p>
      <w:pPr>
        <w:spacing w:before="0" w:after="120"/>
      </w:pPr>
      <w:r>
        <w:rPr>
          <w:b w:val="0"/>
          <w:i w:val="0"/>
          <w:sz w:val="22"/>
        </w:rPr>
        <w:t>Trois sous-épisodes ressortent. D'abord, la phase de resserrement (mars 2022 - juillet 2023) : 10 hausses de taux, précédées ou accompagnées d'un ton hawkish soutenu (score moyen de +0,55 en 2022). Le communiqué de septembre 2022 (+100 bp, score = +1,0) représente le pic de restrictivité. Ensuite, le plateau (juillet 2023 - juin 2024) : le ton se neutralise progressivement, signalant la fin du cycle de hausse avant que la première baisse ne soit annoncée. Enfin, la phase de détente (juin 2024 - avril 2026) : le ton bascule résolument dovish, avec des scores proches de -1,0 lors des baisses consécutives de fin 2025 (-25 bp chacune), puis se stabilise légèrement à -0,14 en mars 2026 lors du premier maintien à 2,25 %.</w:t>
      </w:r>
    </w:p>
    <w:p>
      <w:pPr>
        <w:spacing w:before="0" w:after="120"/>
      </w:pPr>
      <w:r>
        <w:rPr>
          <w:b w:val="0"/>
          <w:i w:val="0"/>
          <w:sz w:val="22"/>
        </w:rPr>
        <w:t>Fait notable : le communiqué de janvier 2022 affiche un score de -0,60 malgré une hausse de 25 bp imminente, ce qui suggère que la BdC a d'abord tempéré ses communications avant de basculer vers une rhétorique de combat contre l'inflation.</w:t>
      </w:r>
    </w:p>
    <w:p>
      <w:pPr>
        <w:jc w:val="center"/>
      </w:pPr>
      <w:r>
        <w:drawing>
          <wp:inline xmlns:a="http://schemas.openxmlformats.org/drawingml/2006/main" xmlns:pic="http://schemas.openxmlformats.org/drawingml/2006/picture">
            <wp:extent cx="5486400" cy="2255486"/>
            <wp:docPr id="2" name="Picture 2"/>
            <wp:cNvGraphicFramePr>
              <a:graphicFrameLocks noChangeAspect="1"/>
            </wp:cNvGraphicFramePr>
            <a:graphic>
              <a:graphicData uri="http://schemas.openxmlformats.org/drawingml/2006/picture">
                <pic:pic>
                  <pic:nvPicPr>
                    <pic:cNvPr id="0" name="tone_episodes_macklem.png"/>
                    <pic:cNvPicPr/>
                  </pic:nvPicPr>
                  <pic:blipFill>
                    <a:blip r:embed="rId10"/>
                    <a:stretch>
                      <a:fillRect/>
                    </a:stretch>
                  </pic:blipFill>
                  <pic:spPr>
                    <a:xfrm>
                      <a:off x="0" y="0"/>
                      <a:ext cx="5486400" cy="2255486"/>
                    </a:xfrm>
                    <a:prstGeom prst="rect"/>
                  </pic:spPr>
                </pic:pic>
              </a:graphicData>
            </a:graphic>
          </wp:inline>
        </w:drawing>
      </w:r>
    </w:p>
    <w:p>
      <w:pPr>
        <w:spacing w:before="40" w:after="200"/>
        <w:jc w:val="center"/>
      </w:pPr>
      <w:r>
        <w:rPr>
          <w:i/>
          <w:color w:val="555555"/>
          <w:sz w:val="18"/>
        </w:rPr>
        <w:t>Figure 2. Cycle Macklem : indice de ton (barres) et taux directeur (courbe noire), 2022-2026. Les étiquettes indiquent les variations de taux en points de base. Source : bankofcanada.ca, API Valet. Calculs de l'auteur.</w:t>
      </w:r>
    </w:p>
    <w:p>
      <w:pPr>
        <w:pStyle w:val="Heading1"/>
        <w:jc w:val="left"/>
      </w:pPr>
      <w:r>
        <w:t>5. Limites et prochaines étapes</w:t>
      </w:r>
    </w:p>
    <w:p>
      <w:pPr>
        <w:spacing w:before="0" w:after="120"/>
      </w:pPr>
      <w:r>
        <w:rPr>
          <w:b w:val="0"/>
          <w:i w:val="0"/>
          <w:sz w:val="22"/>
        </w:rPr>
        <w:t>Cette note a trois limites principales. Premièrement, l'indice repose sur un lexique dichotomique qui ne capture pas la nuance ni le contexte : un terme hawkish dans une phrase de négation (ex. : 'we do not expect further tightening') reçoit le même poids qu'un usage positif. Deuxièmement, la couverture commence en 2009 en raison des contraintes du scraping par sitemap ; les communiqués antérieurs à 2009 nécessitent une extraction manuelle. Troisièmement, les données de marché intraday ne sont pas disponibles dans ce projet, ce qui limite la précision de l'étude d'événement aux fenêtres journalières.</w:t>
      </w:r>
    </w:p>
    <w:p>
      <w:pPr>
        <w:spacing w:before="0" w:after="120"/>
      </w:pPr>
      <w:r>
        <w:rPr>
          <w:b w:val="0"/>
          <w:i w:val="0"/>
          <w:sz w:val="22"/>
        </w:rPr>
        <w:t>Les prochaines étapes prévues sont : (1) l'étude d'événement formelle mesurant la réaction des rendements GoC et du taux de change CAD/USD à l'indice de ton en fenêtre J-1/J+1 ; (2) la décomposition Jarociński et Karadi (2020) pour séparer le choc de politique monétaire pure du choc d'information de la banque centrale ; (3) l'extension du lexique par apprentissage automatique supervisé.</w:t>
      </w:r>
    </w:p>
    <w:p>
      <w:pPr>
        <w:pStyle w:val="Heading1"/>
        <w:jc w:val="left"/>
      </w:pPr>
      <w:r>
        <w:t>Références</w:t>
      </w:r>
    </w:p>
    <w:p>
      <w:pPr>
        <w:pStyle w:val="ListBullet"/>
        <w:spacing w:after="80"/>
      </w:pPr>
      <w:r>
        <w:rPr>
          <w:sz w:val="20"/>
        </w:rPr>
        <w:t>Apel, M. et Blix Grimaldi, M. (2014). The Information Content of Central Bank Minutes. Review of Economics, 65(1), 53-76.</w:t>
      </w:r>
    </w:p>
    <w:p>
      <w:pPr>
        <w:pStyle w:val="ListBullet"/>
        <w:spacing w:after="80"/>
      </w:pPr>
      <w:r>
        <w:rPr>
          <w:sz w:val="20"/>
        </w:rPr>
        <w:t>Jarociński, M. et Karadi, P. (2020). Deconstructing Monetary Policy Surprises : The Role of Information Shocks. American Economic Journal: Macroeconomics, 12(2), 1-43.</w:t>
      </w:r>
    </w:p>
    <w:p>
      <w:pPr>
        <w:pStyle w:val="ListBullet"/>
        <w:spacing w:after="80"/>
      </w:pPr>
      <w:r>
        <w:rPr>
          <w:sz w:val="20"/>
        </w:rPr>
        <w:t>Picault, M. et Renault, T. (2017). Words are not all created equal: A new measure of ECB communication. Journal of International Money and Finance, 79, 136-156.</w:t>
      </w:r>
    </w:p>
    <w:p>
      <w:pPr>
        <w:pStyle w:val="ListBullet"/>
        <w:spacing w:after="80"/>
      </w:pPr>
      <w:r>
        <w:rPr>
          <w:sz w:val="20"/>
        </w:rPr>
        <w:t>Banque du Canada (2009-2026). Communiqués de décision de taux (FAD). Récupérés via bankofcanada.ca.</w:t>
      </w:r>
    </w:p>
    <w:p>
      <w:pPr>
        <w:pStyle w:val="ListBullet"/>
        <w:spacing w:after="80"/>
      </w:pPr>
      <w:r>
        <w:rPr>
          <w:sz w:val="20"/>
        </w:rPr>
        <w:t>Banque du Canada (2026). API Valet — Données économiques et financières. https://www.bankofcanada.ca/valet/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