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Note méthodologique</w:t>
      </w:r>
    </w:p>
    <w:p>
      <w:pPr>
        <w:spacing w:after="100"/>
        <w:jc w:val="center"/>
      </w:pPr>
      <w:r>
        <w:rPr>
          <w:rFonts w:ascii="Times New Roman" w:cs="Times New Roman" w:eastAsia="Times New Roman" w:hAnsi="Times New Roman"/>
          <w:b/>
          <w:bCs/>
          <w:sz w:val="32"/>
          <w:szCs w:val="32"/>
        </w:rPr>
        <w:t xml:space="preserve">Modèle gravitaire des exportations canadiennes</w:t>
      </w:r>
    </w:p>
    <w:p>
      <w:pPr>
        <w:spacing w:after="200"/>
        <w:jc w:val="center"/>
      </w:pPr>
      <w:r>
        <w:rPr>
          <w:rFonts w:ascii="Times New Roman" w:cs="Times New Roman" w:eastAsia="Times New Roman" w:hAnsi="Times New Roman"/>
          <w:i/>
          <w:iCs/>
          <w:sz w:val="24"/>
          <w:szCs w:val="24"/>
        </w:rPr>
        <w:t xml:space="preserve">Identification des marchés sous-exploités pour les exportateurs canadiens</w:t>
      </w:r>
    </w:p>
    <w:p>
      <w:pPr>
        <w:spacing w:after="100"/>
        <w:jc w:val="center"/>
      </w:pPr>
      <w:r>
        <w:rPr>
          <w:rFonts w:ascii="Times New Roman" w:cs="Times New Roman" w:eastAsia="Times New Roman" w:hAnsi="Times New Roman"/>
          <w:sz w:val="24"/>
          <w:szCs w:val="24"/>
        </w:rPr>
        <w:t xml:space="preserve">[Nom]</w:t>
      </w:r>
    </w:p>
    <w:p>
      <w:pPr>
        <w:spacing w:after="400"/>
        <w:jc w:val="center"/>
      </w:pPr>
      <w:r>
        <w:rPr>
          <w:rFonts w:ascii="Times New Roman" w:cs="Times New Roman" w:eastAsia="Times New Roman" w:hAnsi="Times New Roman"/>
          <w:sz w:val="24"/>
          <w:szCs w:val="24"/>
        </w:rPr>
        <w:t xml:space="preserve">Mars 2026</w:t>
      </w:r>
    </w:p>
    <w:p>
      <w:pPr>
        <w:pBdr>
          <w:bottom w:val="single" w:color="333333" w:sz="6" w:space="1"/>
        </w:pBdr>
      </w:pPr>
    </w:p>
    <w:p/>
    <w:p>
      <w:pPr>
        <w:pStyle w:val="Heading1"/>
      </w:pPr>
      <w:r>
        <w:t xml:space="preserve">1. Objectif</w:t>
      </w:r>
    </w:p>
    <w:p>
      <w:pPr>
        <w:spacing w:after="200"/>
      </w:pPr>
      <w:r>
        <w:t xml:space="preserve">Ce projet utilise le modèle gravitaire du commerce international pour identifier les marchés où le Canada exporte significativement moins que ce que les fondamentaux économiques et géographiques prédisent. L’écart entre le flux observé et le flux prédit par le modèle (</w:t>
      </w:r>
      <w:r>
        <w:rPr>
          <w:i/>
          <w:iCs/>
        </w:rPr>
        <w:t xml:space="preserve">trade potential gap</w:t>
      </w:r>
      <w:r>
        <w:t xml:space="preserve">) révèle les opportunités commerciales inexploitées — information directement pertinente pour le mandat d’Exportation et développement Canada (EDC).</w:t>
      </w:r>
    </w:p>
    <w:p>
      <w:pPr>
        <w:pStyle w:val="Heading1"/>
      </w:pPr>
      <w:r>
        <w:t xml:space="preserve">2. Cadre théorique</w:t>
      </w:r>
    </w:p>
    <w:p>
      <w:pPr>
        <w:spacing w:after="200"/>
      </w:pPr>
      <w:r>
        <w:t xml:space="preserve">Le modèle gravitaire, initialement proposé par Tinbergen (1962) et formalisé par Anderson et van Wincoop (2003), prédit que le commerce bilatéral entre deux pays est proportionnel au produit de leurs PIB et inversement proportionnel à la distance qui les sépare, ajusté pour les coûts commerciaux (barrières tarifaires, langue, frontière commune, accords commerciaux).</w:t>
      </w:r>
    </w:p>
    <w:p>
      <w:pPr>
        <w:spacing w:after="100"/>
      </w:pPr>
      <w:r>
        <w:t xml:space="preserve">L’équation structurelle du modèle prend la forme :</w:t>
      </w:r>
    </w:p>
    <w:p>
      <w:pPr>
        <w:spacing w:after="100"/>
        <w:jc w:val="center"/>
      </w:pPr>
      <w:r>
        <w:rPr>
          <w:i/>
          <w:iCs/>
        </w:rPr>
        <w:t xml:space="preserve">X</w:t>
      </w:r>
      <w:r>
        <w:rPr>
          <w:i/>
          <w:iCs/>
          <w:vertAlign w:val="subscript"/>
        </w:rPr>
        <w:t xml:space="preserve">ij</w:t>
      </w:r>
      <w:r>
        <w:t xml:space="preserve"> = (</w:t>
      </w:r>
      <w:r>
        <w:rPr>
          <w:i/>
          <w:iCs/>
        </w:rPr>
        <w:t xml:space="preserve">Y</w:t>
      </w:r>
      <w:r>
        <w:rPr>
          <w:i/>
          <w:iCs/>
          <w:vertAlign w:val="subscript"/>
        </w:rPr>
        <w:t xml:space="preserve">i</w:t>
      </w:r>
      <w:r>
        <w:t xml:space="preserve"> × </w:t>
      </w:r>
      <w:r>
        <w:rPr>
          <w:i/>
          <w:iCs/>
        </w:rPr>
        <w:t xml:space="preserve">Y</w:t>
      </w:r>
      <w:r>
        <w:rPr>
          <w:i/>
          <w:iCs/>
          <w:vertAlign w:val="subscript"/>
        </w:rPr>
        <w:t xml:space="preserve">j</w:t>
      </w:r>
      <w:r>
        <w:t xml:space="preserve">) / (</w:t>
      </w:r>
      <w:r>
        <w:rPr>
          <w:i/>
          <w:iCs/>
        </w:rPr>
        <w:t xml:space="preserve">d</w:t>
      </w:r>
      <w:r>
        <w:rPr>
          <w:i/>
          <w:iCs/>
          <w:vertAlign w:val="subscript"/>
        </w:rPr>
        <w:t xml:space="preserve">ij</w:t>
      </w:r>
      <w:r>
        <w:rPr>
          <w:vertAlign w:val="superscript"/>
        </w:rPr>
        <w:t xml:space="preserve">θ</w:t>
      </w:r>
      <w:r>
        <w:t xml:space="preserve"> × </w:t>
      </w:r>
      <w:r>
        <w:rPr>
          <w:i/>
          <w:iCs/>
        </w:rPr>
        <w:t xml:space="preserve">R</w:t>
      </w:r>
      <w:r>
        <w:rPr>
          <w:i/>
          <w:iCs/>
          <w:vertAlign w:val="subscript"/>
        </w:rPr>
        <w:t xml:space="preserve">i</w:t>
      </w:r>
      <w:r>
        <w:t xml:space="preserve"> × </w:t>
      </w:r>
      <w:r>
        <w:rPr>
          <w:i/>
          <w:iCs/>
        </w:rPr>
        <w:t xml:space="preserve">R</w:t>
      </w:r>
      <w:r>
        <w:rPr>
          <w:i/>
          <w:iCs/>
          <w:vertAlign w:val="subscript"/>
        </w:rPr>
        <w:t xml:space="preserve">j</w:t>
      </w:r>
      <w:r>
        <w:t xml:space="preserve">)</w:t>
      </w:r>
    </w:p>
    <w:p>
      <w:pPr>
        <w:spacing w:after="200"/>
      </w:pPr>
      <w:r>
        <w:t xml:space="preserve">où </w:t>
      </w:r>
      <w:r>
        <w:rPr>
          <w:i/>
          <w:iCs/>
        </w:rPr>
        <w:t xml:space="preserve">X</w:t>
      </w:r>
      <w:r>
        <w:rPr>
          <w:i/>
          <w:iCs/>
          <w:vertAlign w:val="subscript"/>
        </w:rPr>
        <w:t xml:space="preserve">ij</w:t>
      </w:r>
      <w:r>
        <w:t xml:space="preserve"> représente les exportations du pays </w:t>
      </w:r>
      <w:r>
        <w:rPr>
          <w:i/>
          <w:iCs/>
        </w:rPr>
        <w:t xml:space="preserve">i</w:t>
      </w:r>
      <w:r>
        <w:t xml:space="preserve"> vers le pays </w:t>
      </w:r>
      <w:r>
        <w:rPr>
          <w:i/>
          <w:iCs/>
        </w:rPr>
        <w:t xml:space="preserve">j</w:t>
      </w:r>
      <w:r>
        <w:t xml:space="preserve">, </w:t>
      </w:r>
      <w:r>
        <w:rPr>
          <w:i/>
          <w:iCs/>
        </w:rPr>
        <w:t xml:space="preserve">Y</w:t>
      </w:r>
      <w:r>
        <w:t xml:space="preserve"> les PIB respectifs, </w:t>
      </w:r>
      <w:r>
        <w:rPr>
          <w:i/>
          <w:iCs/>
        </w:rPr>
        <w:t xml:space="preserve">d</w:t>
      </w:r>
      <w:r>
        <w:t xml:space="preserve"> la distance bilatérale, </w:t>
      </w:r>
      <w:r>
        <w:rPr>
          <w:i/>
          <w:iCs/>
        </w:rPr>
        <w:t xml:space="preserve">θ</w:t>
      </w:r>
      <w:r>
        <w:t xml:space="preserve"> l’élasticité de la distance, et </w:t>
      </w:r>
      <w:r>
        <w:rPr>
          <w:i/>
          <w:iCs/>
        </w:rPr>
        <w:t xml:space="preserve">R</w:t>
      </w:r>
      <w:r>
        <w:t xml:space="preserve"> les termes de résistance multilatérale.</w:t>
      </w:r>
    </w:p>
    <w:p>
      <w:pPr>
        <w:pStyle w:val="Heading1"/>
      </w:pPr>
      <w:r>
        <w:t xml:space="preserve">3. Estimateur — PPML</w:t>
      </w:r>
    </w:p>
    <w:p>
      <w:pPr>
        <w:spacing w:after="200"/>
      </w:pPr>
      <w:r>
        <w:t xml:space="preserve">Nous utilisons l’estimateur Poisson Pseudo-Maximum Likelihood (PPML) de Santos Silva et Tenreyro (2006). Cet estimateur présente deux avantages majeurs par rapport à l’OLS traditionnellement utilisé :</w:t>
      </w:r>
    </w:p>
    <w:p>
      <w:pPr>
        <w:pStyle w:val="ListParagraph"/>
        <w:numPr>
          <w:ilvl w:val="0"/>
          <w:numId w:val="2"/>
        </w:numPr>
        <w:spacing w:after="100"/>
      </w:pPr>
      <w:r>
        <w:rPr>
          <w:b/>
          <w:bCs/>
        </w:rPr>
        <w:t xml:space="preserve">Inclusion des flux zéro : </w:t>
      </w:r>
      <w:r>
        <w:t xml:space="preserve">L’OLS en log-linéaire exclut les paires de pays sans commerce bilatéral, introduisant un biais de sélection. Le PPML estime la variable dépendante en niveaux et inclut les zéros.</w:t>
      </w:r>
    </w:p>
    <w:p>
      <w:pPr>
        <w:pStyle w:val="ListParagraph"/>
        <w:numPr>
          <w:ilvl w:val="0"/>
          <w:numId w:val="2"/>
        </w:numPr>
        <w:spacing w:after="200"/>
      </w:pPr>
      <w:r>
        <w:rPr>
          <w:b/>
          <w:bCs/>
        </w:rPr>
        <w:t xml:space="preserve">Correction de l’hétéroscédasticité : </w:t>
      </w:r>
      <w:r>
        <w:t xml:space="preserve">Santos Silva et Tenreyro (2006) démontrent que l’OLS log-linéaire produit des estimateurs inconsistants en présence d’hétéroscédasticité, problème courant dans les données de commerce. Le PPML est robuste à ce problème.</w:t>
      </w:r>
    </w:p>
    <w:p>
      <w:pPr>
        <w:pStyle w:val="Heading1"/>
      </w:pPr>
      <w:r>
        <w:t xml:space="preserve">4. Données</w:t>
      </w:r>
    </w:p>
    <w:p>
      <w:pPr>
        <w:spacing w:after="100"/>
      </w:pPr>
      <w:r>
        <w:rPr>
          <w:b/>
          <w:bCs/>
        </w:rPr>
        <w:t xml:space="preserve">Sources :</w:t>
      </w:r>
    </w:p>
    <w:p>
      <w:pPr>
        <w:pStyle w:val="ListParagraph"/>
        <w:numPr>
          <w:ilvl w:val="0"/>
          <w:numId w:val="3"/>
        </w:numPr>
      </w:pPr>
      <w:r>
        <w:t xml:space="preserve">USITC Dynamic Gravity Dataset v2.1 (2000–2019) : variables gravitaires bilatérales</w:t>
      </w:r>
    </w:p>
    <w:p>
      <w:pPr>
        <w:pStyle w:val="ListParagraph"/>
        <w:numPr>
          <w:ilvl w:val="0"/>
          <w:numId w:val="3"/>
        </w:numPr>
      </w:pPr>
      <w:r>
        <w:t xml:space="preserve">UN Comtrade API v2 : flux commerciaux bilatéraux du Canada (exportations FOB)</w:t>
      </w:r>
    </w:p>
    <w:p>
      <w:pPr>
        <w:pStyle w:val="ListParagraph"/>
        <w:numPr>
          <w:ilvl w:val="0"/>
          <w:numId w:val="3"/>
        </w:numPr>
        <w:spacing w:after="200"/>
      </w:pPr>
      <w:r>
        <w:t xml:space="preserve">Banque mondiale WDI : PIB et population</w:t>
      </w:r>
    </w:p>
    <w:p>
      <w:pPr>
        <w:spacing w:after="100"/>
      </w:pPr>
      <w:r>
        <w:rPr>
          <w:b/>
          <w:bCs/>
        </w:rPr>
        <w:t xml:space="preserve">Panel : </w:t>
      </w:r>
      <w:r>
        <w:t xml:space="preserve">4 993 observations, 254 pays partenaires, 20 années (2000–2019).</w:t>
      </w:r>
    </w:p>
    <w:p>
      <w:pPr>
        <w:spacing w:after="100" w:before="200"/>
      </w:pPr>
      <w:r>
        <w:rPr>
          <w:b/>
          <w:bCs/>
        </w:rPr>
        <w:t xml:space="preserve">Variables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Variable</w:t>
            </w:r>
          </w:p>
        </w:tc>
        <w:tc>
          <w:tcPr>
            <w:tcW w:type="dxa" w:w="5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Exportations (Y)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Exportations du Canada vers le pays j (USD)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Distance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Distance bilatérale (km, population-weighted)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Contiguïté</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Frontière commune (dummy)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Langue commune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Langue officielle commune (dummy)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Colonie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Passé colonial commun (dummy)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ALE/RTA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Accord de libre-échange (dummy)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PIB partenaire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PIB du partenaire (USD courant)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Population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Population du partenaire</w:t>
            </w:r>
          </w:p>
        </w:tc>
      </w:tr>
    </w:tbl>
    <w:p>
      <w:pPr>
        <w:pStyle w:val="Heading1"/>
      </w:pPr>
      <w:r>
        <w:t xml:space="preserve">5. Spécifications</w:t>
      </w:r>
    </w:p>
    <w:p>
      <w:pPr>
        <w:spacing w:after="100"/>
      </w:pPr>
      <w:r>
        <w:t xml:space="preserve">Trois spécifications sont estimées :</w:t>
      </w:r>
    </w:p>
    <w:p>
      <w:pPr>
        <w:pStyle w:val="ListParagraph"/>
        <w:numPr>
          <w:ilvl w:val="0"/>
          <w:numId w:val="2"/>
        </w:numPr>
        <w:spacing w:after="100"/>
      </w:pPr>
      <w:r>
        <w:rPr>
          <w:b/>
          <w:bCs/>
        </w:rPr>
        <w:t xml:space="preserve">OLS baseline : </w:t>
      </w:r>
      <w:r>
        <w:t xml:space="preserve">ln(trade) = α + β·ln(dist) + γ·Z + ε (exclut les zéros, sert de benchmark)</w:t>
      </w:r>
    </w:p>
    <w:p>
      <w:pPr>
        <w:pStyle w:val="ListParagraph"/>
        <w:numPr>
          <w:ilvl w:val="0"/>
          <w:numId w:val="2"/>
        </w:numPr>
        <w:spacing w:after="100"/>
      </w:pPr>
      <w:r>
        <w:rPr>
          <w:b/>
          <w:bCs/>
        </w:rPr>
        <w:t xml:space="preserve">PPML : </w:t>
      </w:r>
      <w:r>
        <w:t xml:space="preserve">trade = exp(α + β·ln(dist) + γ·Z) × ε (corrige le biais de sélection et l’hétéroscédasticité)</w:t>
      </w:r>
    </w:p>
    <w:p>
      <w:pPr>
        <w:pStyle w:val="ListParagraph"/>
        <w:numPr>
          <w:ilvl w:val="0"/>
          <w:numId w:val="2"/>
        </w:numPr>
        <w:spacing w:after="200"/>
      </w:pPr>
      <w:r>
        <w:rPr>
          <w:b/>
          <w:bCs/>
        </w:rPr>
        <w:t xml:space="preserve">PPML avec effets fixes : </w:t>
      </w:r>
      <w:r>
        <w:t xml:space="preserve">trade = exp(α + β·ln(dist) + γ·Z + μ</w:t>
      </w:r>
      <w:r>
        <w:rPr>
          <w:vertAlign w:val="subscript"/>
        </w:rPr>
        <w:t xml:space="preserve">t</w:t>
      </w:r>
      <w:r>
        <w:t xml:space="preserve">) × ε (contrôle les tendances globales)</w:t>
      </w:r>
    </w:p>
    <w:p>
      <w:pPr>
        <w:pStyle w:val="Heading1"/>
      </w:pPr>
      <w:r>
        <w:t xml:space="preserve">6. Calcul du potentiel commercial</w:t>
      </w:r>
    </w:p>
    <w:p>
      <w:pPr>
        <w:spacing w:after="100"/>
      </w:pPr>
      <w:r>
        <w:t xml:space="preserve">Le potentiel commercial est défini comme le ratio entre le flux prédit par le modèle et le flux observé :</w:t>
      </w:r>
    </w:p>
    <w:p>
      <w:pPr>
        <w:spacing w:after="200"/>
        <w:jc w:val="center"/>
      </w:pPr>
      <w:r>
        <w:rPr>
          <w:i/>
          <w:iCs/>
        </w:rPr>
        <w:t xml:space="preserve">Potential</w:t>
      </w:r>
      <w:r>
        <w:rPr>
          <w:i/>
          <w:iCs/>
          <w:vertAlign w:val="subscript"/>
        </w:rPr>
        <w:t xml:space="preserve">j</w:t>
      </w:r>
      <w:r>
        <w:t xml:space="preserve"> = </w:t>
      </w:r>
      <w:r>
        <w:rPr>
          <w:i/>
          <w:iCs/>
        </w:rPr>
        <w:t xml:space="preserve">Trade</w:t>
      </w:r>
      <w:r>
        <w:rPr>
          <w:i/>
          <w:iCs/>
          <w:vertAlign w:val="subscript"/>
        </w:rPr>
        <w:t xml:space="preserve">prédit,j</w:t>
      </w:r>
      <w:r>
        <w:t xml:space="preserve"> / </w:t>
      </w:r>
      <w:r>
        <w:rPr>
          <w:i/>
          <w:iCs/>
        </w:rPr>
        <w:t xml:space="preserve">Trade</w:t>
      </w:r>
      <w:r>
        <w:rPr>
          <w:i/>
          <w:iCs/>
          <w:vertAlign w:val="subscript"/>
        </w:rPr>
        <w:t xml:space="preserve">réel,j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Classification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Critère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Interprétation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Sous-exploité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Ratio &gt; 1,25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Opportunité commerciale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Équilibre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0,75 &lt; Ratio &lt; 1,25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Commerce conforme aux fondamentaux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Sur-exploité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Ratio &lt; 0,75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Dépendance commerciale</w:t>
            </w:r>
          </w:p>
        </w:tc>
      </w:tr>
    </w:tbl>
    <w:p>
      <w:pPr>
        <w:pStyle w:val="Heading1"/>
      </w:pPr>
      <w:r>
        <w:t xml:space="preserve">7. Scénarios contrefactuels</w:t>
      </w:r>
    </w:p>
    <w:p>
      <w:pPr>
        <w:spacing w:after="100"/>
      </w:pPr>
      <w:r>
        <w:t xml:space="preserve">Le modèle permet de simuler l’impact de changements de politique commerciale :</w:t>
      </w:r>
    </w:p>
    <w:p>
      <w:pPr>
        <w:pStyle w:val="ListParagraph"/>
        <w:numPr>
          <w:ilvl w:val="0"/>
          <w:numId w:val="3"/>
        </w:numPr>
      </w:pPr>
      <w:r>
        <w:rPr>
          <w:b/>
          <w:bCs/>
        </w:rPr>
        <w:t xml:space="preserve">Nouvel ALE : </w:t>
      </w:r>
      <w:r>
        <w:t xml:space="preserve">passage de la variable RTA de 0 à 1 pour les pays ciblés</w:t>
      </w:r>
    </w:p>
    <w:p>
      <w:pPr>
        <w:pStyle w:val="ListParagraph"/>
        <w:numPr>
          <w:ilvl w:val="0"/>
          <w:numId w:val="3"/>
        </w:numPr>
      </w:pPr>
      <w:r>
        <w:rPr>
          <w:b/>
          <w:bCs/>
        </w:rPr>
        <w:t xml:space="preserve">Sanctions : </w:t>
      </w:r>
      <w:r>
        <w:t xml:space="preserve">choc négatif sur le PIB effectif du partenaire et retrait de l’ALE</w:t>
      </w:r>
    </w:p>
    <w:p>
      <w:pPr>
        <w:pStyle w:val="ListParagraph"/>
        <w:numPr>
          <w:ilvl w:val="0"/>
          <w:numId w:val="3"/>
        </w:numPr>
        <w:spacing w:after="200"/>
      </w:pPr>
      <w:r>
        <w:rPr>
          <w:b/>
          <w:bCs/>
        </w:rPr>
        <w:t xml:space="preserve">Choc macroéconomique : </w:t>
      </w:r>
      <w:r>
        <w:t xml:space="preserve">variation du PIB du partenaire</w:t>
      </w:r>
    </w:p>
    <w:p>
      <w:pPr>
        <w:spacing w:after="200"/>
      </w:pPr>
      <w:r>
        <w:t xml:space="preserve">Ces simulations sont partielles (</w:t>
      </w:r>
      <w:r>
        <w:rPr>
          <w:i/>
          <w:iCs/>
        </w:rPr>
        <w:t xml:space="preserve">partial equilibrium</w:t>
      </w:r>
      <w:r>
        <w:t xml:space="preserve">) et ne tiennent pas compte des effets d’équilibre général, de la diversion commerciale, ni des ajustements de prix. Elles fournissent une approximation de premier ordre de l’impact potentiel.</w:t>
      </w:r>
    </w:p>
    <w:p>
      <w:pPr>
        <w:pStyle w:val="Heading1"/>
      </w:pPr>
      <w:r>
        <w:t xml:space="preserve">8. Limites</w:t>
      </w:r>
    </w:p>
    <w:p>
      <w:pPr>
        <w:pStyle w:val="ListParagraph"/>
        <w:numPr>
          <w:ilvl w:val="0"/>
          <w:numId w:val="2"/>
        </w:numPr>
        <w:spacing w:after="80"/>
      </w:pPr>
      <w:r>
        <w:t xml:space="preserve">Le modèle est unilatéral (Canada comme seul exportateur), ce qui ne contrôle pas les résistances multilatérales côté exportateur.</w:t>
      </w:r>
    </w:p>
    <w:p>
      <w:pPr>
        <w:pStyle w:val="ListParagraph"/>
        <w:numPr>
          <w:ilvl w:val="0"/>
          <w:numId w:val="2"/>
        </w:numPr>
        <w:spacing w:after="80"/>
      </w:pPr>
      <w:r>
        <w:t xml:space="preserve">Les données Comtrade sont limitées à 2019 (pré-COVID, pré-sanctions Russie).</w:t>
      </w:r>
    </w:p>
    <w:p>
      <w:pPr>
        <w:pStyle w:val="ListParagraph"/>
        <w:numPr>
          <w:ilvl w:val="0"/>
          <w:numId w:val="2"/>
        </w:numPr>
        <w:spacing w:after="80"/>
      </w:pPr>
      <w:r>
        <w:t xml:space="preserve">Le PPML sans effets fixes importateur ne contrôle pas parfaitement les caractéristiques inobservées des partenaires.</w:t>
      </w:r>
    </w:p>
    <w:p>
      <w:pPr>
        <w:pStyle w:val="ListParagraph"/>
        <w:numPr>
          <w:ilvl w:val="0"/>
          <w:numId w:val="2"/>
        </w:numPr>
        <w:spacing w:after="200"/>
      </w:pPr>
      <w:r>
        <w:t xml:space="preserve">Les scénarios contrefactuels sont en équilibre partiel.</w:t>
      </w:r>
    </w:p>
    <w:p>
      <w:pPr>
        <w:pStyle w:val="Heading1"/>
      </w:pPr>
      <w:r>
        <w:t xml:space="preserve">9. Références</w:t>
      </w:r>
    </w:p>
    <w:p>
      <w:pPr>
        <w:spacing w:after="100"/>
        <w:ind w:left="720" w:hanging="720"/>
      </w:pPr>
      <w:r>
        <w:t xml:space="preserve">Anderson, J.E. et van Wincoop, E. (2003). Gravity with Gravitas: A Solution to the Border Puzzle. </w:t>
      </w:r>
      <w:r>
        <w:rPr>
          <w:i/>
          <w:iCs/>
        </w:rPr>
        <w:t xml:space="preserve">American Economic Review</w:t>
      </w:r>
      <w:r>
        <w:t xml:space="preserve">, 93(1), 170–192.</w:t>
      </w:r>
    </w:p>
    <w:p>
      <w:pPr>
        <w:spacing w:after="100"/>
        <w:ind w:left="720" w:hanging="720"/>
      </w:pPr>
      <w:r>
        <w:t xml:space="preserve">Santos Silva, J.M.C. et Tenreyro, S. (2006). The Log of Gravity. </w:t>
      </w:r>
      <w:r>
        <w:rPr>
          <w:i/>
          <w:iCs/>
        </w:rPr>
        <w:t xml:space="preserve">Review of Economics and Statistics</w:t>
      </w:r>
      <w:r>
        <w:t xml:space="preserve">, 88(4), 641–658.</w:t>
      </w:r>
    </w:p>
    <w:p>
      <w:pPr>
        <w:spacing w:after="100"/>
        <w:ind w:left="720" w:hanging="720"/>
      </w:pPr>
      <w:r>
        <w:t xml:space="preserve">Tinbergen, J. (1962). </w:t>
      </w:r>
      <w:r>
        <w:rPr>
          <w:i/>
          <w:iCs/>
        </w:rPr>
        <w:t xml:space="preserve">Shaping the World Economy: Suggestions for an International Economic Policy</w:t>
      </w:r>
      <w:r>
        <w:t xml:space="preserve">. New York: Twentieth Century Fund.</w:t>
      </w:r>
    </w:p>
    <w:p>
      <w:pPr>
        <w:spacing w:after="100"/>
        <w:ind w:left="720" w:hanging="720"/>
      </w:pPr>
      <w:r>
        <w:t xml:space="preserve">Yotov, Y.V., Piermartini, R., Monteiro, J.-A. et Larch, M. (2016). </w:t>
      </w:r>
      <w:r>
        <w:rPr>
          <w:i/>
          <w:iCs/>
        </w:rPr>
        <w:t xml:space="preserve">An Advanced Guide to Trade Policy Analysis: The Structural Gravity Model</w:t>
      </w:r>
      <w:r>
        <w:t xml:space="preserve">. WTO/UNCTAD.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Note méthodologique — Modèle gravitaire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2026-03-22T03:24:34.528Z</dcterms:created>
  <dcterms:modified xsi:type="dcterms:W3CDTF">2026-03-22T03:24:34.529Z</dcterms:modified>
</cp:coreProperties>
</file>

<file path=docProps/custom.xml><?xml version="1.0" encoding="utf-8"?>
<Properties xmlns="http://schemas.openxmlformats.org/officeDocument/2006/custom-properties" xmlns:vt="http://schemas.openxmlformats.org/officeDocument/2006/docPropsVTypes"/>
</file>