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Revue des architectures PRA</w:t>
      </w:r>
    </w:p>
    <w:p>
      <w:pPr>
        <w:spacing w:after="60"/>
      </w:pPr>
      <w:r>
        <w:rPr>
          <w:color w:val="595959"/>
          <w:sz w:val="28"/>
          <w:szCs w:val="28"/>
        </w:rPr>
        <w:t xml:space="preserve">Rancher Manager et environnement administré</w:t>
      </w:r>
    </w:p>
    <w:p>
      <w:pPr>
        <w:pBdr>
          <w:bottom w:val="single" w:color="1F4E79" w:sz="8" w:space="4"/>
        </w:pBdr>
        <w:spacing w:after="240"/>
      </w:pPr>
      <w:r>
        <w:rPr>
          <w:color w:val="595959"/>
          <w:sz w:val="20"/>
          <w:szCs w:val="20"/>
        </w:rPr>
        <w:t xml:space="preserve">Retour sur les propositions 1 (sauvegarde/restauration) et 2 (GitOps + sauvegardes) · 23 octobre 2026</w:t>
      </w:r>
    </w:p>
    <w:p>
      <w:pPr>
        <w:pStyle w:val="Heading1"/>
      </w:pPr>
      <w:r>
        <w:t xml:space="preserve">1. Objet</w:t>
      </w:r>
    </w:p>
    <w:p>
      <w:pPr>
        <w:spacing w:after="120" w:line="276"/>
      </w:pPr>
      <w:r>
        <w:t xml:space="preserve">Ce document fait suite à la revue des deux architectures de reprise après sinistre (PRA) proposées pour Rancher Manager. Il vise à solidifier la démarche avant sa présentation : il met en avant ce qui fonctionne, identifie les points à clarifier et formule des questions concrètes pour chacun.</w:t>
      </w:r>
    </w:p>
    <w:p>
      <w:pPr>
        <w:pStyle w:val="Heading1"/>
      </w:pPr>
      <w:r>
        <w:t xml:space="preserve">2. Appréciation générale</w:t>
      </w:r>
    </w:p>
    <w:p>
      <w:pPr>
        <w:spacing w:after="120" w:line="276"/>
      </w:pPr>
      <w:r>
        <w:t xml:space="preserve">La démarche est bien structurée. Plusieurs éléments sont à conserver :</w:t>
      </w:r>
    </w:p>
    <w:p>
      <w:pPr>
        <w:pStyle w:val="ListParagraph"/>
        <w:numPr>
          <w:ilvl w:val="0"/>
          <w:numId w:val="2"/>
        </w:numPr>
        <w:spacing w:after="60" w:line="276"/>
      </w:pPr>
      <w:r>
        <w:rPr>
          <w:b/>
          <w:bCs/>
        </w:rPr>
        <w:t xml:space="preserve">Séparation claire des responsabilités : </w:t>
      </w:r>
      <w:r>
        <w:t xml:space="preserve">Rancher Backup Operator pour la plateforme, Velero pour les objets Kubernetes, Longhorn pour les données. Chaque outil a un rôle lisible.</w:t>
      </w:r>
    </w:p>
    <w:p>
      <w:pPr>
        <w:pStyle w:val="ListParagraph"/>
        <w:numPr>
          <w:ilvl w:val="0"/>
          <w:numId w:val="2"/>
        </w:numPr>
        <w:spacing w:after="60" w:line="276"/>
      </w:pPr>
      <w:r>
        <w:rPr>
          <w:b/>
          <w:bCs/>
        </w:rPr>
        <w:t xml:space="preserve">Approche par scénarios : </w:t>
      </w:r>
      <w:r>
        <w:t xml:space="preserve">relier chaque type d'incident à un mécanisme de reprise facilite la prise de décision le jour J.</w:t>
      </w:r>
    </w:p>
    <w:p>
      <w:pPr>
        <w:pStyle w:val="ListParagraph"/>
        <w:numPr>
          <w:ilvl w:val="0"/>
          <w:numId w:val="2"/>
        </w:numPr>
        <w:spacing w:after="60" w:line="276"/>
      </w:pPr>
      <w:r>
        <w:rPr>
          <w:b/>
          <w:bCs/>
        </w:rPr>
        <w:t xml:space="preserve">Proposition 2 à privilégier : </w:t>
      </w:r>
      <w:r>
        <w:t xml:space="preserve">reconstruire depuis Git puis restaurer uniquement le non-déclaratif est plus reproductible, plus traçable et réduit la dépendance aux sauvegardes complètes.</w:t>
      </w:r>
    </w:p>
    <w:p>
      <w:pPr>
        <w:spacing w:after="120" w:line="276"/>
      </w:pPr>
      <w:r>
        <w:t xml:space="preserve">Les points ci-dessous ne remettent pas en cause cette orientation. Ils portent sur des aspects qui, s'ils ne sont pas traités, pourraient empêcher la reprise de fonctionner le jour où on en aura besoin.</w:t>
      </w:r>
    </w:p>
    <w:p>
      <w:pPr>
        <w:pStyle w:val="Heading1"/>
      </w:pPr>
      <w:r>
        <w:t xml:space="preserve">3. Synthèse des points à clarifier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300"/>
        <w:gridCol w:w="46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Point</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Criticité</w:t>
            </w:r>
          </w:p>
        </w:tc>
        <w:tc>
          <w:tcPr>
            <w:tcW w:type="dxa" w:w="46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Question clé</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Stockage des sauvegardes RBO (S3 vs Azure Blob)</w:t>
            </w:r>
          </w:p>
        </w:tc>
        <w:tc>
          <w:tcPr>
            <w:tcW w:type="dxa" w:w="1300"/>
            <w:tcBorders>
              <w:top w:val="single" w:color="BFBFBF" w:sz="4"/>
              <w:left w:val="single" w:color="BFBFBF" w:sz="4"/>
              <w:bottom w:val="single" w:color="BFBFBF" w:sz="4"/>
              <w:right w:val="single" w:color="BFBFBF" w:sz="4"/>
            </w:tcBorders>
            <w:shd w:fill="F8CBAD" w:color="auto" w:val="clear"/>
            <w:tcMar>
              <w:top w:type="dxa" w:w="80"/>
              <w:left w:type="dxa" w:w="110"/>
              <w:bottom w:type="dxa" w:w="80"/>
              <w:right w:type="dxa" w:w="110"/>
            </w:tcMar>
          </w:tcPr>
          <w:p>
            <w:r>
              <w:rPr>
                <w:b/>
                <w:bCs/>
                <w:sz w:val="20"/>
                <w:szCs w:val="20"/>
              </w:rPr>
              <w:t xml:space="preserve">Élevée</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Quel stockage cible pour le RBO, et comment est-il supporté ?</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Snapshots etcd RKE2 absents</w:t>
            </w:r>
          </w:p>
        </w:tc>
        <w:tc>
          <w:tcPr>
            <w:tcW w:type="dxa" w:w="1300"/>
            <w:tcBorders>
              <w:top w:val="single" w:color="BFBFBF" w:sz="4"/>
              <w:left w:val="single" w:color="BFBFBF" w:sz="4"/>
              <w:bottom w:val="single" w:color="BFBFBF" w:sz="4"/>
              <w:right w:val="single" w:color="BFBFBF" w:sz="4"/>
            </w:tcBorders>
            <w:shd w:fill="F8CBAD" w:color="auto" w:val="clear"/>
            <w:tcMar>
              <w:top w:type="dxa" w:w="80"/>
              <w:left w:type="dxa" w:w="110"/>
              <w:bottom w:type="dxa" w:w="80"/>
              <w:right w:type="dxa" w:w="110"/>
            </w:tcMar>
          </w:tcPr>
          <w:p>
            <w:r>
              <w:rPr>
                <w:b/>
                <w:bCs/>
                <w:sz w:val="20"/>
                <w:szCs w:val="20"/>
              </w:rPr>
              <w:t xml:space="preserve">Élevée</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Pourquoi ne pas s'appuyer sur les snapshots etcd natifs ?</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Ordre de restauration</w:t>
            </w:r>
          </w:p>
        </w:tc>
        <w:tc>
          <w:tcPr>
            <w:tcW w:type="dxa" w:w="1300"/>
            <w:tcBorders>
              <w:top w:val="single" w:color="BFBFBF" w:sz="4"/>
              <w:left w:val="single" w:color="BFBFBF" w:sz="4"/>
              <w:bottom w:val="single" w:color="BFBFBF" w:sz="4"/>
              <w:right w:val="single" w:color="BFBFBF" w:sz="4"/>
            </w:tcBorders>
            <w:shd w:fill="F8CBAD" w:color="auto" w:val="clear"/>
            <w:tcMar>
              <w:top w:type="dxa" w:w="80"/>
              <w:left w:type="dxa" w:w="110"/>
              <w:bottom w:type="dxa" w:w="80"/>
              <w:right w:type="dxa" w:w="110"/>
            </w:tcMar>
          </w:tcPr>
          <w:p>
            <w:r>
              <w:rPr>
                <w:b/>
                <w:bCs/>
                <w:sz w:val="20"/>
                <w:szCs w:val="20"/>
              </w:rPr>
              <w:t xml:space="preserve">Élevée</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Quand le RBO restaure-t-il par rapport à l'installation de Rancher et à la synchro Fleet ?</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Cohabitation GitOps / Velero</w:t>
            </w:r>
          </w:p>
        </w:tc>
        <w:tc>
          <w:tcPr>
            <w:tcW w:type="dxa" w:w="1300"/>
            <w:tcBorders>
              <w:top w:val="single" w:color="BFBFBF" w:sz="4"/>
              <w:left w:val="single" w:color="BFBFBF" w:sz="4"/>
              <w:bottom w:val="single" w:color="BFBFBF" w:sz="4"/>
              <w:right w:val="single" w:color="BFBFBF" w:sz="4"/>
            </w:tcBorders>
            <w:shd w:fill="FFE699" w:color="auto" w:val="clear"/>
            <w:tcMar>
              <w:top w:type="dxa" w:w="80"/>
              <w:left w:type="dxa" w:w="110"/>
              <w:bottom w:type="dxa" w:w="80"/>
              <w:right w:type="dxa" w:w="110"/>
            </w:tcMar>
          </w:tcPr>
          <w:p>
            <w:r>
              <w:rPr>
                <w:b/>
                <w:bCs/>
                <w:sz w:val="20"/>
                <w:szCs w:val="20"/>
              </w:rPr>
              <w:t xml:space="preserve">Moyenne</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Quel périmètre exact pour Velero en proposition 2 ?</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Secrets et clés de reprise</w:t>
            </w:r>
          </w:p>
        </w:tc>
        <w:tc>
          <w:tcPr>
            <w:tcW w:type="dxa" w:w="1300"/>
            <w:tcBorders>
              <w:top w:val="single" w:color="BFBFBF" w:sz="4"/>
              <w:left w:val="single" w:color="BFBFBF" w:sz="4"/>
              <w:bottom w:val="single" w:color="BFBFBF" w:sz="4"/>
              <w:right w:val="single" w:color="BFBFBF" w:sz="4"/>
            </w:tcBorders>
            <w:shd w:fill="F8CBAD" w:color="auto" w:val="clear"/>
            <w:tcMar>
              <w:top w:type="dxa" w:w="80"/>
              <w:left w:type="dxa" w:w="110"/>
              <w:bottom w:type="dxa" w:w="80"/>
              <w:right w:type="dxa" w:w="110"/>
            </w:tcMar>
          </w:tcPr>
          <w:p>
            <w:r>
              <w:rPr>
                <w:b/>
                <w:bCs/>
                <w:sz w:val="20"/>
                <w:szCs w:val="20"/>
              </w:rPr>
              <w:t xml:space="preserve">Élevée</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Quelle solution de secrets, et où vivent les clés nécessaires à la reprise ?</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Cohérence des bases de données</w:t>
            </w:r>
          </w:p>
        </w:tc>
        <w:tc>
          <w:tcPr>
            <w:tcW w:type="dxa" w:w="1300"/>
            <w:tcBorders>
              <w:top w:val="single" w:color="BFBFBF" w:sz="4"/>
              <w:left w:val="single" w:color="BFBFBF" w:sz="4"/>
              <w:bottom w:val="single" w:color="BFBFBF" w:sz="4"/>
              <w:right w:val="single" w:color="BFBFBF" w:sz="4"/>
            </w:tcBorders>
            <w:shd w:fill="FFE699" w:color="auto" w:val="clear"/>
            <w:tcMar>
              <w:top w:type="dxa" w:w="80"/>
              <w:left w:type="dxa" w:w="110"/>
              <w:bottom w:type="dxa" w:w="80"/>
              <w:right w:type="dxa" w:w="110"/>
            </w:tcMar>
          </w:tcPr>
          <w:p>
            <w:r>
              <w:rPr>
                <w:b/>
                <w:bCs/>
                <w:sz w:val="20"/>
                <w:szCs w:val="20"/>
              </w:rPr>
              <w:t xml:space="preserve">Moyenne</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Sauvegardes natives ou hooks de freeze prévus ?</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Protection du coffre de sauvegarde</w:t>
            </w:r>
          </w:p>
        </w:tc>
        <w:tc>
          <w:tcPr>
            <w:tcW w:type="dxa" w:w="1300"/>
            <w:tcBorders>
              <w:top w:val="single" w:color="BFBFBF" w:sz="4"/>
              <w:left w:val="single" w:color="BFBFBF" w:sz="4"/>
              <w:bottom w:val="single" w:color="BFBFBF" w:sz="4"/>
              <w:right w:val="single" w:color="BFBFBF" w:sz="4"/>
            </w:tcBorders>
            <w:shd w:fill="F8CBAD" w:color="auto" w:val="clear"/>
            <w:tcMar>
              <w:top w:type="dxa" w:w="80"/>
              <w:left w:type="dxa" w:w="110"/>
              <w:bottom w:type="dxa" w:w="80"/>
              <w:right w:type="dxa" w:w="110"/>
            </w:tcMar>
          </w:tcPr>
          <w:p>
            <w:r>
              <w:rPr>
                <w:b/>
                <w:bCs/>
                <w:sz w:val="20"/>
                <w:szCs w:val="20"/>
              </w:rPr>
              <w:t xml:space="preserve">Élevée</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Immuabilité, isolation des accès, géo-réplication ?</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w:t>
            </w:r>
          </w:p>
        </w:tc>
        <w:tc>
          <w:tcPr>
            <w:tcW w:type="dxa" w:w="2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RPO / RTO, tests et exploitation</w:t>
            </w:r>
          </w:p>
        </w:tc>
        <w:tc>
          <w:tcPr>
            <w:tcW w:type="dxa" w:w="1300"/>
            <w:tcBorders>
              <w:top w:val="single" w:color="BFBFBF" w:sz="4"/>
              <w:left w:val="single" w:color="BFBFBF" w:sz="4"/>
              <w:bottom w:val="single" w:color="BFBFBF" w:sz="4"/>
              <w:right w:val="single" w:color="BFBFBF" w:sz="4"/>
            </w:tcBorders>
            <w:shd w:fill="DDEBF7" w:color="auto" w:val="clear"/>
            <w:tcMar>
              <w:top w:type="dxa" w:w="80"/>
              <w:left w:type="dxa" w:w="110"/>
              <w:bottom w:type="dxa" w:w="80"/>
              <w:right w:type="dxa" w:w="110"/>
            </w:tcMar>
          </w:tcPr>
          <w:p>
            <w:r>
              <w:rPr>
                <w:b/>
                <w:bCs/>
                <w:sz w:val="20"/>
                <w:szCs w:val="20"/>
              </w:rPr>
              <w:t xml:space="preserve">À valider</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Quels objectifs, quel runbook, quelle fréquence de test ?</w:t>
            </w:r>
          </w:p>
        </w:tc>
      </w:tr>
    </w:tbl>
    <w:p>
      <w:pPr>
        <w:spacing w:after="120"/>
      </w:pPr>
    </w:p>
    <w:p>
      <w:pPr>
        <w:pStyle w:val="Heading1"/>
      </w:pPr>
      <w:r>
        <w:t xml:space="preserve">4. Détail des points</w:t>
      </w:r>
    </w:p>
    <w:p>
      <w:pPr>
        <w:pStyle w:val="Heading2"/>
      </w:pPr>
      <w:r>
        <w:t xml:space="preserve">4.1 Stockage des sauvegardes du Rancher Backup Operator</w:t>
      </w:r>
    </w:p>
    <w:p>
      <w:pPr>
        <w:spacing w:after="120" w:line="276"/>
      </w:pPr>
      <w:r>
        <w:rPr>
          <w:b/>
          <w:bCs/>
        </w:rPr>
        <w:t xml:space="preserve">Constat. </w:t>
      </w:r>
      <w:r>
        <w:t xml:space="preserve">Le RBO prend en charge un stockage objet compatible S3, une StorageClass ou un volume persistant existant. Azure Blob n'est pas pris en charge nativement : les exemples disponibles passent par une passerelle MinIO S3 vers Azure, dont le mode gateway est abandonné. Par ailleurs, la proposition 1 indique Azure Blob alors que la proposition 2 indique un bucket S3.</w:t>
      </w:r>
    </w:p>
    <w:p>
      <w:pPr>
        <w:spacing w:after="120" w:line="276"/>
      </w:pPr>
      <w:r>
        <w:rPr>
          <w:b/>
          <w:bCs/>
        </w:rPr>
        <w:t xml:space="preserve">Risque. </w:t>
      </w:r>
      <w:r>
        <w:t xml:space="preserve">Une chaîne de sauvegarde reposant sur un composant non supporté, ou un schéma ambigu sur la cible réelle.</w:t>
      </w:r>
    </w:p>
    <w:p>
      <w:pPr>
        <w:keepNext/>
        <w:spacing w:after="60"/>
      </w:pPr>
      <w:r>
        <w:rPr>
          <w:b/>
          <w:bCs/>
        </w:rPr>
        <w:t xml:space="preserve">Questions :</w:t>
      </w:r>
    </w:p>
    <w:p>
      <w:pPr>
        <w:pStyle w:val="ListParagraph"/>
        <w:numPr>
          <w:ilvl w:val="0"/>
          <w:numId w:val="2"/>
        </w:numPr>
        <w:spacing w:after="60" w:line="276"/>
      </w:pPr>
      <w:r>
        <w:t xml:space="preserve">Quel stockage cible retient-on pour le RBO (S3 natif, PV sur Azure Files/Disk, autre) ?</w:t>
      </w:r>
    </w:p>
    <w:p>
      <w:pPr>
        <w:pStyle w:val="ListParagraph"/>
        <w:numPr>
          <w:ilvl w:val="0"/>
          <w:numId w:val="2"/>
        </w:numPr>
        <w:spacing w:after="60" w:line="276"/>
      </w:pPr>
      <w:r>
        <w:t xml:space="preserve">Velero et Longhorn écrivent-ils dans le même compte de stockage que le RBO ?</w:t>
      </w:r>
    </w:p>
    <w:p>
      <w:pPr>
        <w:pStyle w:val="Heading2"/>
      </w:pPr>
      <w:r>
        <w:t xml:space="preserve">4.2 Snapshots etcd de RKE2</w:t>
      </w:r>
    </w:p>
    <w:p>
      <w:pPr>
        <w:spacing w:after="120" w:line="276"/>
      </w:pPr>
      <w:r>
        <w:rPr>
          <w:b/>
          <w:bCs/>
        </w:rPr>
        <w:t xml:space="preserve">Constat. </w:t>
      </w:r>
      <w:r>
        <w:t xml:space="preserve">Aucune des deux propositions ne mentionne les snapshots etcd de RKE2, qui peuvent être envoyés automatiquement vers un stockage S3.</w:t>
      </w:r>
    </w:p>
    <w:p>
      <w:pPr>
        <w:spacing w:after="120" w:line="276"/>
      </w:pPr>
      <w:r>
        <w:rPr>
          <w:b/>
          <w:bCs/>
        </w:rPr>
        <w:t xml:space="preserve">Risque. </w:t>
      </w:r>
      <w:r>
        <w:t xml:space="preserve">Se priver du mécanisme natif le plus rapide pour restaurer un cluster complet, que ce soit le cluster local de Rancher ou les clusters gérés.</w:t>
      </w:r>
    </w:p>
    <w:p>
      <w:pPr>
        <w:keepNext/>
        <w:spacing w:after="60"/>
      </w:pPr>
      <w:r>
        <w:rPr>
          <w:b/>
          <w:bCs/>
        </w:rPr>
        <w:t xml:space="preserve">Questions :</w:t>
      </w:r>
    </w:p>
    <w:p>
      <w:pPr>
        <w:pStyle w:val="ListParagraph"/>
        <w:numPr>
          <w:ilvl w:val="0"/>
          <w:numId w:val="2"/>
        </w:numPr>
        <w:spacing w:after="60" w:line="276"/>
      </w:pPr>
      <w:r>
        <w:t xml:space="preserve">Est-ce un choix volontaire ? Si oui, pour quelle raison ?</w:t>
      </w:r>
    </w:p>
    <w:p>
      <w:pPr>
        <w:pStyle w:val="ListParagraph"/>
        <w:numPr>
          <w:ilvl w:val="0"/>
          <w:numId w:val="2"/>
        </w:numPr>
        <w:spacing w:after="60" w:line="276"/>
      </w:pPr>
      <w:r>
        <w:t xml:space="preserve">Quelle place leur donner par rapport à Velero dans les scénarios de perte de cluster ?</w:t>
      </w:r>
    </w:p>
    <w:p>
      <w:pPr>
        <w:pStyle w:val="Heading2"/>
      </w:pPr>
      <w:r>
        <w:t xml:space="preserve">4.3 Ordre de restauration</w:t>
      </w:r>
    </w:p>
    <w:p>
      <w:pPr>
        <w:spacing w:after="120" w:line="276"/>
      </w:pPr>
      <w:r>
        <w:rPr>
          <w:b/>
          <w:bCs/>
        </w:rPr>
        <w:t xml:space="preserve">Constat. </w:t>
      </w:r>
      <w:r>
        <w:t xml:space="preserve">Proposition 2 : Rancher est installé à l'étape 2, Fleet synchronise ensuite, et la configuration Rancher n'est restaurée qu'à l'étape 9. Or la procédure de migration du RBO prévoit de restaurer avant d'installer Rancher, avec la même version et le même hostname. Proposition 1 : les volumes Longhorn sont restaurés avant les objets Velero, donc avant que les PVC existent.</w:t>
      </w:r>
    </w:p>
    <w:p>
      <w:pPr>
        <w:spacing w:after="120" w:line="276"/>
      </w:pPr>
      <w:r>
        <w:rPr>
          <w:b/>
          <w:bCs/>
        </w:rPr>
        <w:t xml:space="preserve">Risque. </w:t>
      </w:r>
      <w:r>
        <w:t xml:space="preserve">Restaurer la configuration Rancher après la synchronisation Fleet risque d'écraser ou de dupliquer des objets. Des volumes restaurés sans PVC ne seront pas rattachés aux workloads.</w:t>
      </w:r>
    </w:p>
    <w:p>
      <w:pPr>
        <w:keepNext/>
        <w:spacing w:after="60"/>
      </w:pPr>
      <w:r>
        <w:rPr>
          <w:b/>
          <w:bCs/>
        </w:rPr>
        <w:t xml:space="preserve">Questions :</w:t>
      </w:r>
    </w:p>
    <w:p>
      <w:pPr>
        <w:pStyle w:val="ListParagraph"/>
        <w:numPr>
          <w:ilvl w:val="0"/>
          <w:numId w:val="2"/>
        </w:numPr>
        <w:spacing w:after="60" w:line="276"/>
      </w:pPr>
      <w:r>
        <w:t xml:space="preserve">Peut-on valider l'enchaînement RBO → Rancher → Fleet/ArgoCD → données ?</w:t>
      </w:r>
    </w:p>
    <w:p>
      <w:pPr>
        <w:pStyle w:val="ListParagraph"/>
        <w:numPr>
          <w:ilvl w:val="0"/>
          <w:numId w:val="2"/>
        </w:numPr>
        <w:spacing w:after="60" w:line="276"/>
      </w:pPr>
      <w:r>
        <w:t xml:space="preserve">Comment les volumes Longhorn sont-ils rattachés aux PVC restaurés par Velero ?</w:t>
      </w:r>
    </w:p>
    <w:p>
      <w:pPr>
        <w:pStyle w:val="Heading2"/>
      </w:pPr>
      <w:r>
        <w:t xml:space="preserve">4.4 Cohabitation GitOps et Velero</w:t>
      </w:r>
    </w:p>
    <w:p>
      <w:pPr>
        <w:spacing w:after="120" w:line="276"/>
      </w:pPr>
      <w:r>
        <w:rPr>
          <w:b/>
          <w:bCs/>
        </w:rPr>
        <w:t xml:space="preserve">Constat. </w:t>
      </w:r>
      <w:r>
        <w:t xml:space="preserve">En proposition 2, ArgoCD et Fleet réconcilient en continu l'état décrit dans Git, tandis que Velero peut restaurer les mêmes objets.</w:t>
      </w:r>
    </w:p>
    <w:p>
      <w:pPr>
        <w:spacing w:after="120" w:line="276"/>
      </w:pPr>
      <w:r>
        <w:rPr>
          <w:b/>
          <w:bCs/>
        </w:rPr>
        <w:t xml:space="preserve">Risque. </w:t>
      </w:r>
      <w:r>
        <w:t xml:space="preserve">Les deux mécanismes s'écrasent mutuellement, avec un état final imprévisible.</w:t>
      </w:r>
    </w:p>
    <w:p>
      <w:pPr>
        <w:keepNext/>
        <w:spacing w:after="60"/>
      </w:pPr>
      <w:r>
        <w:rPr>
          <w:b/>
          <w:bCs/>
        </w:rPr>
        <w:t xml:space="preserve">Questions :</w:t>
      </w:r>
    </w:p>
    <w:p>
      <w:pPr>
        <w:pStyle w:val="ListParagraph"/>
        <w:numPr>
          <w:ilvl w:val="0"/>
          <w:numId w:val="2"/>
        </w:numPr>
        <w:spacing w:after="60" w:line="276"/>
      </w:pPr>
      <w:r>
        <w:t xml:space="preserve">Que sauvegarde exactement Velero en proposition 2 ?</w:t>
      </w:r>
    </w:p>
    <w:p>
      <w:pPr>
        <w:pStyle w:val="ListParagraph"/>
        <w:numPr>
          <w:ilvl w:val="0"/>
          <w:numId w:val="2"/>
        </w:numPr>
        <w:spacing w:after="60" w:line="276"/>
      </w:pPr>
      <w:r>
        <w:t xml:space="preserve">Exclut-on les namespaces ou labels gérés par GitOps ?</w:t>
      </w:r>
    </w:p>
    <w:p>
      <w:pPr>
        <w:pStyle w:val="Heading2"/>
      </w:pPr>
      <w:r>
        <w:t xml:space="preserve">4.5 Secrets et clés nécessaires à la reprise</w:t>
      </w:r>
    </w:p>
    <w:p>
      <w:pPr>
        <w:spacing w:after="120" w:line="276"/>
      </w:pPr>
      <w:r>
        <w:rPr>
          <w:b/>
          <w:bCs/>
        </w:rPr>
        <w:t xml:space="preserve">Constat. </w:t>
      </w:r>
      <w:r>
        <w:t xml:space="preserve">Les secrets ne peuvent pas être stockés en clair dans Azure DevOps. Plusieurs clés conditionnent la reprise : clé de Sealed Secrets ou SOPS, clé de chiffrement des sauvegardes RBO, jetons d'accès Git de Fleet et d'ArgoCD.</w:t>
      </w:r>
    </w:p>
    <w:p>
      <w:pPr>
        <w:spacing w:after="120" w:line="276"/>
      </w:pPr>
      <w:r>
        <w:rPr>
          <w:b/>
          <w:bCs/>
        </w:rPr>
        <w:t xml:space="preserve">Risque. </w:t>
      </w:r>
      <w:r>
        <w:t xml:space="preserve">Si ces clés ne sont stockées que dans le cluster perdu, la reprise est bloquée, même avec des sauvegardes intactes.</w:t>
      </w:r>
    </w:p>
    <w:p>
      <w:pPr>
        <w:keepNext/>
        <w:spacing w:after="60"/>
      </w:pPr>
      <w:r>
        <w:rPr>
          <w:b/>
          <w:bCs/>
        </w:rPr>
        <w:t xml:space="preserve">Questions :</w:t>
      </w:r>
    </w:p>
    <w:p>
      <w:pPr>
        <w:pStyle w:val="ListParagraph"/>
        <w:numPr>
          <w:ilvl w:val="0"/>
          <w:numId w:val="2"/>
        </w:numPr>
        <w:spacing w:after="60" w:line="276"/>
      </w:pPr>
      <w:r>
        <w:t xml:space="preserve">Quelle solution de gestion des secrets est prévue (Sealed Secrets, SOPS, External Secrets + Azure Key Vault) ?</w:t>
      </w:r>
    </w:p>
    <w:p>
      <w:pPr>
        <w:pStyle w:val="ListParagraph"/>
        <w:numPr>
          <w:ilvl w:val="0"/>
          <w:numId w:val="2"/>
        </w:numPr>
        <w:spacing w:after="60" w:line="276"/>
      </w:pPr>
      <w:r>
        <w:t xml:space="preserve">Où sont conservées les clés de reprise, en dehors du cluster ?</w:t>
      </w:r>
    </w:p>
    <w:p>
      <w:pPr>
        <w:pStyle w:val="Heading2"/>
      </w:pPr>
      <w:r>
        <w:t xml:space="preserve">4.6 Cohérence des bases de données</w:t>
      </w:r>
    </w:p>
    <w:p>
      <w:pPr>
        <w:spacing w:after="120" w:line="276"/>
      </w:pPr>
      <w:r>
        <w:rPr>
          <w:b/>
          <w:bCs/>
        </w:rPr>
        <w:t xml:space="preserve">Constat. </w:t>
      </w:r>
      <w:r>
        <w:t xml:space="preserve">Un snapshot Longhorn d'une base PostgreSQL, MongoDB ou Elasticsearch en cours d'écriture est cohérent « crash », pas cohérent applicativement.</w:t>
      </w:r>
    </w:p>
    <w:p>
      <w:pPr>
        <w:spacing w:after="120" w:line="276"/>
      </w:pPr>
      <w:r>
        <w:rPr>
          <w:b/>
          <w:bCs/>
        </w:rPr>
        <w:t xml:space="preserve">Risque. </w:t>
      </w:r>
      <w:r>
        <w:t xml:space="preserve">Une base restaurée qui ne démarre pas ou présente des données incohérentes.</w:t>
      </w:r>
    </w:p>
    <w:p>
      <w:pPr>
        <w:keepNext/>
        <w:spacing w:after="60"/>
      </w:pPr>
      <w:r>
        <w:rPr>
          <w:b/>
          <w:bCs/>
        </w:rPr>
        <w:t xml:space="preserve">Questions :</w:t>
      </w:r>
    </w:p>
    <w:p>
      <w:pPr>
        <w:pStyle w:val="ListParagraph"/>
        <w:numPr>
          <w:ilvl w:val="0"/>
          <w:numId w:val="2"/>
        </w:numPr>
        <w:spacing w:after="60" w:line="276"/>
      </w:pPr>
      <w:r>
        <w:t xml:space="preserve">Prévoit-on des sauvegardes natives (archivage WAL ou pg_dump, mongodump, snapshots Elasticsearch) ?</w:t>
      </w:r>
    </w:p>
    <w:p>
      <w:pPr>
        <w:pStyle w:val="ListParagraph"/>
        <w:numPr>
          <w:ilvl w:val="0"/>
          <w:numId w:val="2"/>
        </w:numPr>
        <w:spacing w:after="60" w:line="276"/>
      </w:pPr>
      <w:r>
        <w:t xml:space="preserve">À défaut, des hooks de freeze avant snapshot sont-ils prévus ?</w:t>
      </w:r>
    </w:p>
    <w:p>
      <w:pPr>
        <w:pStyle w:val="ListParagraph"/>
        <w:numPr>
          <w:ilvl w:val="0"/>
          <w:numId w:val="2"/>
        </w:numPr>
        <w:spacing w:after="60" w:line="276"/>
      </w:pPr>
      <w:r>
        <w:t xml:space="preserve">Comment évite-t-on la double sauvegarde des volumes par Longhorn et par Velero ?</w:t>
      </w:r>
    </w:p>
    <w:p>
      <w:pPr>
        <w:pStyle w:val="Heading2"/>
      </w:pPr>
      <w:r>
        <w:t xml:space="preserve">4.7 Protection du coffre de sauvegarde</w:t>
      </w:r>
    </w:p>
    <w:p>
      <w:pPr>
        <w:spacing w:after="120" w:line="276"/>
      </w:pPr>
      <w:r>
        <w:rPr>
          <w:b/>
          <w:bCs/>
        </w:rPr>
        <w:t xml:space="preserve">Constat. </w:t>
      </w:r>
      <w:r>
        <w:t xml:space="preserve">Le schéma ne précise ni l'immuabilité, ni l'isolation des accès, ni la réplication du stockage des sauvegardes.</w:t>
      </w:r>
    </w:p>
    <w:p>
      <w:pPr>
        <w:spacing w:after="120" w:line="276"/>
      </w:pPr>
      <w:r>
        <w:rPr>
          <w:b/>
          <w:bCs/>
        </w:rPr>
        <w:t xml:space="preserve">Risque. </w:t>
      </w:r>
      <w:r>
        <w:t xml:space="preserve">En cas de compromission (rançongiciel notamment), un attaquant ayant accès au cluster pourrait aussi supprimer les sauvegardes.</w:t>
      </w:r>
    </w:p>
    <w:p>
      <w:pPr>
        <w:keepNext/>
        <w:spacing w:after="60"/>
      </w:pPr>
      <w:r>
        <w:rPr>
          <w:b/>
          <w:bCs/>
        </w:rPr>
        <w:t xml:space="preserve">Questions :</w:t>
      </w:r>
    </w:p>
    <w:p>
      <w:pPr>
        <w:pStyle w:val="ListParagraph"/>
        <w:numPr>
          <w:ilvl w:val="0"/>
          <w:numId w:val="2"/>
        </w:numPr>
        <w:spacing w:after="60" w:line="276"/>
      </w:pPr>
      <w:r>
        <w:t xml:space="preserve">Active-t-on l'immuabilité (immutable storage, soft delete, versioning) ?</w:t>
      </w:r>
    </w:p>
    <w:p>
      <w:pPr>
        <w:pStyle w:val="ListParagraph"/>
        <w:numPr>
          <w:ilvl w:val="0"/>
          <w:numId w:val="2"/>
        </w:numPr>
        <w:spacing w:after="60" w:line="276"/>
      </w:pPr>
      <w:r>
        <w:t xml:space="preserve">Les sauvegardes sont-elles dans un compte de stockage séparé, avec des accès restreints ?</w:t>
      </w:r>
    </w:p>
    <w:p>
      <w:pPr>
        <w:pStyle w:val="ListParagraph"/>
        <w:numPr>
          <w:ilvl w:val="0"/>
          <w:numId w:val="2"/>
        </w:numPr>
        <w:spacing w:after="60" w:line="276"/>
      </w:pPr>
      <w:r>
        <w:t xml:space="preserve">Quelle réplication géographique est retenue ?</w:t>
      </w:r>
    </w:p>
    <w:p>
      <w:pPr>
        <w:pStyle w:val="Heading1"/>
      </w:pPr>
      <w:r>
        <w:t xml:space="preserve">5. Questions transverses</w:t>
      </w:r>
    </w:p>
    <w:p>
      <w:pPr>
        <w:pStyle w:val="ListParagraph"/>
        <w:numPr>
          <w:ilvl w:val="0"/>
          <w:numId w:val="3"/>
        </w:numPr>
        <w:spacing w:after="80" w:line="276"/>
      </w:pPr>
      <w:r>
        <w:rPr>
          <w:b/>
          <w:bCs/>
        </w:rPr>
        <w:t xml:space="preserve">Objectifs : </w:t>
      </w:r>
      <w:r>
        <w:t xml:space="preserve">quels RPO et RTO vise-t-on pour chaque scénario ? Ils déterminent les fréquences de sauvegarde et le choix entre les deux propositions.</w:t>
      </w:r>
    </w:p>
    <w:p>
      <w:pPr>
        <w:pStyle w:val="ListParagraph"/>
        <w:numPr>
          <w:ilvl w:val="0"/>
          <w:numId w:val="3"/>
        </w:numPr>
        <w:spacing w:after="80" w:line="276"/>
      </w:pPr>
      <w:r>
        <w:rPr>
          <w:b/>
          <w:bCs/>
        </w:rPr>
        <w:t xml:space="preserve">Périmètre : </w:t>
      </w:r>
      <w:r>
        <w:t xml:space="preserve">Velero et Longhorn tournent-ils sur le cluster local de Rancher, sur les clusters gérés, ou sur les deux ?</w:t>
      </w:r>
    </w:p>
    <w:p>
      <w:pPr>
        <w:pStyle w:val="ListParagraph"/>
        <w:numPr>
          <w:ilvl w:val="0"/>
          <w:numId w:val="3"/>
        </w:numPr>
        <w:spacing w:after="80" w:line="276"/>
      </w:pPr>
      <w:r>
        <w:rPr>
          <w:b/>
          <w:bCs/>
        </w:rPr>
        <w:t xml:space="preserve">Infrastructure : </w:t>
      </w:r>
      <w:r>
        <w:t xml:space="preserve">comment recrée-t-on le nouveau cluster (Terraform ou autre) ? Qu'est-ce qui est prévu pour le DNS, les certificats, le load balancer et le fournisseur d'identité ? Les agents des clusters gérés doivent retrouver la même URL Rancher.</w:t>
      </w:r>
    </w:p>
    <w:p>
      <w:pPr>
        <w:pStyle w:val="ListParagraph"/>
        <w:numPr>
          <w:ilvl w:val="0"/>
          <w:numId w:val="3"/>
        </w:numPr>
        <w:spacing w:after="80" w:line="276"/>
      </w:pPr>
      <w:r>
        <w:rPr>
          <w:b/>
          <w:bCs/>
        </w:rPr>
        <w:t xml:space="preserve">Dépendances externes : </w:t>
      </w:r>
      <w:r>
        <w:t xml:space="preserve">que se passe-t-il si Azure DevOps est indisponible, si le registre d'images est inaccessible, ou si l'on perd le coffre de sauvegarde ?</w:t>
      </w:r>
    </w:p>
    <w:p>
      <w:pPr>
        <w:pStyle w:val="ListParagraph"/>
        <w:numPr>
          <w:ilvl w:val="0"/>
          <w:numId w:val="3"/>
        </w:numPr>
        <w:spacing w:after="80" w:line="276"/>
      </w:pPr>
      <w:r>
        <w:rPr>
          <w:b/>
          <w:bCs/>
        </w:rPr>
        <w:t xml:space="preserve">Exploitation : </w:t>
      </w:r>
      <w:r>
        <w:t xml:space="preserve">qui exécute la procédure, avec quel runbook, et à quelle fréquence est-elle testée ?</w:t>
      </w:r>
    </w:p>
    <w:p>
      <w:pPr>
        <w:pStyle w:val="ListParagraph"/>
        <w:numPr>
          <w:ilvl w:val="0"/>
          <w:numId w:val="3"/>
        </w:numPr>
        <w:spacing w:after="80" w:line="276"/>
      </w:pPr>
      <w:r>
        <w:rPr>
          <w:b/>
          <w:bCs/>
        </w:rPr>
        <w:t xml:space="preserve">Supervision : </w:t>
      </w:r>
      <w:r>
        <w:t xml:space="preserve">comment est-on alerté en cas d'échec d'un job de sauvegarde ?</w:t>
      </w:r>
    </w:p>
    <w:p>
      <w:pPr>
        <w:pStyle w:val="Heading1"/>
      </w:pPr>
      <w:r>
        <w:t xml:space="preserve">6. Prochaines étapes proposées</w:t>
      </w:r>
    </w:p>
    <w:p>
      <w:pPr>
        <w:pStyle w:val="ListParagraph"/>
        <w:numPr>
          <w:ilvl w:val="0"/>
          <w:numId w:val="2"/>
        </w:numPr>
        <w:spacing w:after="60" w:line="276"/>
      </w:pPr>
      <w:r>
        <w:t xml:space="preserve">Échanger 30 minutes sur les points de criticité élevée (1, 2, 3, 5 et 7).</w:t>
      </w:r>
    </w:p>
    <w:p>
      <w:pPr>
        <w:pStyle w:val="ListParagraph"/>
        <w:numPr>
          <w:ilvl w:val="0"/>
          <w:numId w:val="2"/>
        </w:numPr>
        <w:spacing w:after="60" w:line="276"/>
      </w:pPr>
      <w:r>
        <w:t xml:space="preserve">Mettre à jour le schéma : ordre de restauration corrigé, cible de stockage unique, ajout des snapshots etcd et d'un bloc « Prérequis et dépendances ».</w:t>
      </w:r>
    </w:p>
    <w:p>
      <w:pPr>
        <w:pStyle w:val="ListParagraph"/>
        <w:numPr>
          <w:ilvl w:val="0"/>
          <w:numId w:val="2"/>
        </w:numPr>
        <w:spacing w:after="60" w:line="276"/>
      </w:pPr>
      <w:r>
        <w:t xml:space="preserve">Définir les RPO/RTO par scénario, puis planifier un premier exercice de restauration sur un environnement de test.</w:t>
      </w:r>
    </w:p>
    <w:p>
      <w:pPr>
        <w:pStyle w:val="Heading1"/>
      </w:pPr>
      <w:r>
        <w:t xml:space="preserve">Références</w:t>
      </w:r>
    </w:p>
    <w:p>
      <w:pPr>
        <w:spacing w:after="120" w:line="276"/>
      </w:pPr>
      <w:hyperlink w:history="1" r:id="rIdlfcmsdtyxvea45j5mwjjy">
        <w:r>
          <w:rPr>
            <w:rStyle w:val="Hyperlink"/>
          </w:rPr>
          <w:t xml:space="preserve">SUSE – Rancher Backup Storage Location Configuration</w:t>
        </w:r>
      </w:hyperlink>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Revue PRA Rancher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fcmsdtyxvea45j5mwjjy" Type="http://schemas.openxmlformats.org/officeDocument/2006/relationships/hyperlink" Target="https://documentation.suse.com/cloudnative/rancher-manager/v2.14/en/rancher-admin/back-up-restore-and-disaster-recovery/configuration/storage.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Revue des architectures PRA – Rancher</dc:title>
  <dc:creator>noumsiulrichsteve</dc:creator>
  <cp:lastModifiedBy>Un-named</cp:lastModifiedBy>
  <cp:revision>1</cp:revision>
  <dcterms:created xsi:type="dcterms:W3CDTF">2026-10-23T14:50:41.571Z</dcterms:created>
  <dcterms:modified xsi:type="dcterms:W3CDTF">2026-10-23T14:50:41.572Z</dcterms:modified>
</cp:coreProperties>
</file>

<file path=docProps/custom.xml><?xml version="1.0" encoding="utf-8"?>
<Properties xmlns="http://schemas.openxmlformats.org/officeDocument/2006/custom-properties" xmlns:vt="http://schemas.openxmlformats.org/officeDocument/2006/docPropsVTypes"/>
</file>