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2E74B5"/>
          <w:sz w:val="20"/>
        </w:rPr>
        <w:t>ECBS5241 · FALL 2026–2027</w:t>
      </w:r>
    </w:p>
    <w:p>
      <w:pPr>
        <w:spacing w:before="0" w:after="80"/>
      </w:pPr>
      <w:r>
        <w:rPr>
          <w:rFonts w:ascii="Calibri" w:hAnsi="Calibri" w:eastAsia="Calibri"/>
          <w:b/>
          <w:color w:val="0B2545"/>
          <w:sz w:val="58"/>
        </w:rPr>
        <w:t>Introduction to Stata</w:t>
      </w:r>
    </w:p>
    <w:p>
      <w:pPr>
        <w:spacing w:before="0" w:after="240"/>
        <w:pBdr>
          <w:bottom w:val="single" w:sz="10" w:space="7" w:color="2E74B5"/>
        </w:pBdr>
      </w:pPr>
      <w:r>
        <w:rPr>
          <w:rFonts w:ascii="Calibri" w:hAnsi="Calibri" w:eastAsia="Calibri"/>
          <w:color w:val="666666"/>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B2545"/>
          <w:sz w:val="22"/>
        </w:rPr>
        <w:t>Background and overall aim</w:t>
      </w:r>
    </w:p>
    <w:p>
      <w:pPr>
        <w:widowControl/>
      </w:pPr>
      <w:r>
        <w:rPr>
          <w:rFonts w:ascii="Calibri" w:hAnsi="Calibri" w:eastAsia="Calibri"/>
          <w:b/>
          <w:color w:val="0B2545"/>
          <w:sz w:val="22"/>
        </w:rPr>
        <w:t>Content.</w:t>
      </w:r>
      <w:r>
        <w:rPr>
          <w:rFonts w:ascii="Calibri" w:hAnsi="Calibri" w:eastAsia="Calibri"/>
          <w:color w:val="0B2545"/>
          <w:sz w:val="22"/>
        </w:rPr>
        <w:t xml:space="preserve"> This course introduces Stata as a reproducible research environment. Students learn to organize a project, write and run do-files, import and validate data, clean and transform variables, combine datasets, run and interpret regressions, automate repeated regressions, and interpret descriptive and regression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B2545"/>
          <w:sz w:val="22"/>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B2545"/>
          <w:sz w:val="22"/>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B2545"/>
          <w:sz w:val="22"/>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rPr>
          <w:rFonts w:ascii="Calibri" w:hAnsi="Calibri" w:eastAsia="Calibri"/>
          <w:color w:val="0B2545"/>
          <w:sz w:val="22"/>
        </w:rPr>
        <w:t>Automate repeated regressions with local macros and loops, and verify an iteration against a manually specified regression.</w:t>
      </w:r>
    </w:p>
    <w:p>
      <w:pPr>
        <w:numPr>
          <w:ilvl w:val="0"/>
          <w:numId w:val="10"/>
        </w:numPr>
        <w:spacing w:before="0" w:after="160" w:line="280" w:lineRule="auto"/>
      </w:pPr>
      <w:r>
        <w:rPr>
          <w:rFonts w:ascii="Calibri" w:hAnsi="Calibri" w:eastAsia="Calibri"/>
          <w:color w:val="0B2545"/>
          <w:sz w:val="22"/>
        </w:rPr>
        <w:t>Read descriptive summaries and regression output and record results reproducibly.</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rPr>
          <w:rFonts w:ascii="Calibri" w:hAnsi="Calibri" w:eastAsia="Calibri"/>
          <w:color w:val="0B2545"/>
          <w:sz w:val="22"/>
        </w:rPr>
        <w:t>Optional materials cover reshaping, custom programs, additional graphics, adjusted predictions, and resampling. These extensions are outside the exam scope. Basic regression is part of the core teaching sequence, before programming.</w:t>
      </w:r>
    </w:p>
    <w:p>
      <w:pPr>
        <w:pStyle w:val="Heading1"/>
      </w:pPr>
      <w:r>
        <w:rPr>
          <w:rFonts w:ascii="Calibri" w:hAnsi="Calibri" w:eastAsia="Calibri"/>
          <w:color w:val="0B2545"/>
          <w:sz w:val="22"/>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rPr>
          <w:rFonts w:ascii="Calibri" w:hAnsi="Calibri" w:eastAsia="Calibri"/>
          <w:color w:val="0B2545"/>
          <w:sz w:val="22"/>
        </w:rPr>
        <w:t>An annotated lecture do-file introduces the session's concepts.</w:t>
      </w:r>
    </w:p>
    <w:p>
      <w:pPr>
        <w:numPr>
          <w:ilvl w:val="0"/>
          <w:numId w:val="11"/>
        </w:numPr>
        <w:spacing w:before="0" w:after="160" w:line="280" w:lineRule="auto"/>
      </w:pPr>
      <w:r>
        <w:rPr>
          <w:rFonts w:ascii="Calibri" w:hAnsi="Calibri" w:eastAsia="Calibri"/>
          <w:color w:val="0B2545"/>
          <w:sz w:val="22"/>
        </w:rPr>
        <w:t>An exercise applies a variation of those concepts to real, anonymized hotel-price data.</w:t>
      </w:r>
    </w:p>
    <w:p>
      <w:pPr>
        <w:widowControl/>
      </w:pPr>
      <w:r>
        <w:rPr>
          <w:rFonts w:ascii="Calibri" w:hAnsi="Calibri" w:eastAsia="Calibri"/>
          <w:color w:val="0B2545"/>
          <w:sz w:val="22"/>
        </w:rPr>
        <w:t>Session 1's exercise is ungraded practice. Four individual, reproducible exercise attempts form the graded checkpoints during the teaching meetings. Checkpoint identifiers and weights are retained. The revised checkpoints cover cleaning, combining, regression, and regression automation.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B2545"/>
          <w:sz w:val="22"/>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B2545"/>
          <w:sz w:val="22"/>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B2545"/>
          <w:sz w:val="22"/>
        </w:rPr>
        <w:t>Final in-class exam</w:t>
      </w:r>
    </w:p>
    <w:p>
      <w:pPr>
        <w:widowControl/>
      </w:pPr>
      <w:r>
        <w:rPr>
          <w:rFonts w:ascii="Calibri" w:hAnsi="Calibri" w:eastAsia="Calibri"/>
          <w:color w:val="0B2545"/>
          <w:sz w:val="22"/>
        </w:rPr>
        <w:t>The individual final exam takes place during Session 6 on Monday, 19 October 2026, 08:50–10:30. This is the original scheduled exam slot and is unchanged. It assesses the Stata concepts and reproducible workflow taught in the five teaching meetings.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B2545"/>
          <w:sz w:val="22"/>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B2545"/>
          <w:sz w:val="22"/>
        </w:rPr>
        <w:t>Course contents and schedule</w:t>
      </w:r>
    </w:p>
    <w:p>
      <w:pPr>
        <w:widowControl/>
      </w:pPr>
      <w:r>
        <w:rPr>
          <w:rFonts w:ascii="Calibri" w:hAnsi="Calibri" w:eastAsia="Calibri"/>
          <w:color w:val="0B2545"/>
          <w:sz w:val="22"/>
        </w:rPr>
        <w:t xml:space="preserve">Lectures 1 and 2 and their exercises remain unchanged. The revised sequence keeps three separate lecture files: </w:t>
      </w:r>
      <w:r>
        <w:rPr>
          <w:rFonts w:ascii="Calibri" w:hAnsi="Calibri" w:eastAsia="Calibri"/>
          <w:b/>
          <w:color w:val="0B2545"/>
          <w:sz w:val="22"/>
        </w:rPr>
        <w:t>combining data</w:t>
      </w:r>
      <w:r>
        <w:rPr>
          <w:rFonts w:ascii="Calibri" w:hAnsi="Calibri" w:eastAsia="Calibri"/>
          <w:color w:val="0B2545"/>
          <w:sz w:val="22"/>
        </w:rPr>
        <w:t xml:space="preserve">, </w:t>
      </w:r>
      <w:r>
        <w:rPr>
          <w:rFonts w:ascii="Calibri" w:hAnsi="Calibri" w:eastAsia="Calibri"/>
          <w:b/>
          <w:color w:val="0B2545"/>
          <w:sz w:val="22"/>
        </w:rPr>
        <w:t>running and interpreting regressions</w:t>
      </w:r>
      <w:r>
        <w:rPr>
          <w:rFonts w:ascii="Calibri" w:hAnsi="Calibri" w:eastAsia="Calibri"/>
          <w:color w:val="0B2545"/>
          <w:sz w:val="22"/>
        </w:rPr>
        <w:t xml:space="preserve">, and </w:t>
      </w:r>
      <w:r>
        <w:rPr>
          <w:rFonts w:ascii="Calibri" w:hAnsi="Calibri" w:eastAsia="Calibri"/>
          <w:b/>
          <w:color w:val="0B2545"/>
          <w:sz w:val="22"/>
        </w:rPr>
        <w:t>automating regressions</w:t>
      </w:r>
      <w:r>
        <w:rPr>
          <w:rFonts w:ascii="Calibri" w:hAnsi="Calibri" w:eastAsia="Calibri"/>
          <w:color w:val="0B2545"/>
          <w:sz w:val="22"/>
        </w:rPr>
        <w:t>. Lecture-folder numbers identify material rather than separate remaining dates.</w:t>
      </w:r>
    </w:p>
    <w:p>
      <w:pPr>
        <w:pStyle w:val="Heading2"/>
      </w:pPr>
      <w:r>
        <w:rPr>
          <w:rFonts w:ascii="Calibri" w:hAnsi="Calibri" w:eastAsia="Calibri"/>
          <w:color w:val="0B2545"/>
          <w:sz w:val="22"/>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B2545"/>
          <w:sz w:val="22"/>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B2545"/>
          <w:sz w:val="22"/>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and compare sample sizes.</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session-04-regressions</w:t>
      </w:r>
      <w:r>
        <w:rPr>
          <w:rFonts w:ascii="Calibri" w:hAnsi="Calibri" w:eastAsia="Calibri"/>
          <w:color w:val="0B2545"/>
          <w:sz w:val="22"/>
        </w:rPr>
        <w:t>.</w:t>
      </w:r>
    </w:p>
    <w:p>
      <w:pPr>
        <w:pStyle w:val="Heading2"/>
      </w:pPr>
      <w:r>
        <w:rPr>
          <w:rFonts w:ascii="Calibri" w:hAnsi="Calibri" w:eastAsia="Calibri"/>
          <w:color w:val="0B2545"/>
          <w:sz w:val="22"/>
        </w:rPr>
        <w:t>Lecture 5 Automating regressions</w:t>
      </w:r>
    </w:p>
    <w:p>
      <w:pPr>
        <w:numPr>
          <w:ilvl w:val="0"/>
          <w:numId w:val="10"/>
        </w:numPr>
        <w:spacing w:before="0" w:after="160" w:line="280" w:lineRule="auto"/>
      </w:pPr>
      <w:r>
        <w:rPr>
          <w:rFonts w:ascii="Calibri" w:hAnsi="Calibri" w:eastAsia="Calibri"/>
          <w:color w:val="0B2545"/>
          <w:sz w:val="22"/>
        </w:rPr>
        <w:t>Taught on 12 October, after students have learned to run regressions manually.</w:t>
      </w:r>
    </w:p>
    <w:p>
      <w:pPr>
        <w:numPr>
          <w:ilvl w:val="0"/>
          <w:numId w:val="10"/>
        </w:numPr>
        <w:spacing w:before="0" w:after="160" w:line="280" w:lineRule="auto"/>
      </w:pPr>
      <w:r>
        <w:rPr>
          <w:rFonts w:ascii="Calibri" w:hAnsi="Calibri" w:eastAsia="Calibri"/>
          <w:color w:val="0B2545"/>
          <w:sz w:val="22"/>
        </w:rPr>
        <w:t>Repeat a model at different price cutoffs and identify the text that changes.</w:t>
      </w:r>
    </w:p>
    <w:p>
      <w:pPr>
        <w:numPr>
          <w:ilvl w:val="0"/>
          <w:numId w:val="10"/>
        </w:numPr>
        <w:spacing w:before="0" w:after="160" w:line="280" w:lineRule="auto"/>
      </w:pPr>
      <w:r>
        <w:rPr>
          <w:rFonts w:ascii="Calibri" w:hAnsi="Calibri" w:eastAsia="Calibri"/>
          <w:color w:val="0B2545"/>
          <w:sz w:val="22"/>
        </w:rPr>
        <w:t>Define local macros for the outcome, predictors, and cutoffs.</w:t>
      </w:r>
    </w:p>
    <w:p>
      <w:pPr>
        <w:numPr>
          <w:ilvl w:val="0"/>
          <w:numId w:val="10"/>
        </w:numPr>
        <w:spacing w:before="0" w:after="160" w:line="280" w:lineRule="auto"/>
      </w:pPr>
      <w:r>
        <w:rPr>
          <w:rFonts w:ascii="Calibri" w:hAnsi="Calibri" w:eastAsia="Calibri"/>
          <w:color w:val="0B2545"/>
          <w:sz w:val="22"/>
        </w:rPr>
        <w:t xml:space="preserve">Use </w:t>
      </w:r>
      <w:r>
        <w:rPr>
          <w:rFonts w:ascii="Consolas" w:hAnsi="Consolas" w:eastAsia="Consolas"/>
          <w:color w:val="1F4D78"/>
          <w:sz w:val="19"/>
        </w:rPr>
        <w:t>foreach</w:t>
      </w:r>
      <w:r>
        <w:rPr>
          <w:rFonts w:ascii="Calibri" w:hAnsi="Calibri" w:eastAsia="Calibri"/>
          <w:color w:val="0B2545"/>
          <w:sz w:val="22"/>
        </w:rPr>
        <w:t>, report sample sizes and coefficients, and verify an iteration manually.</w:t>
      </w:r>
    </w:p>
    <w:p>
      <w:pPr>
        <w:numPr>
          <w:ilvl w:val="0"/>
          <w:numId w:val="10"/>
        </w:numPr>
        <w:spacing w:before="0" w:after="160" w:line="280" w:lineRule="auto"/>
      </w:pPr>
      <w:r>
        <w:rPr>
          <w:rFonts w:ascii="Calibri" w:hAnsi="Calibri" w:eastAsia="Calibri"/>
          <w:color w:val="0B2545"/>
          <w:sz w:val="22"/>
        </w:rPr>
        <w:t>Explain how outcome-based sample restrictions change the comparison.</w:t>
      </w:r>
    </w:p>
    <w:p>
      <w:pPr>
        <w:numPr>
          <w:ilvl w:val="0"/>
          <w:numId w:val="10"/>
        </w:numPr>
        <w:spacing w:before="0" w:after="160" w:line="280" w:lineRule="auto"/>
      </w:pPr>
      <w:r>
        <w:rPr>
          <w:rFonts w:ascii="Calibri" w:hAnsi="Calibri" w:eastAsia="Calibri"/>
          <w:color w:val="0B2545"/>
          <w:sz w:val="22"/>
        </w:rPr>
        <w:t>Checkpoint 4 (10%): automate regressions using a central-hotel indicator in place of continuous distance; interpret and validate results.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session-05-descriptives-graphics</w:t>
      </w:r>
      <w:r>
        <w:rPr>
          <w:rFonts w:ascii="Calibri" w:hAnsi="Calibri" w:eastAsia="Calibri"/>
          <w:color w:val="0B2545"/>
          <w:sz w:val="22"/>
        </w:rPr>
        <w:t>; the folder name is retained for links.</w:t>
      </w:r>
    </w:p>
    <w:p>
      <w:pPr>
        <w:pStyle w:val="Heading2"/>
      </w:pPr>
      <w:r>
        <w:rPr>
          <w:rFonts w:ascii="Calibri" w:hAnsi="Calibri" w:eastAsia="Calibri"/>
          <w:color w:val="0B2545"/>
          <w:sz w:val="22"/>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rPr>
          <w:rFonts w:ascii="Calibri" w:hAnsi="Calibri" w:eastAsia="Calibri"/>
          <w:color w:val="0B2545"/>
          <w:sz w:val="22"/>
        </w:rPr>
        <w:t xml:space="preserve">The exam remains on </w:t>
      </w:r>
      <w:r>
        <w:rPr>
          <w:rFonts w:ascii="Calibri" w:hAnsi="Calibri" w:eastAsia="Calibri"/>
          <w:b/>
          <w:color w:val="0B2545"/>
          <w:sz w:val="22"/>
        </w:rPr>
        <w:t>Monday, 19 October 2026, 08:50–10:30</w:t>
      </w:r>
      <w:r>
        <w:rPr>
          <w:rFonts w:ascii="Calibri" w:hAnsi="Calibri" w:eastAsia="Calibri"/>
          <w:color w:val="0B2545"/>
          <w:sz w:val="22"/>
        </w:rPr>
        <w:t>, worth 60%. It covers the core material actually taught in the five teaching meetings, including regression and regression automation. There is no new lecture or checkpoint in the exam meeting. Detailed instructions will be provided separately.</w:t>
      </w:r>
    </w:p>
    <w:p>
      <w:pPr>
        <w:pStyle w:val="Heading2"/>
      </w:pPr>
      <w:r>
        <w:rPr>
          <w:rFonts w:ascii="Calibri" w:hAnsi="Calibri" w:eastAsia="Calibri"/>
          <w:color w:val="0B2545"/>
          <w:sz w:val="22"/>
        </w:rPr>
        <w:t>Optional reference material</w:t>
      </w:r>
    </w:p>
    <w:p>
      <w:pPr>
        <w:widowControl/>
      </w:pPr>
      <w:r>
        <w:rPr>
          <w:rFonts w:ascii="Calibri" w:hAnsi="Calibri" w:eastAsia="Calibri"/>
          <w:color w:val="0B2545"/>
          <w:sz w:val="22"/>
        </w:rPr>
        <w:t xml:space="preserve">Reshaping, custom programs, the former graphics lecture and exercise, adjusted predictions, residual diagnostics, and resampling remain available as optional, ungraded reference. They are outside the required exam material. Optional files are named explicitly in the lecture guides. The </w:t>
      </w:r>
      <w:r>
        <w:rPr>
          <w:rFonts w:ascii="Consolas" w:hAnsi="Consolas" w:eastAsia="Consolas"/>
          <w:color w:val="1F4D78"/>
          <w:sz w:val="19"/>
        </w:rPr>
        <w:t>session-06-analysis-simulation</w:t>
      </w:r>
      <w:r>
        <w:rPr>
          <w:rFonts w:ascii="Calibri" w:hAnsi="Calibri" w:eastAsia="Calibri"/>
          <w:color w:val="0B2545"/>
          <w:sz w:val="22"/>
        </w:rPr>
        <w:t xml:space="preserve"> files are supplementary examples, not the exam paper or an additional teaching session.</w:t>
      </w:r>
    </w:p>
    <w:p>
      <w:pPr>
        <w:pStyle w:val="Heading1"/>
      </w:pPr>
      <w:r>
        <w:rPr>
          <w:rFonts w:ascii="Calibri" w:hAnsi="Calibri" w:eastAsia="Calibri"/>
          <w:color w:val="0B2545"/>
          <w:sz w:val="22"/>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6666"/>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