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GOODMAN ONE’s printing settings are optimized for the slicer software: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acquiring the filament: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COLORFABB nGEN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My printer 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ANYCUBIC i3 MEGA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Printing details in CURA: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4763</wp:posOffset>
            </wp:positionH>
            <wp:positionV relativeFrom="paragraph">
              <wp:posOffset>3857625</wp:posOffset>
            </wp:positionV>
            <wp:extent cx="4152900" cy="3362325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4763</wp:posOffset>
            </wp:positionH>
            <wp:positionV relativeFrom="paragraph">
              <wp:posOffset>647700</wp:posOffset>
            </wp:positionV>
            <wp:extent cx="4152900" cy="1362075"/>
            <wp:effectExtent b="0" l="0" r="0" t="0"/>
            <wp:wrapTopAndBottom distB="114300" distT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23813</wp:posOffset>
            </wp:positionH>
            <wp:positionV relativeFrom="paragraph">
              <wp:posOffset>1962150</wp:posOffset>
            </wp:positionV>
            <wp:extent cx="4124325" cy="1819275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4325" cy="2619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3375" cy="2867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1950" cy="8286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3619500</wp:posOffset>
            </wp:positionV>
            <wp:extent cx="4152900" cy="3629025"/>
            <wp:effectExtent b="0" l="0" r="0" t="0"/>
            <wp:wrapTopAndBottom distB="114300" distT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ultimaker.com/en/products/ultimaker-cura-software" TargetMode="External"/><Relationship Id="rId7" Type="http://schemas.openxmlformats.org/officeDocument/2006/relationships/hyperlink" Target="https://colorfabb.com/materials/co-polyesters/ngen" TargetMode="External"/><Relationship Id="rId8" Type="http://schemas.openxmlformats.org/officeDocument/2006/relationships/hyperlink" Target="https://www.gearbest.com/3d-printers-3d-printer-kits/pp_631756.html?vip=4266352&amp;gclid=CjwKCAjwrqnYBRB-EiwAthnBFktCAaHKSrFHCKRhMcWxh8YuHlQWmfEPSNhkdFwufV19SIKP5h_JpxoC1aU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