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7436"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1"/>
        <w:jc w:val="both"/>
      </w:pPr>
      <w:r>
        <w:rPr>
          <w:rFonts w:ascii="Arial" w:eastAsia="Arial" w:hAnsi="Arial" w:cs="Arial"/>
          <w:sz w:val="22"/>
        </w:rPr>
        <w:t xml:space="preserve"> </w:t>
      </w:r>
    </w:p>
    <w:tbl>
      <w:tblPr>
        <w:tblStyle w:val="TableGrid"/>
        <w:tblW w:w="9019" w:type="dxa"/>
        <w:tblInd w:w="6" w:type="dxa"/>
        <w:tblCellMar>
          <w:top w:w="67" w:type="dxa"/>
          <w:left w:w="105" w:type="dxa"/>
          <w:right w:w="81" w:type="dxa"/>
        </w:tblCellMar>
        <w:tblLook w:val="04A0" w:firstRow="1" w:lastRow="0" w:firstColumn="1" w:lastColumn="0" w:noHBand="0" w:noVBand="1"/>
      </w:tblPr>
      <w:tblGrid>
        <w:gridCol w:w="4757"/>
        <w:gridCol w:w="4262"/>
      </w:tblGrid>
      <w:tr w:rsidR="00A63C3F" w14:paraId="3BB0BA3C" w14:textId="77777777">
        <w:trPr>
          <w:trHeight w:val="3436"/>
        </w:trPr>
        <w:tc>
          <w:tcPr>
            <w:tcW w:w="9019" w:type="dxa"/>
            <w:gridSpan w:val="2"/>
            <w:tcBorders>
              <w:top w:val="single" w:sz="4" w:space="0" w:color="000000"/>
              <w:left w:val="single" w:sz="4" w:space="0" w:color="000000"/>
              <w:bottom w:val="single" w:sz="4" w:space="0" w:color="000000"/>
              <w:right w:val="single" w:sz="4" w:space="0" w:color="000000"/>
            </w:tcBorders>
          </w:tcPr>
          <w:p w14:paraId="144E3D65"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366"/>
            </w:pPr>
            <w:r>
              <w:rPr>
                <w:b/>
              </w:rPr>
              <w:t>(1)</w:t>
            </w:r>
            <w:r>
              <w:rPr>
                <w:rFonts w:ascii="Arial" w:eastAsia="Arial" w:hAnsi="Arial" w:cs="Arial"/>
                <w:b/>
              </w:rPr>
              <w:t xml:space="preserve"> </w:t>
            </w:r>
            <w:r>
              <w:rPr>
                <w:b/>
              </w:rPr>
              <w:t xml:space="preserve">PROJECT PROFILE </w:t>
            </w:r>
          </w:p>
          <w:p w14:paraId="1896163F" w14:textId="77777777" w:rsidR="00A63C3F" w:rsidRDefault="00730912">
            <w:pPr>
              <w:pBdr>
                <w:top w:val="none" w:sz="0" w:space="0" w:color="auto"/>
                <w:left w:val="none" w:sz="0" w:space="0" w:color="auto"/>
                <w:bottom w:val="none" w:sz="0" w:space="0" w:color="auto"/>
                <w:right w:val="none" w:sz="0" w:space="0" w:color="auto"/>
              </w:pBdr>
              <w:spacing w:line="238" w:lineRule="auto"/>
              <w:ind w:left="726"/>
            </w:pPr>
            <w:r>
              <w:t xml:space="preserve">Project Title: Crafting Anti fungal Soap with </w:t>
            </w:r>
            <w:proofErr w:type="spellStart"/>
            <w:r>
              <w:t>pepperomia</w:t>
            </w:r>
            <w:proofErr w:type="spellEnd"/>
            <w:r>
              <w:t xml:space="preserve"> </w:t>
            </w:r>
            <w:proofErr w:type="spellStart"/>
            <w:r>
              <w:t>pellucida</w:t>
            </w:r>
            <w:proofErr w:type="spellEnd"/>
            <w:r>
              <w:t xml:space="preserve"> : A natural Cure for </w:t>
            </w:r>
            <w:proofErr w:type="spellStart"/>
            <w:r>
              <w:t>tinea</w:t>
            </w:r>
            <w:proofErr w:type="spellEnd"/>
            <w:r>
              <w:t xml:space="preserve"> </w:t>
            </w:r>
            <w:proofErr w:type="spellStart"/>
            <w:r>
              <w:t>versicolor</w:t>
            </w:r>
            <w:proofErr w:type="spellEnd"/>
            <w:r>
              <w:t xml:space="preserve"> Caused by </w:t>
            </w:r>
            <w:proofErr w:type="spellStart"/>
            <w:r>
              <w:t>malasezzia</w:t>
            </w:r>
            <w:proofErr w:type="spellEnd"/>
            <w:r>
              <w:t xml:space="preserve"> furfur </w:t>
            </w:r>
          </w:p>
          <w:p w14:paraId="50E03E76"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6"/>
            </w:pPr>
            <w:r>
              <w:t xml:space="preserve">Name of Project Proponent: </w:t>
            </w:r>
            <w:proofErr w:type="spellStart"/>
            <w:r>
              <w:rPr>
                <w:u w:val="single" w:color="000000"/>
              </w:rPr>
              <w:t>Rhimark</w:t>
            </w:r>
            <w:proofErr w:type="spellEnd"/>
            <w:r>
              <w:rPr>
                <w:u w:val="single" w:color="000000"/>
              </w:rPr>
              <w:t xml:space="preserve"> S. </w:t>
            </w:r>
            <w:proofErr w:type="spellStart"/>
            <w:r>
              <w:rPr>
                <w:u w:val="single" w:color="000000"/>
              </w:rPr>
              <w:t>Casimero</w:t>
            </w:r>
            <w:proofErr w:type="spellEnd"/>
            <w:r>
              <w:rPr>
                <w:u w:val="single" w:color="000000"/>
              </w:rPr>
              <w:t>, Samantha F De Castro, Princess</w:t>
            </w:r>
            <w:r>
              <w:t xml:space="preserve"> </w:t>
            </w:r>
            <w:proofErr w:type="spellStart"/>
            <w:r>
              <w:rPr>
                <w:u w:val="single" w:color="000000"/>
              </w:rPr>
              <w:t>Aliys</w:t>
            </w:r>
            <w:proofErr w:type="spellEnd"/>
            <w:r>
              <w:rPr>
                <w:u w:val="single" w:color="000000"/>
              </w:rPr>
              <w:t xml:space="preserve"> L. Perez, Princess </w:t>
            </w:r>
            <w:proofErr w:type="spellStart"/>
            <w:r>
              <w:rPr>
                <w:u w:val="single" w:color="000000"/>
              </w:rPr>
              <w:t>dianne</w:t>
            </w:r>
            <w:proofErr w:type="spellEnd"/>
            <w:r>
              <w:rPr>
                <w:u w:val="single" w:color="000000"/>
              </w:rPr>
              <w:t xml:space="preserve"> F. </w:t>
            </w:r>
            <w:proofErr w:type="spellStart"/>
            <w:r>
              <w:rPr>
                <w:u w:val="single" w:color="000000"/>
              </w:rPr>
              <w:t>Roco</w:t>
            </w:r>
            <w:proofErr w:type="spellEnd"/>
            <w:r>
              <w:rPr>
                <w:u w:val="single" w:color="000000"/>
              </w:rPr>
              <w:t xml:space="preserve">, Prince Gabriel A. </w:t>
            </w:r>
            <w:proofErr w:type="spellStart"/>
            <w:r>
              <w:rPr>
                <w:u w:val="single" w:color="000000"/>
              </w:rPr>
              <w:t>Buniel</w:t>
            </w:r>
            <w:proofErr w:type="spellEnd"/>
            <w:r>
              <w:rPr>
                <w:u w:val="single" w:color="000000"/>
              </w:rPr>
              <w:t xml:space="preserve">, </w:t>
            </w:r>
            <w:proofErr w:type="spellStart"/>
            <w:r>
              <w:rPr>
                <w:u w:val="single" w:color="000000"/>
              </w:rPr>
              <w:t>Dia</w:t>
            </w:r>
            <w:proofErr w:type="spellEnd"/>
            <w:r>
              <w:rPr>
                <w:u w:val="single" w:color="000000"/>
              </w:rPr>
              <w:t xml:space="preserve"> </w:t>
            </w:r>
            <w:proofErr w:type="spellStart"/>
            <w:r>
              <w:rPr>
                <w:u w:val="single" w:color="000000"/>
              </w:rPr>
              <w:t>Trexie</w:t>
            </w:r>
            <w:proofErr w:type="spellEnd"/>
            <w:r>
              <w:rPr>
                <w:u w:val="single" w:color="000000"/>
              </w:rPr>
              <w:t xml:space="preserve"> A.</w:t>
            </w:r>
            <w:r>
              <w:t xml:space="preserve"> </w:t>
            </w:r>
          </w:p>
          <w:p w14:paraId="45C90AF6" w14:textId="77777777" w:rsidR="00A63C3F" w:rsidRDefault="00730912">
            <w:pPr>
              <w:pBdr>
                <w:top w:val="none" w:sz="0" w:space="0" w:color="auto"/>
                <w:left w:val="none" w:sz="0" w:space="0" w:color="auto"/>
                <w:bottom w:val="none" w:sz="0" w:space="0" w:color="auto"/>
                <w:right w:val="none" w:sz="0" w:space="0" w:color="auto"/>
              </w:pBdr>
              <w:spacing w:after="29" w:line="259" w:lineRule="auto"/>
              <w:ind w:left="726"/>
            </w:pPr>
            <w:r>
              <w:rPr>
                <w:u w:val="single" w:color="000000"/>
              </w:rPr>
              <w:t>Marcelo</w:t>
            </w:r>
            <w:r>
              <w:t xml:space="preserve"> </w:t>
            </w:r>
          </w:p>
          <w:p w14:paraId="4CB64DE4" w14:textId="77777777" w:rsidR="00A63C3F" w:rsidRDefault="00730912">
            <w:pPr>
              <w:pBdr>
                <w:top w:val="none" w:sz="0" w:space="0" w:color="auto"/>
                <w:left w:val="none" w:sz="0" w:space="0" w:color="auto"/>
                <w:bottom w:val="none" w:sz="0" w:space="0" w:color="auto"/>
                <w:right w:val="none" w:sz="0" w:space="0" w:color="auto"/>
              </w:pBdr>
              <w:tabs>
                <w:tab w:val="center" w:pos="1640"/>
                <w:tab w:val="center" w:pos="2887"/>
                <w:tab w:val="center" w:pos="3607"/>
                <w:tab w:val="center" w:pos="4327"/>
                <w:tab w:val="center" w:pos="5048"/>
                <w:tab w:val="center" w:pos="6765"/>
              </w:tabs>
              <w:spacing w:after="31" w:line="259" w:lineRule="auto"/>
              <w:ind w:left="0"/>
            </w:pPr>
            <w:r>
              <w:rPr>
                <w:rFonts w:ascii="Calibri" w:eastAsia="Calibri" w:hAnsi="Calibri" w:cs="Calibri"/>
                <w:sz w:val="22"/>
              </w:rPr>
              <w:tab/>
            </w:r>
            <w:r>
              <w:t xml:space="preserve">Region: </w:t>
            </w:r>
            <w:r>
              <w:rPr>
                <w:u w:val="single" w:color="000000"/>
              </w:rPr>
              <w:t>CARAGA</w:t>
            </w:r>
            <w:r>
              <w:t xml:space="preserve"> </w:t>
            </w:r>
            <w:r>
              <w:tab/>
              <w:t xml:space="preserve"> </w:t>
            </w:r>
            <w:r>
              <w:tab/>
              <w:t xml:space="preserve"> </w:t>
            </w:r>
            <w:r>
              <w:tab/>
              <w:t xml:space="preserve"> </w:t>
            </w:r>
            <w:r>
              <w:tab/>
              <w:t xml:space="preserve"> </w:t>
            </w:r>
            <w:r>
              <w:tab/>
              <w:t xml:space="preserve">Division: </w:t>
            </w:r>
            <w:proofErr w:type="spellStart"/>
            <w:r>
              <w:rPr>
                <w:u w:val="single" w:color="000000"/>
              </w:rPr>
              <w:t>Bislig</w:t>
            </w:r>
            <w:proofErr w:type="spellEnd"/>
            <w:r>
              <w:rPr>
                <w:u w:val="single" w:color="000000"/>
              </w:rPr>
              <w:t xml:space="preserve"> City</w:t>
            </w:r>
            <w:r>
              <w:t xml:space="preserve"> </w:t>
            </w:r>
          </w:p>
          <w:p w14:paraId="08D70B75" w14:textId="77777777" w:rsidR="00A63C3F" w:rsidRDefault="00730912">
            <w:pPr>
              <w:pBdr>
                <w:top w:val="none" w:sz="0" w:space="0" w:color="auto"/>
                <w:left w:val="none" w:sz="0" w:space="0" w:color="auto"/>
                <w:bottom w:val="none" w:sz="0" w:space="0" w:color="auto"/>
                <w:right w:val="none" w:sz="0" w:space="0" w:color="auto"/>
              </w:pBdr>
              <w:tabs>
                <w:tab w:val="center" w:pos="2721"/>
                <w:tab w:val="center" w:pos="5048"/>
                <w:tab w:val="center" w:pos="6485"/>
              </w:tabs>
              <w:spacing w:after="7" w:line="259" w:lineRule="auto"/>
              <w:ind w:left="0"/>
            </w:pPr>
            <w:r>
              <w:rPr>
                <w:rFonts w:ascii="Calibri" w:eastAsia="Calibri" w:hAnsi="Calibri" w:cs="Calibri"/>
                <w:sz w:val="22"/>
              </w:rPr>
              <w:tab/>
            </w:r>
            <w:r>
              <w:t xml:space="preserve">School: </w:t>
            </w:r>
            <w:proofErr w:type="spellStart"/>
            <w:r>
              <w:rPr>
                <w:u w:val="single" w:color="000000"/>
              </w:rPr>
              <w:t>Bislig</w:t>
            </w:r>
            <w:proofErr w:type="spellEnd"/>
            <w:r>
              <w:rPr>
                <w:u w:val="single" w:color="000000"/>
              </w:rPr>
              <w:t xml:space="preserve"> City National High School</w:t>
            </w:r>
            <w:r>
              <w:t xml:space="preserve"> </w:t>
            </w:r>
            <w:r>
              <w:tab/>
              <w:t xml:space="preserve"> </w:t>
            </w:r>
            <w:r>
              <w:tab/>
              <w:t xml:space="preserve">Grade Level: </w:t>
            </w:r>
            <w:r>
              <w:rPr>
                <w:u w:val="single" w:color="000000"/>
              </w:rPr>
              <w:t>9</w:t>
            </w:r>
            <w:r>
              <w:t xml:space="preserve"> </w:t>
            </w:r>
          </w:p>
          <w:p w14:paraId="3CDF42FF" w14:textId="77777777" w:rsidR="00A63C3F" w:rsidRDefault="00730912">
            <w:pPr>
              <w:pBdr>
                <w:top w:val="none" w:sz="0" w:space="0" w:color="auto"/>
                <w:left w:val="none" w:sz="0" w:space="0" w:color="auto"/>
                <w:bottom w:val="none" w:sz="0" w:space="0" w:color="auto"/>
                <w:right w:val="none" w:sz="0" w:space="0" w:color="auto"/>
              </w:pBdr>
              <w:spacing w:after="33" w:line="259" w:lineRule="auto"/>
              <w:ind w:left="726"/>
            </w:pPr>
            <w:r>
              <w:t>Project Duration (number of months):</w:t>
            </w:r>
            <w:r>
              <w:rPr>
                <w:u w:val="single" w:color="000000"/>
              </w:rPr>
              <w:t xml:space="preserve"> 3 months</w:t>
            </w:r>
            <w:r>
              <w:t xml:space="preserve"> </w:t>
            </w:r>
          </w:p>
          <w:tbl>
            <w:tblPr>
              <w:tblStyle w:val="TableGrid"/>
              <w:tblpPr w:vertAnchor="text" w:tblpX="3972" w:tblpY="-84"/>
              <w:tblOverlap w:val="never"/>
              <w:tblW w:w="1080" w:type="dxa"/>
              <w:tblInd w:w="0" w:type="dxa"/>
              <w:tblCellMar>
                <w:top w:w="83" w:type="dxa"/>
                <w:right w:w="4" w:type="dxa"/>
              </w:tblCellMar>
              <w:tblLook w:val="04A0" w:firstRow="1" w:lastRow="0" w:firstColumn="1" w:lastColumn="0" w:noHBand="0" w:noVBand="1"/>
            </w:tblPr>
            <w:tblGrid>
              <w:gridCol w:w="1080"/>
            </w:tblGrid>
            <w:tr w:rsidR="00A63C3F" w14:paraId="6F586D3F" w14:textId="77777777">
              <w:trPr>
                <w:trHeight w:val="310"/>
              </w:trPr>
              <w:tc>
                <w:tcPr>
                  <w:tcW w:w="1080" w:type="dxa"/>
                  <w:tcBorders>
                    <w:top w:val="nil"/>
                    <w:left w:val="nil"/>
                    <w:bottom w:val="nil"/>
                    <w:right w:val="nil"/>
                  </w:tcBorders>
                  <w:shd w:val="clear" w:color="auto" w:fill="F0F0F0"/>
                </w:tcPr>
                <w:p w14:paraId="5C1A1304"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0"/>
                    <w:jc w:val="both"/>
                  </w:pPr>
                  <w:r>
                    <w:rPr>
                      <w:rFonts w:ascii="Segoe UI Historic" w:eastAsia="Segoe UI Historic" w:hAnsi="Segoe UI Historic" w:cs="Segoe UI Historic"/>
                      <w:color w:val="050505"/>
                      <w:sz w:val="23"/>
                    </w:rPr>
                    <w:t xml:space="preserve">                 </w:t>
                  </w:r>
                </w:p>
              </w:tc>
            </w:tr>
          </w:tbl>
          <w:p w14:paraId="2E640033" w14:textId="77777777" w:rsidR="00A63C3F" w:rsidRDefault="00730912">
            <w:pPr>
              <w:pBdr>
                <w:top w:val="none" w:sz="0" w:space="0" w:color="auto"/>
                <w:left w:val="none" w:sz="0" w:space="0" w:color="auto"/>
                <w:bottom w:val="none" w:sz="0" w:space="0" w:color="auto"/>
                <w:right w:val="none" w:sz="0" w:space="0" w:color="auto"/>
              </w:pBdr>
              <w:tabs>
                <w:tab w:val="center" w:pos="2296"/>
                <w:tab w:val="center" w:pos="6638"/>
              </w:tabs>
              <w:spacing w:after="0" w:line="259" w:lineRule="auto"/>
              <w:ind w:left="0"/>
            </w:pPr>
            <w:r>
              <w:rPr>
                <w:rFonts w:ascii="Calibri" w:eastAsia="Calibri" w:hAnsi="Calibri" w:cs="Calibri"/>
                <w:sz w:val="22"/>
              </w:rPr>
              <w:tab/>
            </w:r>
            <w:r>
              <w:t xml:space="preserve">Email: </w:t>
            </w:r>
            <w:r>
              <w:rPr>
                <w:rFonts w:ascii="Calibri" w:eastAsia="Calibri" w:hAnsi="Calibri" w:cs="Calibri"/>
                <w:sz w:val="22"/>
              </w:rPr>
              <w:t>Emakcasimero@gmail.com</w:t>
            </w:r>
            <w:r>
              <w:rPr>
                <w:rFonts w:ascii="Calibri" w:eastAsia="Calibri" w:hAnsi="Calibri" w:cs="Calibri"/>
                <w:sz w:val="22"/>
              </w:rPr>
              <w:tab/>
            </w:r>
            <w:r>
              <w:t xml:space="preserve">Contact Number     </w:t>
            </w:r>
            <w:r>
              <w:rPr>
                <w:rFonts w:ascii="Segoe UI Historic" w:eastAsia="Segoe UI Historic" w:hAnsi="Segoe UI Historic" w:cs="Segoe UI Historic"/>
                <w:color w:val="050505"/>
                <w:sz w:val="23"/>
                <w:shd w:val="clear" w:color="auto" w:fill="F0F0F0"/>
              </w:rPr>
              <w:t>639676377397</w:t>
            </w:r>
            <w:r>
              <w:t xml:space="preserve"> </w:t>
            </w:r>
          </w:p>
          <w:p w14:paraId="4D68772C"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6"/>
            </w:pPr>
            <w:r>
              <w:t xml:space="preserve"> </w:t>
            </w:r>
          </w:p>
        </w:tc>
      </w:tr>
      <w:tr w:rsidR="00A63C3F" w14:paraId="72668220" w14:textId="77777777">
        <w:trPr>
          <w:trHeight w:val="3726"/>
        </w:trPr>
        <w:tc>
          <w:tcPr>
            <w:tcW w:w="4757" w:type="dxa"/>
            <w:tcBorders>
              <w:top w:val="single" w:sz="4" w:space="0" w:color="000000"/>
              <w:left w:val="single" w:sz="4" w:space="0" w:color="000000"/>
              <w:bottom w:val="single" w:sz="4" w:space="0" w:color="000000"/>
              <w:right w:val="single" w:sz="4" w:space="0" w:color="000000"/>
            </w:tcBorders>
          </w:tcPr>
          <w:p w14:paraId="05E5752E"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366"/>
            </w:pPr>
            <w:r>
              <w:rPr>
                <w:b/>
              </w:rPr>
              <w:t>(2)</w:t>
            </w:r>
            <w:r>
              <w:rPr>
                <w:rFonts w:ascii="Arial" w:eastAsia="Arial" w:hAnsi="Arial" w:cs="Arial"/>
                <w:b/>
              </w:rPr>
              <w:t xml:space="preserve"> </w:t>
            </w:r>
            <w:r>
              <w:rPr>
                <w:b/>
              </w:rPr>
              <w:t xml:space="preserve">CATEGORY OF RESEARCH </w:t>
            </w:r>
          </w:p>
          <w:p w14:paraId="4ECD0FF8"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6"/>
            </w:pPr>
            <w:r>
              <w:t xml:space="preserve">__Physical Science </w:t>
            </w:r>
          </w:p>
          <w:p w14:paraId="2BEA8805"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6"/>
            </w:pPr>
            <w:r>
              <w:rPr>
                <w:u w:val="single" w:color="000000"/>
              </w:rPr>
              <w:t xml:space="preserve"> /  </w:t>
            </w:r>
            <w:r>
              <w:t xml:space="preserve">Life Science </w:t>
            </w:r>
          </w:p>
          <w:p w14:paraId="5F70E302"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6"/>
            </w:pPr>
            <w:r>
              <w:t xml:space="preserve">__Robotics and Intelligent Machines </w:t>
            </w:r>
          </w:p>
          <w:p w14:paraId="08C1B09A"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6"/>
            </w:pPr>
            <w:r>
              <w:t xml:space="preserve">__Mathematics and Computational </w:t>
            </w:r>
          </w:p>
          <w:p w14:paraId="09A0B481"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6"/>
            </w:pPr>
            <w:r>
              <w:t xml:space="preserve">Sciences </w:t>
            </w:r>
          </w:p>
          <w:p w14:paraId="753960F2"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6"/>
            </w:pPr>
            <w:r>
              <w:t xml:space="preserve"> </w:t>
            </w:r>
          </w:p>
          <w:p w14:paraId="35492AF0" w14:textId="77777777" w:rsidR="00A63C3F" w:rsidRDefault="00730912">
            <w:pPr>
              <w:pBdr>
                <w:top w:val="none" w:sz="0" w:space="0" w:color="auto"/>
                <w:left w:val="none" w:sz="0" w:space="0" w:color="auto"/>
                <w:bottom w:val="none" w:sz="0" w:space="0" w:color="auto"/>
                <w:right w:val="none" w:sz="0" w:space="0" w:color="auto"/>
              </w:pBdr>
              <w:spacing w:after="10" w:line="259" w:lineRule="auto"/>
              <w:ind w:left="726"/>
            </w:pPr>
            <w:r>
              <w:t xml:space="preserve"> </w:t>
            </w:r>
          </w:p>
          <w:p w14:paraId="5300F8CD"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366"/>
            </w:pPr>
            <w:r>
              <w:rPr>
                <w:b/>
              </w:rPr>
              <w:t>(3)</w:t>
            </w:r>
            <w:r>
              <w:rPr>
                <w:rFonts w:ascii="Arial" w:eastAsia="Arial" w:hAnsi="Arial" w:cs="Arial"/>
                <w:b/>
              </w:rPr>
              <w:t xml:space="preserve"> </w:t>
            </w:r>
            <w:r>
              <w:rPr>
                <w:b/>
              </w:rPr>
              <w:t xml:space="preserve"> </w:t>
            </w:r>
          </w:p>
          <w:p w14:paraId="6755B27A" w14:textId="77777777" w:rsidR="00A63C3F" w:rsidRDefault="00730912">
            <w:pPr>
              <w:pBdr>
                <w:top w:val="none" w:sz="0" w:space="0" w:color="auto"/>
                <w:left w:val="none" w:sz="0" w:space="0" w:color="auto"/>
                <w:bottom w:val="none" w:sz="0" w:space="0" w:color="auto"/>
                <w:right w:val="none" w:sz="0" w:space="0" w:color="auto"/>
              </w:pBdr>
              <w:spacing w:after="1" w:line="259" w:lineRule="auto"/>
              <w:ind w:left="726"/>
            </w:pPr>
            <w:r>
              <w:rPr>
                <w:u w:val="single" w:color="000000"/>
              </w:rPr>
              <w:t xml:space="preserve">   </w:t>
            </w:r>
            <w:r>
              <w:t xml:space="preserve">Individual </w:t>
            </w:r>
          </w:p>
          <w:p w14:paraId="5DACE2A3"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6"/>
            </w:pPr>
            <w:r>
              <w:rPr>
                <w:b/>
              </w:rPr>
              <w:t>_/_</w:t>
            </w:r>
            <w:r>
              <w:t xml:space="preserve">Team </w:t>
            </w:r>
          </w:p>
        </w:tc>
        <w:tc>
          <w:tcPr>
            <w:tcW w:w="4262" w:type="dxa"/>
            <w:tcBorders>
              <w:top w:val="single" w:sz="4" w:space="0" w:color="000000"/>
              <w:left w:val="single" w:sz="4" w:space="0" w:color="000000"/>
              <w:bottom w:val="single" w:sz="4" w:space="0" w:color="000000"/>
              <w:right w:val="single" w:sz="4" w:space="0" w:color="000000"/>
            </w:tcBorders>
          </w:tcPr>
          <w:p w14:paraId="4C7F6BC5"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360"/>
            </w:pPr>
            <w:r>
              <w:rPr>
                <w:b/>
              </w:rPr>
              <w:t>(4)</w:t>
            </w:r>
            <w:r>
              <w:rPr>
                <w:rFonts w:ascii="Arial" w:eastAsia="Arial" w:hAnsi="Arial" w:cs="Arial"/>
                <w:b/>
              </w:rPr>
              <w:t xml:space="preserve"> </w:t>
            </w:r>
            <w:r>
              <w:rPr>
                <w:b/>
              </w:rPr>
              <w:t xml:space="preserve">THEME </w:t>
            </w:r>
          </w:p>
          <w:p w14:paraId="4F563543"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0"/>
            </w:pPr>
            <w:r>
              <w:t xml:space="preserve">__Food Safety </w:t>
            </w:r>
          </w:p>
          <w:p w14:paraId="39463D3B"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0"/>
            </w:pPr>
            <w:r>
              <w:t xml:space="preserve">__Water Conservation </w:t>
            </w:r>
          </w:p>
          <w:p w14:paraId="56A7DDDE"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0"/>
            </w:pPr>
            <w:r>
              <w:t xml:space="preserve">__Renewable Energy </w:t>
            </w:r>
          </w:p>
          <w:p w14:paraId="00F77AE6"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0"/>
            </w:pPr>
            <w:r>
              <w:t xml:space="preserve">__Cyber Security </w:t>
            </w:r>
          </w:p>
          <w:p w14:paraId="31327696"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0"/>
            </w:pPr>
            <w:r>
              <w:t xml:space="preserve">__Traffic/Road Congestion </w:t>
            </w:r>
          </w:p>
          <w:p w14:paraId="77FC38B3"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0"/>
            </w:pPr>
            <w:r>
              <w:t xml:space="preserve">_/_Health </w:t>
            </w:r>
          </w:p>
          <w:p w14:paraId="22181910"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0"/>
            </w:pPr>
            <w:r>
              <w:t xml:space="preserve">__Disaster Mitigation </w:t>
            </w:r>
          </w:p>
          <w:p w14:paraId="1186376F"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0"/>
            </w:pPr>
            <w:r>
              <w:rPr>
                <w:u w:val="single" w:color="000000"/>
              </w:rPr>
              <w:t xml:space="preserve">   </w:t>
            </w:r>
            <w:r>
              <w:t xml:space="preserve">Agriculture and Environment </w:t>
            </w:r>
          </w:p>
          <w:p w14:paraId="65094EC6"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0"/>
            </w:pPr>
            <w:r>
              <w:rPr>
                <w:u w:val="single" w:color="000000"/>
              </w:rPr>
              <w:t>__</w:t>
            </w:r>
            <w:r>
              <w:t xml:space="preserve">Others  </w:t>
            </w:r>
          </w:p>
          <w:p w14:paraId="311FFDA3" w14:textId="77777777" w:rsidR="00A63C3F" w:rsidRDefault="00730912">
            <w:pPr>
              <w:pBdr>
                <w:top w:val="none" w:sz="0" w:space="0" w:color="auto"/>
                <w:left w:val="none" w:sz="0" w:space="0" w:color="auto"/>
                <w:bottom w:val="none" w:sz="0" w:space="0" w:color="auto"/>
                <w:right w:val="none" w:sz="0" w:space="0" w:color="auto"/>
              </w:pBdr>
              <w:spacing w:after="155" w:line="259" w:lineRule="auto"/>
              <w:ind w:left="720"/>
            </w:pPr>
            <w:r>
              <w:t xml:space="preserve"> </w:t>
            </w:r>
          </w:p>
          <w:p w14:paraId="33522BC9"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0"/>
            </w:pPr>
            <w:r>
              <w:t xml:space="preserve"> </w:t>
            </w:r>
          </w:p>
        </w:tc>
      </w:tr>
      <w:tr w:rsidR="00A63C3F" w14:paraId="76B33817" w14:textId="77777777">
        <w:trPr>
          <w:trHeight w:val="6322"/>
        </w:trPr>
        <w:tc>
          <w:tcPr>
            <w:tcW w:w="9019" w:type="dxa"/>
            <w:gridSpan w:val="2"/>
            <w:tcBorders>
              <w:top w:val="single" w:sz="4" w:space="0" w:color="000000"/>
              <w:left w:val="single" w:sz="4" w:space="0" w:color="000000"/>
              <w:bottom w:val="single" w:sz="4" w:space="0" w:color="000000"/>
              <w:right w:val="single" w:sz="4" w:space="0" w:color="000000"/>
            </w:tcBorders>
          </w:tcPr>
          <w:p w14:paraId="619B0A19" w14:textId="77777777" w:rsidR="00A63C3F" w:rsidRDefault="00730912">
            <w:pPr>
              <w:pBdr>
                <w:top w:val="none" w:sz="0" w:space="0" w:color="auto"/>
                <w:left w:val="none" w:sz="0" w:space="0" w:color="auto"/>
                <w:bottom w:val="none" w:sz="0" w:space="0" w:color="auto"/>
                <w:right w:val="none" w:sz="0" w:space="0" w:color="auto"/>
              </w:pBdr>
              <w:spacing w:after="280" w:line="259" w:lineRule="auto"/>
              <w:ind w:left="366"/>
            </w:pPr>
            <w:r>
              <w:rPr>
                <w:b/>
              </w:rPr>
              <w:t>(5)</w:t>
            </w:r>
            <w:r>
              <w:rPr>
                <w:rFonts w:ascii="Arial" w:eastAsia="Arial" w:hAnsi="Arial" w:cs="Arial"/>
                <w:b/>
              </w:rPr>
              <w:t xml:space="preserve"> </w:t>
            </w:r>
            <w:r>
              <w:rPr>
                <w:b/>
              </w:rPr>
              <w:t xml:space="preserve">EXECUTIVE SUMMARY </w:t>
            </w:r>
          </w:p>
          <w:p w14:paraId="13DF4052"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5"/>
            </w:pPr>
            <w:r>
              <w:t xml:space="preserve"> </w:t>
            </w:r>
            <w:r>
              <w:tab/>
              <w:t xml:space="preserve">This study aims to develop an antifungal soap using </w:t>
            </w:r>
            <w:proofErr w:type="spellStart"/>
            <w:r>
              <w:t>Peperomia</w:t>
            </w:r>
            <w:proofErr w:type="spellEnd"/>
            <w:r>
              <w:t xml:space="preserve"> </w:t>
            </w:r>
            <w:proofErr w:type="spellStart"/>
            <w:r>
              <w:t>pellucida</w:t>
            </w:r>
            <w:proofErr w:type="spellEnd"/>
            <w:r>
              <w:t xml:space="preserve"> extract as a natural and affordable treatment for </w:t>
            </w:r>
            <w:proofErr w:type="spellStart"/>
            <w:r>
              <w:t>tinea</w:t>
            </w:r>
            <w:proofErr w:type="spellEnd"/>
            <w:r>
              <w:t xml:space="preserve"> </w:t>
            </w:r>
            <w:proofErr w:type="spellStart"/>
            <w:r>
              <w:t>versicolor</w:t>
            </w:r>
            <w:proofErr w:type="spellEnd"/>
            <w:r>
              <w:t xml:space="preserve"> caused by </w:t>
            </w:r>
            <w:proofErr w:type="spellStart"/>
            <w:r>
              <w:t>Malassezia</w:t>
            </w:r>
            <w:proofErr w:type="spellEnd"/>
            <w:r>
              <w:t xml:space="preserve"> furfur. </w:t>
            </w:r>
            <w:proofErr w:type="spellStart"/>
            <w:r>
              <w:t>Tinea</w:t>
            </w:r>
            <w:proofErr w:type="spellEnd"/>
            <w:r>
              <w:t xml:space="preserve"> </w:t>
            </w:r>
            <w:proofErr w:type="spellStart"/>
            <w:r>
              <w:t>versicolor</w:t>
            </w:r>
            <w:proofErr w:type="spellEnd"/>
            <w:r>
              <w:t xml:space="preserve"> is a common superficial fungal infection in tropical regions, and conventional treatments may be expensive or cause skin irritation. The research will evaluate the antifungal activity of the plant extract incorporated into soap by testing its effectiveness against cultured fungal samples. Laboratory experimental methods will be used to measure fungal growth inhibition, and statistical analysis using a t-test will determine whether the plant-based soap has significant antifungal effects compared to a control treatment. The expected outcome is a safe, accessible, and effective natural antifungal product that may help reduce reliance on synthetic medications. </w:t>
            </w:r>
          </w:p>
        </w:tc>
      </w:tr>
    </w:tbl>
    <w:p w14:paraId="547BD44C" w14:textId="77777777" w:rsidR="00A63C3F" w:rsidRDefault="00A63C3F">
      <w:pPr>
        <w:pBdr>
          <w:top w:val="none" w:sz="0" w:space="0" w:color="auto"/>
          <w:left w:val="none" w:sz="0" w:space="0" w:color="auto"/>
          <w:bottom w:val="none" w:sz="0" w:space="0" w:color="auto"/>
          <w:right w:val="none" w:sz="0" w:space="0" w:color="auto"/>
        </w:pBdr>
        <w:spacing w:after="0" w:line="259" w:lineRule="auto"/>
        <w:ind w:left="-1440"/>
      </w:pPr>
    </w:p>
    <w:tbl>
      <w:tblPr>
        <w:tblStyle w:val="TableGrid"/>
        <w:tblW w:w="27057" w:type="dxa"/>
        <w:tblInd w:w="6" w:type="dxa"/>
        <w:tblCellMar>
          <w:top w:w="67" w:type="dxa"/>
          <w:left w:w="110" w:type="dxa"/>
          <w:right w:w="46" w:type="dxa"/>
        </w:tblCellMar>
        <w:tblLook w:val="04A0" w:firstRow="1" w:lastRow="0" w:firstColumn="1" w:lastColumn="0" w:noHBand="0" w:noVBand="1"/>
      </w:tblPr>
      <w:tblGrid>
        <w:gridCol w:w="9019"/>
        <w:gridCol w:w="9019"/>
        <w:gridCol w:w="9019"/>
      </w:tblGrid>
      <w:tr w:rsidR="00B50D71" w14:paraId="7B07CFCE" w14:textId="25E594A3" w:rsidTr="00B50D71">
        <w:trPr>
          <w:trHeight w:val="470"/>
        </w:trPr>
        <w:tc>
          <w:tcPr>
            <w:tcW w:w="9019" w:type="dxa"/>
            <w:tcBorders>
              <w:top w:val="single" w:sz="4" w:space="0" w:color="000000"/>
              <w:left w:val="single" w:sz="4" w:space="0" w:color="000000"/>
              <w:bottom w:val="single" w:sz="4" w:space="0" w:color="000000"/>
              <w:right w:val="single" w:sz="4" w:space="0" w:color="000000"/>
            </w:tcBorders>
          </w:tcPr>
          <w:p w14:paraId="2D8C50E3" w14:textId="77777777" w:rsidR="00B50D71" w:rsidRDefault="00B50D71">
            <w:pPr>
              <w:pBdr>
                <w:top w:val="none" w:sz="0" w:space="0" w:color="auto"/>
                <w:left w:val="none" w:sz="0" w:space="0" w:color="auto"/>
                <w:bottom w:val="none" w:sz="0" w:space="0" w:color="auto"/>
                <w:right w:val="none" w:sz="0" w:space="0" w:color="auto"/>
              </w:pBdr>
              <w:spacing w:after="0" w:line="259" w:lineRule="auto"/>
              <w:ind w:left="361"/>
            </w:pPr>
            <w:r>
              <w:rPr>
                <w:b/>
              </w:rPr>
              <w:t>(6)</w:t>
            </w:r>
            <w:r>
              <w:rPr>
                <w:rFonts w:ascii="Arial" w:eastAsia="Arial" w:hAnsi="Arial" w:cs="Arial"/>
                <w:b/>
              </w:rPr>
              <w:t xml:space="preserve"> </w:t>
            </w:r>
            <w:r>
              <w:rPr>
                <w:b/>
              </w:rPr>
              <w:t xml:space="preserve">INTRODUCTION </w:t>
            </w:r>
          </w:p>
        </w:tc>
        <w:tc>
          <w:tcPr>
            <w:tcW w:w="9019" w:type="dxa"/>
          </w:tcPr>
          <w:p w14:paraId="0AC8005D" w14:textId="77777777" w:rsidR="00B50D71" w:rsidRDefault="00B50D71">
            <w:pPr>
              <w:pBdr>
                <w:top w:val="none" w:sz="0" w:space="0" w:color="auto"/>
                <w:left w:val="none" w:sz="0" w:space="0" w:color="auto"/>
                <w:bottom w:val="none" w:sz="0" w:space="0" w:color="auto"/>
                <w:right w:val="none" w:sz="0" w:space="0" w:color="auto"/>
              </w:pBdr>
              <w:spacing w:after="0" w:line="259" w:lineRule="auto"/>
              <w:ind w:left="361"/>
              <w:rPr>
                <w:b/>
              </w:rPr>
            </w:pPr>
          </w:p>
        </w:tc>
        <w:tc>
          <w:tcPr>
            <w:tcW w:w="9019" w:type="dxa"/>
          </w:tcPr>
          <w:p w14:paraId="73840103" w14:textId="2249F851" w:rsidR="00B50D71" w:rsidRDefault="00B50D71">
            <w:pPr>
              <w:pBdr>
                <w:top w:val="none" w:sz="0" w:space="0" w:color="auto"/>
                <w:left w:val="none" w:sz="0" w:space="0" w:color="auto"/>
                <w:bottom w:val="none" w:sz="0" w:space="0" w:color="auto"/>
                <w:right w:val="none" w:sz="0" w:space="0" w:color="auto"/>
              </w:pBdr>
              <w:spacing w:after="0" w:line="259" w:lineRule="auto"/>
              <w:ind w:left="361"/>
              <w:rPr>
                <w:b/>
              </w:rPr>
            </w:pPr>
          </w:p>
        </w:tc>
      </w:tr>
      <w:tr w:rsidR="00B50D71" w14:paraId="680220F5" w14:textId="4AFC67B4" w:rsidTr="00B50D71">
        <w:trPr>
          <w:trHeight w:val="7347"/>
        </w:trPr>
        <w:tc>
          <w:tcPr>
            <w:tcW w:w="9019" w:type="dxa"/>
            <w:tcBorders>
              <w:top w:val="single" w:sz="4" w:space="0" w:color="000000"/>
              <w:left w:val="single" w:sz="4" w:space="0" w:color="000000"/>
              <w:bottom w:val="single" w:sz="4" w:space="0" w:color="000000"/>
              <w:right w:val="single" w:sz="4" w:space="0" w:color="000000"/>
            </w:tcBorders>
          </w:tcPr>
          <w:p w14:paraId="75BC0CA4" w14:textId="77777777" w:rsidR="00B50D71" w:rsidRDefault="00B50D71">
            <w:pPr>
              <w:pBdr>
                <w:top w:val="none" w:sz="0" w:space="0" w:color="auto"/>
                <w:left w:val="none" w:sz="0" w:space="0" w:color="auto"/>
                <w:bottom w:val="none" w:sz="0" w:space="0" w:color="auto"/>
                <w:right w:val="none" w:sz="0" w:space="0" w:color="auto"/>
              </w:pBdr>
              <w:tabs>
                <w:tab w:val="center" w:pos="0"/>
                <w:tab w:val="center" w:pos="1474"/>
              </w:tabs>
              <w:spacing w:after="286" w:line="259" w:lineRule="auto"/>
              <w:ind w:left="0"/>
            </w:pPr>
            <w:r>
              <w:rPr>
                <w:rFonts w:ascii="Calibri" w:eastAsia="Calibri" w:hAnsi="Calibri" w:cs="Calibri"/>
                <w:sz w:val="22"/>
              </w:rPr>
              <w:tab/>
            </w:r>
            <w:r>
              <w:t xml:space="preserve"> </w:t>
            </w:r>
            <w:r>
              <w:tab/>
            </w:r>
            <w:r>
              <w:rPr>
                <w:b/>
              </w:rPr>
              <w:t xml:space="preserve">(6.1) Rationale  </w:t>
            </w:r>
          </w:p>
          <w:p w14:paraId="4A3DE4B1" w14:textId="77777777" w:rsidR="00B50D71" w:rsidRDefault="00B50D71">
            <w:pPr>
              <w:pBdr>
                <w:top w:val="none" w:sz="0" w:space="0" w:color="auto"/>
                <w:left w:val="none" w:sz="0" w:space="0" w:color="auto"/>
                <w:bottom w:val="none" w:sz="0" w:space="0" w:color="auto"/>
                <w:right w:val="none" w:sz="0" w:space="0" w:color="auto"/>
              </w:pBdr>
              <w:spacing w:after="157" w:line="478" w:lineRule="auto"/>
              <w:ind w:left="0" w:right="25"/>
            </w:pPr>
            <w:r>
              <w:t xml:space="preserve"> </w:t>
            </w:r>
            <w:r>
              <w:tab/>
              <w:t xml:space="preserve"> </w:t>
            </w:r>
            <w:r>
              <w:tab/>
              <w:t xml:space="preserve">Skin infections such as </w:t>
            </w:r>
            <w:proofErr w:type="spellStart"/>
            <w:r>
              <w:t>tinea</w:t>
            </w:r>
            <w:proofErr w:type="spellEnd"/>
            <w:r>
              <w:t xml:space="preserve"> </w:t>
            </w:r>
            <w:proofErr w:type="spellStart"/>
            <w:r>
              <w:t>versicolor</w:t>
            </w:r>
            <w:proofErr w:type="spellEnd"/>
            <w:r>
              <w:t xml:space="preserve"> are common in tropical countries like the Philippines due to warm temperatures, humidity, and increased sweating. This condition affects many individuals and can cause discomfort, itching, and changes in skin pigmentation, which may affect self-confidence. Although antifungal medications are available, some people cannot afford them or may experience side effects. Because of this, there is a need to explore alternative treatments that are affordable, accessible, and safe. </w:t>
            </w:r>
          </w:p>
          <w:p w14:paraId="3D9C075C" w14:textId="77777777" w:rsidR="00B50D71" w:rsidRDefault="00B50D71" w:rsidP="00F502D6">
            <w:pPr>
              <w:pBdr>
                <w:top w:val="none" w:sz="0" w:space="0" w:color="auto"/>
                <w:left w:val="none" w:sz="0" w:space="0" w:color="auto"/>
                <w:bottom w:val="none" w:sz="0" w:space="0" w:color="auto"/>
                <w:right w:val="none" w:sz="0" w:space="0" w:color="auto"/>
              </w:pBdr>
              <w:spacing w:after="0" w:line="259" w:lineRule="auto"/>
              <w:ind w:left="0" w:right="63"/>
              <w:jc w:val="both"/>
            </w:pPr>
            <w:proofErr w:type="spellStart"/>
            <w:r>
              <w:t>Peperomia</w:t>
            </w:r>
            <w:proofErr w:type="spellEnd"/>
            <w:r>
              <w:t xml:space="preserve"> </w:t>
            </w:r>
            <w:proofErr w:type="spellStart"/>
            <w:r>
              <w:t>pellucida</w:t>
            </w:r>
            <w:proofErr w:type="spellEnd"/>
            <w:r>
              <w:t xml:space="preserve"> is a plant commonly found in local environments and has been traditionally used for medicinal purposes. It contains bioactive compounds that may possess antifungal and antimicrobial properties. This study aims to investigate whether </w:t>
            </w:r>
            <w:proofErr w:type="spellStart"/>
            <w:r>
              <w:t>Peperomia</w:t>
            </w:r>
            <w:proofErr w:type="spellEnd"/>
            <w:r>
              <w:t xml:space="preserve"> </w:t>
            </w:r>
            <w:proofErr w:type="spellStart"/>
            <w:r>
              <w:t>pellucida</w:t>
            </w:r>
            <w:proofErr w:type="spellEnd"/>
            <w:r>
              <w:t xml:space="preserve"> extract can be used as an ingredient in soap to help treat fungal infections, particularly </w:t>
            </w:r>
            <w:proofErr w:type="spellStart"/>
            <w:r>
              <w:t>tinea</w:t>
            </w:r>
            <w:proofErr w:type="spellEnd"/>
            <w:r>
              <w:t xml:space="preserve"> </w:t>
            </w:r>
            <w:proofErr w:type="spellStart"/>
            <w:r>
              <w:t>versicolor</w:t>
            </w:r>
            <w:proofErr w:type="spellEnd"/>
            <w:r>
              <w:t xml:space="preserve">. The research also seeks to promote the use of natural resources available in the community. </w:t>
            </w:r>
          </w:p>
          <w:p w14:paraId="107B2E4C" w14:textId="77777777" w:rsidR="00B50D71" w:rsidRDefault="00B50D71">
            <w:pPr>
              <w:pBdr>
                <w:top w:val="none" w:sz="0" w:space="0" w:color="auto"/>
                <w:left w:val="none" w:sz="0" w:space="0" w:color="auto"/>
                <w:bottom w:val="none" w:sz="0" w:space="0" w:color="auto"/>
                <w:right w:val="none" w:sz="0" w:space="0" w:color="auto"/>
              </w:pBdr>
              <w:spacing w:after="0" w:line="259" w:lineRule="auto"/>
              <w:ind w:left="0" w:right="63"/>
              <w:jc w:val="both"/>
            </w:pPr>
          </w:p>
          <w:p w14:paraId="2D2F10F8" w14:textId="77777777" w:rsidR="00B50D71" w:rsidRDefault="00B50D71">
            <w:pPr>
              <w:pBdr>
                <w:top w:val="none" w:sz="0" w:space="0" w:color="auto"/>
                <w:left w:val="none" w:sz="0" w:space="0" w:color="auto"/>
                <w:bottom w:val="none" w:sz="0" w:space="0" w:color="auto"/>
                <w:right w:val="none" w:sz="0" w:space="0" w:color="auto"/>
              </w:pBdr>
              <w:spacing w:after="0" w:line="259" w:lineRule="auto"/>
              <w:ind w:left="0" w:right="63"/>
              <w:jc w:val="both"/>
              <w:rPr>
                <w:b/>
                <w:bCs/>
              </w:rPr>
            </w:pPr>
            <w:r>
              <w:t xml:space="preserve">                                    </w:t>
            </w:r>
            <w:r>
              <w:rPr>
                <w:b/>
                <w:bCs/>
              </w:rPr>
              <w:t xml:space="preserve">(6.2) Research Questions </w:t>
            </w:r>
          </w:p>
          <w:p w14:paraId="5E9FBD2F" w14:textId="77777777" w:rsidR="00B50D71" w:rsidRDefault="00B50D71">
            <w:pPr>
              <w:pBdr>
                <w:top w:val="none" w:sz="0" w:space="0" w:color="auto"/>
                <w:left w:val="none" w:sz="0" w:space="0" w:color="auto"/>
                <w:bottom w:val="none" w:sz="0" w:space="0" w:color="auto"/>
                <w:right w:val="none" w:sz="0" w:space="0" w:color="auto"/>
              </w:pBdr>
              <w:spacing w:after="0" w:line="259" w:lineRule="auto"/>
              <w:ind w:left="0" w:right="63"/>
              <w:jc w:val="both"/>
              <w:rPr>
                <w:rStyle w:val="agcmg"/>
              </w:rPr>
            </w:pPr>
            <w:r>
              <w:rPr>
                <w:rStyle w:val="agcmg"/>
              </w:rPr>
              <w:t xml:space="preserve">How effective is </w:t>
            </w:r>
            <w:proofErr w:type="spellStart"/>
            <w:r>
              <w:rPr>
                <w:rStyle w:val="agcmg"/>
              </w:rPr>
              <w:t>Peperomia</w:t>
            </w:r>
            <w:proofErr w:type="spellEnd"/>
            <w:r>
              <w:rPr>
                <w:rStyle w:val="agcmg"/>
              </w:rPr>
              <w:t xml:space="preserve"> </w:t>
            </w:r>
            <w:proofErr w:type="spellStart"/>
            <w:r>
              <w:rPr>
                <w:rStyle w:val="agcmg"/>
              </w:rPr>
              <w:t>pellucida</w:t>
            </w:r>
            <w:proofErr w:type="spellEnd"/>
            <w:r>
              <w:rPr>
                <w:rStyle w:val="agcmg"/>
              </w:rPr>
              <w:t xml:space="preserve"> as an antifungal ingredient in soap for treating </w:t>
            </w:r>
            <w:proofErr w:type="spellStart"/>
            <w:r>
              <w:rPr>
                <w:rStyle w:val="agcmg"/>
              </w:rPr>
              <w:t>tinea</w:t>
            </w:r>
            <w:proofErr w:type="spellEnd"/>
            <w:r>
              <w:rPr>
                <w:rStyle w:val="agcmg"/>
              </w:rPr>
              <w:t xml:space="preserve"> </w:t>
            </w:r>
            <w:proofErr w:type="spellStart"/>
            <w:r>
              <w:rPr>
                <w:rStyle w:val="agcmg"/>
              </w:rPr>
              <w:t>versicolor</w:t>
            </w:r>
            <w:proofErr w:type="spellEnd"/>
            <w:r>
              <w:rPr>
                <w:rStyle w:val="agcmg"/>
              </w:rPr>
              <w:t xml:space="preserve"> compared to commercial antifungal soaps?</w:t>
            </w:r>
          </w:p>
          <w:p w14:paraId="26D94645" w14:textId="77777777" w:rsidR="00B50D71" w:rsidRDefault="00B50D71">
            <w:pPr>
              <w:pBdr>
                <w:top w:val="none" w:sz="0" w:space="0" w:color="auto"/>
                <w:left w:val="none" w:sz="0" w:space="0" w:color="auto"/>
                <w:bottom w:val="none" w:sz="0" w:space="0" w:color="auto"/>
                <w:right w:val="none" w:sz="0" w:space="0" w:color="auto"/>
              </w:pBdr>
              <w:spacing w:after="0" w:line="259" w:lineRule="auto"/>
              <w:ind w:left="0" w:right="63"/>
              <w:jc w:val="both"/>
              <w:rPr>
                <w:rStyle w:val="agcmg"/>
              </w:rPr>
            </w:pPr>
          </w:p>
          <w:p w14:paraId="1010D728" w14:textId="77777777" w:rsidR="00B50D71" w:rsidRDefault="00B50D71">
            <w:pPr>
              <w:pBdr>
                <w:top w:val="none" w:sz="0" w:space="0" w:color="auto"/>
                <w:left w:val="none" w:sz="0" w:space="0" w:color="auto"/>
                <w:bottom w:val="none" w:sz="0" w:space="0" w:color="auto"/>
                <w:right w:val="none" w:sz="0" w:space="0" w:color="auto"/>
              </w:pBdr>
              <w:spacing w:after="0" w:line="259" w:lineRule="auto"/>
              <w:ind w:left="0" w:right="63"/>
              <w:jc w:val="both"/>
              <w:rPr>
                <w:b/>
                <w:bCs/>
              </w:rPr>
            </w:pPr>
            <w:r>
              <w:rPr>
                <w:b/>
                <w:bCs/>
              </w:rPr>
              <w:t xml:space="preserve">                                    (6.3) Research Hypothesis </w:t>
            </w:r>
          </w:p>
          <w:p w14:paraId="5DEB4C91" w14:textId="77777777" w:rsidR="00B50D71" w:rsidRPr="006A4E81" w:rsidRDefault="00B50D71">
            <w:pPr>
              <w:pBdr>
                <w:top w:val="none" w:sz="0" w:space="0" w:color="auto"/>
                <w:left w:val="none" w:sz="0" w:space="0" w:color="auto"/>
                <w:bottom w:val="none" w:sz="0" w:space="0" w:color="auto"/>
                <w:right w:val="none" w:sz="0" w:space="0" w:color="auto"/>
              </w:pBdr>
              <w:spacing w:after="0" w:line="259" w:lineRule="auto"/>
              <w:ind w:left="0" w:right="63"/>
              <w:jc w:val="both"/>
            </w:pPr>
            <w:r w:rsidRPr="006A4E81">
              <w:t>Null Hypothesis (H₀):</w:t>
            </w:r>
          </w:p>
          <w:p w14:paraId="5E474F1B" w14:textId="76A518DE" w:rsidR="00B50D71" w:rsidRPr="006A4E81" w:rsidRDefault="00B50D71">
            <w:pPr>
              <w:pBdr>
                <w:top w:val="none" w:sz="0" w:space="0" w:color="auto"/>
                <w:left w:val="none" w:sz="0" w:space="0" w:color="auto"/>
                <w:bottom w:val="none" w:sz="0" w:space="0" w:color="auto"/>
                <w:right w:val="none" w:sz="0" w:space="0" w:color="auto"/>
              </w:pBdr>
              <w:spacing w:after="0" w:line="259" w:lineRule="auto"/>
              <w:ind w:left="0" w:right="63"/>
              <w:jc w:val="both"/>
            </w:pPr>
            <w:r w:rsidRPr="006A4E81">
              <w:t xml:space="preserve">There is no significant difference In the effectiveness of </w:t>
            </w:r>
            <w:proofErr w:type="spellStart"/>
            <w:r w:rsidRPr="006A4E81">
              <w:t>Peperomia</w:t>
            </w:r>
            <w:proofErr w:type="spellEnd"/>
            <w:r w:rsidRPr="006A4E81">
              <w:t xml:space="preserve"> </w:t>
            </w:r>
            <w:proofErr w:type="spellStart"/>
            <w:r w:rsidRPr="006A4E81">
              <w:t>pellucida</w:t>
            </w:r>
            <w:proofErr w:type="spellEnd"/>
            <w:r w:rsidRPr="006A4E81">
              <w:t xml:space="preserve"> soap and commercial antifungal soaps In treating </w:t>
            </w:r>
            <w:proofErr w:type="spellStart"/>
            <w:r w:rsidRPr="006A4E81">
              <w:t>tinea</w:t>
            </w:r>
            <w:proofErr w:type="spellEnd"/>
            <w:r w:rsidRPr="006A4E81">
              <w:t xml:space="preserve"> </w:t>
            </w:r>
            <w:proofErr w:type="spellStart"/>
            <w:r w:rsidRPr="006A4E81">
              <w:t>versicolor</w:t>
            </w:r>
            <w:proofErr w:type="spellEnd"/>
            <w:r w:rsidRPr="006A4E81">
              <w:t>.</w:t>
            </w:r>
          </w:p>
          <w:p w14:paraId="11E403F5" w14:textId="77777777" w:rsidR="00B50D71" w:rsidRDefault="00B50D71">
            <w:pPr>
              <w:pBdr>
                <w:top w:val="none" w:sz="0" w:space="0" w:color="auto"/>
                <w:left w:val="none" w:sz="0" w:space="0" w:color="auto"/>
                <w:bottom w:val="none" w:sz="0" w:space="0" w:color="auto"/>
                <w:right w:val="none" w:sz="0" w:space="0" w:color="auto"/>
              </w:pBdr>
              <w:spacing w:after="0" w:line="259" w:lineRule="auto"/>
              <w:ind w:left="0" w:right="63"/>
              <w:jc w:val="both"/>
              <w:rPr>
                <w:b/>
                <w:bCs/>
              </w:rPr>
            </w:pPr>
          </w:p>
          <w:p w14:paraId="12050EB6" w14:textId="77777777" w:rsidR="00B50D71" w:rsidRPr="006A4E81" w:rsidRDefault="00B50D71">
            <w:pPr>
              <w:pBdr>
                <w:top w:val="none" w:sz="0" w:space="0" w:color="auto"/>
                <w:left w:val="none" w:sz="0" w:space="0" w:color="auto"/>
                <w:bottom w:val="none" w:sz="0" w:space="0" w:color="auto"/>
                <w:right w:val="none" w:sz="0" w:space="0" w:color="auto"/>
              </w:pBdr>
              <w:spacing w:after="0" w:line="259" w:lineRule="auto"/>
              <w:ind w:left="0" w:right="63"/>
              <w:jc w:val="both"/>
            </w:pPr>
            <w:r w:rsidRPr="006A4E81">
              <w:t>Alternative Hypothesis (H₁):</w:t>
            </w:r>
          </w:p>
          <w:p w14:paraId="437B308B" w14:textId="4A0A78C6" w:rsidR="00B50D71" w:rsidRPr="00E3569B" w:rsidRDefault="00B50D71">
            <w:pPr>
              <w:pBdr>
                <w:top w:val="none" w:sz="0" w:space="0" w:color="auto"/>
                <w:left w:val="none" w:sz="0" w:space="0" w:color="auto"/>
                <w:bottom w:val="none" w:sz="0" w:space="0" w:color="auto"/>
                <w:right w:val="none" w:sz="0" w:space="0" w:color="auto"/>
              </w:pBdr>
              <w:spacing w:after="0" w:line="259" w:lineRule="auto"/>
              <w:ind w:left="0" w:right="63"/>
              <w:jc w:val="both"/>
              <w:rPr>
                <w:b/>
                <w:bCs/>
              </w:rPr>
            </w:pPr>
            <w:r w:rsidRPr="006A4E81">
              <w:t xml:space="preserve">There is a significant difference In the effectiveness of </w:t>
            </w:r>
            <w:proofErr w:type="spellStart"/>
            <w:r w:rsidRPr="006A4E81">
              <w:t>Peperomia</w:t>
            </w:r>
            <w:proofErr w:type="spellEnd"/>
            <w:r w:rsidRPr="006A4E81">
              <w:t xml:space="preserve"> </w:t>
            </w:r>
            <w:proofErr w:type="spellStart"/>
            <w:r w:rsidRPr="006A4E81">
              <w:t>pellucida</w:t>
            </w:r>
            <w:proofErr w:type="spellEnd"/>
            <w:r w:rsidRPr="006A4E81">
              <w:t xml:space="preserve"> soap compared to commercial antifungal soaps in treating </w:t>
            </w:r>
            <w:proofErr w:type="spellStart"/>
            <w:r w:rsidRPr="006A4E81">
              <w:t>tinea</w:t>
            </w:r>
            <w:proofErr w:type="spellEnd"/>
            <w:r w:rsidRPr="006A4E81">
              <w:t xml:space="preserve"> </w:t>
            </w:r>
            <w:proofErr w:type="spellStart"/>
            <w:r w:rsidRPr="006A4E81">
              <w:t>versicolor</w:t>
            </w:r>
            <w:proofErr w:type="spellEnd"/>
            <w:r>
              <w:rPr>
                <w:b/>
                <w:bCs/>
              </w:rPr>
              <w:t>.</w:t>
            </w:r>
          </w:p>
        </w:tc>
        <w:tc>
          <w:tcPr>
            <w:tcW w:w="9019" w:type="dxa"/>
          </w:tcPr>
          <w:p w14:paraId="5F714F43" w14:textId="77777777" w:rsidR="00B50D71" w:rsidRDefault="00B50D71">
            <w:pPr>
              <w:pBdr>
                <w:top w:val="none" w:sz="0" w:space="0" w:color="auto"/>
                <w:left w:val="none" w:sz="0" w:space="0" w:color="auto"/>
                <w:bottom w:val="none" w:sz="0" w:space="0" w:color="auto"/>
                <w:right w:val="none" w:sz="0" w:space="0" w:color="auto"/>
              </w:pBdr>
              <w:tabs>
                <w:tab w:val="center" w:pos="0"/>
                <w:tab w:val="center" w:pos="1474"/>
              </w:tabs>
              <w:spacing w:after="286" w:line="259" w:lineRule="auto"/>
              <w:ind w:left="0"/>
              <w:rPr>
                <w:rFonts w:ascii="Calibri" w:eastAsia="Calibri" w:hAnsi="Calibri" w:cs="Calibri"/>
                <w:sz w:val="22"/>
              </w:rPr>
            </w:pPr>
          </w:p>
        </w:tc>
        <w:tc>
          <w:tcPr>
            <w:tcW w:w="9019" w:type="dxa"/>
          </w:tcPr>
          <w:p w14:paraId="50233BAE" w14:textId="7B935D5A" w:rsidR="00B50D71" w:rsidRDefault="00B50D71">
            <w:pPr>
              <w:pBdr>
                <w:top w:val="none" w:sz="0" w:space="0" w:color="auto"/>
                <w:left w:val="none" w:sz="0" w:space="0" w:color="auto"/>
                <w:bottom w:val="none" w:sz="0" w:space="0" w:color="auto"/>
                <w:right w:val="none" w:sz="0" w:space="0" w:color="auto"/>
              </w:pBdr>
              <w:tabs>
                <w:tab w:val="center" w:pos="0"/>
                <w:tab w:val="center" w:pos="1474"/>
              </w:tabs>
              <w:spacing w:after="286" w:line="259" w:lineRule="auto"/>
              <w:ind w:left="0"/>
              <w:rPr>
                <w:rFonts w:ascii="Calibri" w:eastAsia="Calibri" w:hAnsi="Calibri" w:cs="Calibri"/>
                <w:sz w:val="22"/>
              </w:rPr>
            </w:pPr>
          </w:p>
        </w:tc>
      </w:tr>
      <w:tr w:rsidR="00B50D71" w14:paraId="52011EE6" w14:textId="0DF9E3F0" w:rsidTr="00B50D71">
        <w:trPr>
          <w:trHeight w:val="5532"/>
        </w:trPr>
        <w:tc>
          <w:tcPr>
            <w:tcW w:w="9019" w:type="dxa"/>
            <w:tcBorders>
              <w:top w:val="single" w:sz="4" w:space="0" w:color="000000"/>
              <w:left w:val="single" w:sz="4" w:space="0" w:color="000000"/>
              <w:bottom w:val="single" w:sz="4" w:space="0" w:color="000000"/>
              <w:right w:val="single" w:sz="4" w:space="0" w:color="000000"/>
            </w:tcBorders>
          </w:tcPr>
          <w:p w14:paraId="34B73663" w14:textId="6805ED0E" w:rsidR="00B50D71" w:rsidRDefault="00B50D71">
            <w:pPr>
              <w:pBdr>
                <w:top w:val="none" w:sz="0" w:space="0" w:color="auto"/>
                <w:left w:val="none" w:sz="0" w:space="0" w:color="auto"/>
                <w:bottom w:val="none" w:sz="0" w:space="0" w:color="auto"/>
                <w:right w:val="none" w:sz="0" w:space="0" w:color="auto"/>
              </w:pBdr>
              <w:tabs>
                <w:tab w:val="center" w:pos="0"/>
                <w:tab w:val="center" w:pos="1747"/>
              </w:tabs>
              <w:spacing w:after="256" w:line="259" w:lineRule="auto"/>
              <w:ind w:left="0"/>
            </w:pPr>
            <w:r>
              <w:rPr>
                <w:rFonts w:ascii="Calibri" w:eastAsia="Calibri" w:hAnsi="Calibri" w:cs="Calibri"/>
                <w:sz w:val="22"/>
              </w:rPr>
              <w:tab/>
            </w:r>
            <w:r>
              <w:t xml:space="preserve"> </w:t>
            </w:r>
            <w:r>
              <w:tab/>
            </w:r>
            <w:r>
              <w:rPr>
                <w:b/>
              </w:rPr>
              <w:t xml:space="preserve">(6.4) Scientific Basis </w:t>
            </w:r>
          </w:p>
          <w:p w14:paraId="73AE5691" w14:textId="77777777" w:rsidR="00B50D71" w:rsidRDefault="00B50D71">
            <w:pPr>
              <w:pBdr>
                <w:top w:val="none" w:sz="0" w:space="0" w:color="auto"/>
                <w:left w:val="none" w:sz="0" w:space="0" w:color="auto"/>
                <w:bottom w:val="none" w:sz="0" w:space="0" w:color="auto"/>
                <w:right w:val="none" w:sz="0" w:space="0" w:color="auto"/>
              </w:pBdr>
              <w:spacing w:after="0" w:line="477" w:lineRule="auto"/>
              <w:ind w:left="0"/>
            </w:pPr>
            <w:proofErr w:type="spellStart"/>
            <w:r>
              <w:rPr>
                <w:color w:val="1C1E21"/>
              </w:rPr>
              <w:t>Tinea</w:t>
            </w:r>
            <w:proofErr w:type="spellEnd"/>
            <w:r>
              <w:rPr>
                <w:color w:val="1C1E21"/>
              </w:rPr>
              <w:t xml:space="preserve"> </w:t>
            </w:r>
            <w:proofErr w:type="spellStart"/>
            <w:r>
              <w:rPr>
                <w:color w:val="1C1E21"/>
              </w:rPr>
              <w:t>versicolor</w:t>
            </w:r>
            <w:proofErr w:type="spellEnd"/>
            <w:r>
              <w:rPr>
                <w:color w:val="1C1E21"/>
              </w:rPr>
              <w:t xml:space="preserve"> is a superficial fungal infection caused primarily by </w:t>
            </w:r>
            <w:proofErr w:type="spellStart"/>
            <w:r>
              <w:rPr>
                <w:color w:val="1C1E21"/>
              </w:rPr>
              <w:t>Malassezia</w:t>
            </w:r>
            <w:proofErr w:type="spellEnd"/>
            <w:r>
              <w:rPr>
                <w:color w:val="1C1E21"/>
              </w:rPr>
              <w:t xml:space="preserve"> furfur, a lipophilic yeast that normally exists on human skin but can become pathogenic under favorable environmental conditions such as heat and humidity. The infection commonly results in skin discoloration, scaling, and itching, especially in tropical countries where environmental conditions promote fungal growth (</w:t>
            </w:r>
            <w:proofErr w:type="spellStart"/>
            <w:r>
              <w:rPr>
                <w:color w:val="1C1E21"/>
              </w:rPr>
              <w:t>Genuino</w:t>
            </w:r>
            <w:proofErr w:type="spellEnd"/>
            <w:r>
              <w:rPr>
                <w:color w:val="1C1E21"/>
              </w:rPr>
              <w:t xml:space="preserve"> et al., 2024). </w:t>
            </w:r>
          </w:p>
          <w:p w14:paraId="023BFA61" w14:textId="77777777" w:rsidR="00B50D71" w:rsidRDefault="00B50D71">
            <w:pPr>
              <w:pBdr>
                <w:top w:val="none" w:sz="0" w:space="0" w:color="auto"/>
                <w:left w:val="none" w:sz="0" w:space="0" w:color="auto"/>
                <w:bottom w:val="none" w:sz="0" w:space="0" w:color="auto"/>
                <w:right w:val="none" w:sz="0" w:space="0" w:color="auto"/>
              </w:pBdr>
              <w:spacing w:after="0" w:line="259" w:lineRule="auto"/>
              <w:ind w:left="0"/>
            </w:pPr>
            <w:r>
              <w:rPr>
                <w:color w:val="1C1E21"/>
              </w:rPr>
              <w:t>Although synthetic antifungal medications such as azoles are widely used, concerns regarding drug resistance, cost, and possible side effects have encouraged researchers to explore plant-based antifungal alternatives (Filip et al., 2010).</w:t>
            </w:r>
            <w:r>
              <w:rPr>
                <w:rFonts w:ascii="Calibri" w:eastAsia="Calibri" w:hAnsi="Calibri" w:cs="Calibri"/>
                <w:sz w:val="22"/>
              </w:rPr>
              <w:t xml:space="preserve"> </w:t>
            </w:r>
            <w:r>
              <w:rPr>
                <w:color w:val="1C1E21"/>
              </w:rPr>
              <w:t xml:space="preserve">Medicinal plants contain bioactive compounds including flavonoids, alkaloids, tannins, </w:t>
            </w:r>
            <w:proofErr w:type="spellStart"/>
            <w:r>
              <w:rPr>
                <w:color w:val="1C1E21"/>
              </w:rPr>
              <w:t>terpenoids</w:t>
            </w:r>
            <w:proofErr w:type="spellEnd"/>
            <w:r>
              <w:rPr>
                <w:color w:val="1C1E21"/>
              </w:rPr>
              <w:t xml:space="preserve">, and phenolic </w:t>
            </w:r>
          </w:p>
        </w:tc>
        <w:tc>
          <w:tcPr>
            <w:tcW w:w="9019" w:type="dxa"/>
          </w:tcPr>
          <w:p w14:paraId="1B371299" w14:textId="77777777" w:rsidR="00B50D71" w:rsidRDefault="00B50D71">
            <w:pPr>
              <w:pBdr>
                <w:top w:val="none" w:sz="0" w:space="0" w:color="auto"/>
                <w:left w:val="none" w:sz="0" w:space="0" w:color="auto"/>
                <w:bottom w:val="none" w:sz="0" w:space="0" w:color="auto"/>
                <w:right w:val="none" w:sz="0" w:space="0" w:color="auto"/>
              </w:pBdr>
              <w:tabs>
                <w:tab w:val="center" w:pos="0"/>
                <w:tab w:val="center" w:pos="1747"/>
              </w:tabs>
              <w:spacing w:after="256" w:line="259" w:lineRule="auto"/>
              <w:ind w:left="0"/>
              <w:rPr>
                <w:rFonts w:ascii="Calibri" w:eastAsia="Calibri" w:hAnsi="Calibri" w:cs="Calibri"/>
                <w:sz w:val="22"/>
              </w:rPr>
            </w:pPr>
          </w:p>
        </w:tc>
        <w:tc>
          <w:tcPr>
            <w:tcW w:w="9019" w:type="dxa"/>
          </w:tcPr>
          <w:p w14:paraId="46AA1F31" w14:textId="32D47270" w:rsidR="00B50D71" w:rsidRDefault="00B50D71">
            <w:pPr>
              <w:pBdr>
                <w:top w:val="none" w:sz="0" w:space="0" w:color="auto"/>
                <w:left w:val="none" w:sz="0" w:space="0" w:color="auto"/>
                <w:bottom w:val="none" w:sz="0" w:space="0" w:color="auto"/>
                <w:right w:val="none" w:sz="0" w:space="0" w:color="auto"/>
              </w:pBdr>
              <w:tabs>
                <w:tab w:val="center" w:pos="0"/>
                <w:tab w:val="center" w:pos="1747"/>
              </w:tabs>
              <w:spacing w:after="256" w:line="259" w:lineRule="auto"/>
              <w:ind w:left="0"/>
              <w:rPr>
                <w:rFonts w:ascii="Calibri" w:eastAsia="Calibri" w:hAnsi="Calibri" w:cs="Calibri"/>
                <w:sz w:val="22"/>
              </w:rPr>
            </w:pPr>
          </w:p>
        </w:tc>
      </w:tr>
    </w:tbl>
    <w:p w14:paraId="100B3839" w14:textId="77777777" w:rsidR="00A63C3F" w:rsidRDefault="00A63C3F">
      <w:pPr>
        <w:pBdr>
          <w:top w:val="none" w:sz="0" w:space="0" w:color="auto"/>
          <w:left w:val="none" w:sz="0" w:space="0" w:color="auto"/>
          <w:bottom w:val="none" w:sz="0" w:space="0" w:color="auto"/>
          <w:right w:val="none" w:sz="0" w:space="0" w:color="auto"/>
        </w:pBdr>
        <w:spacing w:after="0" w:line="259" w:lineRule="auto"/>
        <w:ind w:left="-1440"/>
      </w:pPr>
    </w:p>
    <w:tbl>
      <w:tblPr>
        <w:tblStyle w:val="TableGrid"/>
        <w:tblW w:w="9019" w:type="dxa"/>
        <w:tblInd w:w="6" w:type="dxa"/>
        <w:tblCellMar>
          <w:top w:w="64" w:type="dxa"/>
          <w:left w:w="110" w:type="dxa"/>
          <w:right w:w="115" w:type="dxa"/>
        </w:tblCellMar>
        <w:tblLook w:val="04A0" w:firstRow="1" w:lastRow="0" w:firstColumn="1" w:lastColumn="0" w:noHBand="0" w:noVBand="1"/>
      </w:tblPr>
      <w:tblGrid>
        <w:gridCol w:w="9019"/>
      </w:tblGrid>
      <w:tr w:rsidR="00A63C3F" w14:paraId="30A3A73D" w14:textId="77777777">
        <w:trPr>
          <w:trHeight w:val="4981"/>
        </w:trPr>
        <w:tc>
          <w:tcPr>
            <w:tcW w:w="9019" w:type="dxa"/>
            <w:tcBorders>
              <w:top w:val="single" w:sz="4" w:space="0" w:color="000000"/>
              <w:left w:val="single" w:sz="4" w:space="0" w:color="000000"/>
              <w:bottom w:val="single" w:sz="4" w:space="0" w:color="000000"/>
              <w:right w:val="single" w:sz="4" w:space="0" w:color="000000"/>
            </w:tcBorders>
          </w:tcPr>
          <w:p w14:paraId="1978A4F2" w14:textId="77777777" w:rsidR="00A63C3F" w:rsidRDefault="00730912">
            <w:pPr>
              <w:pBdr>
                <w:top w:val="none" w:sz="0" w:space="0" w:color="auto"/>
                <w:left w:val="none" w:sz="0" w:space="0" w:color="auto"/>
                <w:bottom w:val="none" w:sz="0" w:space="0" w:color="auto"/>
                <w:right w:val="none" w:sz="0" w:space="0" w:color="auto"/>
              </w:pBdr>
              <w:ind w:left="0"/>
            </w:pPr>
            <w:r>
              <w:rPr>
                <w:color w:val="1C1E21"/>
              </w:rPr>
              <w:t xml:space="preserve">substances that exhibit antimicrobial and antifungal properties by disrupting fungal cell membranes and metabolic processes. </w:t>
            </w:r>
          </w:p>
          <w:p w14:paraId="445CA145"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0"/>
            </w:pPr>
            <w:r>
              <w:t xml:space="preserve">Several studies have demonstrated the effectiveness of plant extracts against </w:t>
            </w:r>
            <w:proofErr w:type="spellStart"/>
            <w:r>
              <w:t>Malassezia</w:t>
            </w:r>
            <w:proofErr w:type="spellEnd"/>
            <w:r>
              <w:t xml:space="preserve"> species. For example, aloe </w:t>
            </w:r>
            <w:proofErr w:type="spellStart"/>
            <w:r>
              <w:t>vera</w:t>
            </w:r>
            <w:proofErr w:type="spellEnd"/>
            <w:r>
              <w:t xml:space="preserve"> extract has been shown to significantly inhibit the growth of </w:t>
            </w:r>
            <w:proofErr w:type="spellStart"/>
            <w:r>
              <w:t>Malassezia</w:t>
            </w:r>
            <w:proofErr w:type="spellEnd"/>
            <w:r>
              <w:t xml:space="preserve"> furfur in vitro, with higher concentrations producing stronger antifungal activity (</w:t>
            </w:r>
            <w:proofErr w:type="spellStart"/>
            <w:r>
              <w:t>Nasution</w:t>
            </w:r>
            <w:proofErr w:type="spellEnd"/>
            <w:r>
              <w:t xml:space="preserve"> &amp; </w:t>
            </w:r>
            <w:proofErr w:type="spellStart"/>
            <w:r>
              <w:t>Lubis</w:t>
            </w:r>
            <w:proofErr w:type="spellEnd"/>
            <w:r>
              <w:t xml:space="preserve">, 2023).  Similarly, ethanol extracts from various plants such as clove and ginger have shown inhibitory effects against cultured </w:t>
            </w:r>
            <w:proofErr w:type="spellStart"/>
            <w:r>
              <w:t>Malassezia</w:t>
            </w:r>
            <w:proofErr w:type="spellEnd"/>
            <w:r>
              <w:t xml:space="preserve"> furfur, confirming the potential of plant-derived antifungal agents for treating fungal skin infections.  </w:t>
            </w:r>
          </w:p>
        </w:tc>
      </w:tr>
      <w:tr w:rsidR="00A63C3F" w14:paraId="26BEE573" w14:textId="77777777">
        <w:trPr>
          <w:trHeight w:val="5451"/>
        </w:trPr>
        <w:tc>
          <w:tcPr>
            <w:tcW w:w="9019" w:type="dxa"/>
            <w:tcBorders>
              <w:top w:val="single" w:sz="4" w:space="0" w:color="000000"/>
              <w:left w:val="single" w:sz="4" w:space="0" w:color="000000"/>
              <w:bottom w:val="single" w:sz="4" w:space="0" w:color="000000"/>
              <w:right w:val="single" w:sz="4" w:space="0" w:color="000000"/>
            </w:tcBorders>
          </w:tcPr>
          <w:p w14:paraId="11539A77" w14:textId="0266220D" w:rsidR="00A63C3F" w:rsidRDefault="00730912">
            <w:pPr>
              <w:pBdr>
                <w:top w:val="none" w:sz="0" w:space="0" w:color="auto"/>
                <w:left w:val="none" w:sz="0" w:space="0" w:color="auto"/>
                <w:bottom w:val="none" w:sz="0" w:space="0" w:color="auto"/>
                <w:right w:val="none" w:sz="0" w:space="0" w:color="auto"/>
              </w:pBdr>
              <w:tabs>
                <w:tab w:val="center" w:pos="0"/>
                <w:tab w:val="center" w:pos="1517"/>
              </w:tabs>
              <w:spacing w:after="286" w:line="259" w:lineRule="auto"/>
              <w:ind w:left="0"/>
            </w:pPr>
            <w:r>
              <w:rPr>
                <w:rFonts w:ascii="Calibri" w:eastAsia="Calibri" w:hAnsi="Calibri" w:cs="Calibri"/>
                <w:sz w:val="22"/>
              </w:rPr>
              <w:tab/>
            </w:r>
            <w:r>
              <w:t xml:space="preserve"> </w:t>
            </w:r>
            <w:r>
              <w:tab/>
            </w:r>
            <w:r>
              <w:rPr>
                <w:b/>
              </w:rPr>
              <w:t>(</w:t>
            </w:r>
            <w:r w:rsidR="00E776A3">
              <w:rPr>
                <w:b/>
              </w:rPr>
              <w:t>7</w:t>
            </w:r>
            <w:r>
              <w:rPr>
                <w:b/>
              </w:rPr>
              <w:t>) Objectives</w:t>
            </w:r>
            <w:r>
              <w:t xml:space="preserve"> </w:t>
            </w:r>
          </w:p>
          <w:p w14:paraId="4F598FC3" w14:textId="77777777" w:rsidR="00A63C3F" w:rsidRDefault="00730912">
            <w:pPr>
              <w:pBdr>
                <w:top w:val="none" w:sz="0" w:space="0" w:color="auto"/>
                <w:left w:val="none" w:sz="0" w:space="0" w:color="auto"/>
                <w:bottom w:val="none" w:sz="0" w:space="0" w:color="auto"/>
                <w:right w:val="none" w:sz="0" w:space="0" w:color="auto"/>
              </w:pBdr>
              <w:spacing w:after="0" w:line="481" w:lineRule="auto"/>
              <w:ind w:left="0"/>
            </w:pPr>
            <w:r>
              <w:t xml:space="preserve"> </w:t>
            </w:r>
            <w:r>
              <w:tab/>
              <w:t xml:space="preserve"> </w:t>
            </w:r>
            <w:r>
              <w:tab/>
              <w:t xml:space="preserve">To determine the antifungal effectiveness of </w:t>
            </w:r>
            <w:proofErr w:type="spellStart"/>
            <w:r>
              <w:t>Peperomia</w:t>
            </w:r>
            <w:proofErr w:type="spellEnd"/>
            <w:r>
              <w:t xml:space="preserve"> </w:t>
            </w:r>
            <w:proofErr w:type="spellStart"/>
            <w:r>
              <w:t>pellucida</w:t>
            </w:r>
            <w:proofErr w:type="spellEnd"/>
            <w:r>
              <w:t xml:space="preserve"> extract formulated into soap against cultured fungal samples associated with </w:t>
            </w:r>
            <w:proofErr w:type="spellStart"/>
            <w:r>
              <w:t>tinea</w:t>
            </w:r>
            <w:proofErr w:type="spellEnd"/>
            <w:r>
              <w:t xml:space="preserve"> </w:t>
            </w:r>
            <w:proofErr w:type="spellStart"/>
            <w:r>
              <w:t>versicolor</w:t>
            </w:r>
            <w:proofErr w:type="spellEnd"/>
            <w:r>
              <w:t xml:space="preserve">. </w:t>
            </w:r>
          </w:p>
          <w:p w14:paraId="39ECFF16" w14:textId="77777777" w:rsidR="00A63C3F" w:rsidRDefault="00730912">
            <w:pPr>
              <w:pBdr>
                <w:top w:val="none" w:sz="0" w:space="0" w:color="auto"/>
                <w:left w:val="none" w:sz="0" w:space="0" w:color="auto"/>
                <w:bottom w:val="none" w:sz="0" w:space="0" w:color="auto"/>
                <w:right w:val="none" w:sz="0" w:space="0" w:color="auto"/>
              </w:pBdr>
              <w:spacing w:after="253" w:line="259" w:lineRule="auto"/>
              <w:ind w:left="0"/>
            </w:pPr>
            <w:r>
              <w:t xml:space="preserve"> </w:t>
            </w:r>
          </w:p>
          <w:p w14:paraId="5402C143" w14:textId="77777777" w:rsidR="00A63C3F" w:rsidRDefault="00730912">
            <w:pPr>
              <w:pBdr>
                <w:top w:val="none" w:sz="0" w:space="0" w:color="auto"/>
                <w:left w:val="none" w:sz="0" w:space="0" w:color="auto"/>
                <w:bottom w:val="none" w:sz="0" w:space="0" w:color="auto"/>
                <w:right w:val="none" w:sz="0" w:space="0" w:color="auto"/>
              </w:pBdr>
              <w:spacing w:after="255" w:line="259" w:lineRule="auto"/>
              <w:ind w:left="0"/>
            </w:pPr>
            <w:r>
              <w:rPr>
                <w:b/>
              </w:rPr>
              <w:t>Specific objectives</w:t>
            </w:r>
            <w:r>
              <w:t xml:space="preserve">: </w:t>
            </w:r>
          </w:p>
          <w:p w14:paraId="08BD121E" w14:textId="77777777" w:rsidR="00A63C3F" w:rsidRDefault="00730912">
            <w:pPr>
              <w:pBdr>
                <w:top w:val="none" w:sz="0" w:space="0" w:color="auto"/>
                <w:left w:val="none" w:sz="0" w:space="0" w:color="auto"/>
                <w:bottom w:val="none" w:sz="0" w:space="0" w:color="auto"/>
                <w:right w:val="none" w:sz="0" w:space="0" w:color="auto"/>
              </w:pBdr>
              <w:spacing w:after="160" w:line="259" w:lineRule="auto"/>
              <w:ind w:left="0"/>
            </w:pPr>
            <w:r>
              <w:t xml:space="preserve">1.To extract bioactive compounds from </w:t>
            </w:r>
            <w:proofErr w:type="spellStart"/>
            <w:r>
              <w:t>Peperomia</w:t>
            </w:r>
            <w:proofErr w:type="spellEnd"/>
            <w:r>
              <w:t xml:space="preserve"> </w:t>
            </w:r>
            <w:proofErr w:type="spellStart"/>
            <w:r>
              <w:t>pellucida</w:t>
            </w:r>
            <w:proofErr w:type="spellEnd"/>
            <w:r>
              <w:t xml:space="preserve"> for soap formulation. </w:t>
            </w:r>
          </w:p>
          <w:p w14:paraId="586CB627" w14:textId="77777777" w:rsidR="00A63C3F" w:rsidRDefault="00730912">
            <w:pPr>
              <w:pBdr>
                <w:top w:val="none" w:sz="0" w:space="0" w:color="auto"/>
                <w:left w:val="none" w:sz="0" w:space="0" w:color="auto"/>
                <w:bottom w:val="none" w:sz="0" w:space="0" w:color="auto"/>
                <w:right w:val="none" w:sz="0" w:space="0" w:color="auto"/>
              </w:pBdr>
              <w:spacing w:after="155" w:line="259" w:lineRule="auto"/>
              <w:ind w:left="0"/>
            </w:pPr>
            <w:r>
              <w:t xml:space="preserve">2. culture fungal samples suspected to contain </w:t>
            </w:r>
            <w:proofErr w:type="spellStart"/>
            <w:r>
              <w:t>Malassezia</w:t>
            </w:r>
            <w:proofErr w:type="spellEnd"/>
            <w:r>
              <w:t xml:space="preserve"> furfur under laboratory conditions. </w:t>
            </w:r>
          </w:p>
          <w:p w14:paraId="5D94EB48" w14:textId="77777777" w:rsidR="00A63C3F" w:rsidRDefault="00730912">
            <w:pPr>
              <w:pBdr>
                <w:top w:val="none" w:sz="0" w:space="0" w:color="auto"/>
                <w:left w:val="none" w:sz="0" w:space="0" w:color="auto"/>
                <w:bottom w:val="none" w:sz="0" w:space="0" w:color="auto"/>
                <w:right w:val="none" w:sz="0" w:space="0" w:color="auto"/>
              </w:pBdr>
              <w:spacing w:after="160" w:line="259" w:lineRule="auto"/>
              <w:ind w:left="0"/>
            </w:pPr>
            <w:r>
              <w:t xml:space="preserve">3.To evaluate antifungal activity by measuring fungal growth inhibition. </w:t>
            </w:r>
          </w:p>
          <w:p w14:paraId="3512FF53" w14:textId="77777777" w:rsidR="00A63C3F" w:rsidRDefault="00730912">
            <w:pPr>
              <w:pBdr>
                <w:top w:val="none" w:sz="0" w:space="0" w:color="auto"/>
                <w:left w:val="none" w:sz="0" w:space="0" w:color="auto"/>
                <w:bottom w:val="none" w:sz="0" w:space="0" w:color="auto"/>
                <w:right w:val="none" w:sz="0" w:space="0" w:color="auto"/>
              </w:pBdr>
              <w:spacing w:after="150" w:line="259" w:lineRule="auto"/>
              <w:ind w:left="0"/>
            </w:pPr>
            <w:r>
              <w:t xml:space="preserve">4.To compare the effectiveness of the experimental soap with the control treatment. </w:t>
            </w:r>
          </w:p>
          <w:p w14:paraId="34D9E8A6"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0"/>
            </w:pPr>
            <w:r>
              <w:t xml:space="preserve">5.To determine significant differences using statistical analysis (t-test). </w:t>
            </w:r>
          </w:p>
        </w:tc>
      </w:tr>
      <w:tr w:rsidR="00A63C3F" w14:paraId="62E830A9" w14:textId="77777777">
        <w:trPr>
          <w:trHeight w:val="3091"/>
        </w:trPr>
        <w:tc>
          <w:tcPr>
            <w:tcW w:w="9019" w:type="dxa"/>
            <w:tcBorders>
              <w:top w:val="single" w:sz="4" w:space="0" w:color="000000"/>
              <w:left w:val="single" w:sz="4" w:space="0" w:color="000000"/>
              <w:bottom w:val="single" w:sz="4" w:space="0" w:color="000000"/>
              <w:right w:val="single" w:sz="4" w:space="0" w:color="000000"/>
            </w:tcBorders>
          </w:tcPr>
          <w:p w14:paraId="047528A6" w14:textId="00642B02" w:rsidR="00A63C3F" w:rsidRDefault="00730912">
            <w:pPr>
              <w:pBdr>
                <w:top w:val="none" w:sz="0" w:space="0" w:color="auto"/>
                <w:left w:val="none" w:sz="0" w:space="0" w:color="auto"/>
                <w:bottom w:val="none" w:sz="0" w:space="0" w:color="auto"/>
                <w:right w:val="none" w:sz="0" w:space="0" w:color="auto"/>
              </w:pBdr>
              <w:spacing w:after="410" w:line="259" w:lineRule="auto"/>
              <w:ind w:left="361"/>
            </w:pPr>
            <w:r>
              <w:rPr>
                <w:b/>
              </w:rPr>
              <w:t>(</w:t>
            </w:r>
            <w:r w:rsidR="00EB73D6">
              <w:rPr>
                <w:b/>
              </w:rPr>
              <w:t>8</w:t>
            </w:r>
            <w:r>
              <w:rPr>
                <w:b/>
              </w:rPr>
              <w:t>)</w:t>
            </w:r>
            <w:r>
              <w:rPr>
                <w:rFonts w:ascii="Arial" w:eastAsia="Arial" w:hAnsi="Arial" w:cs="Arial"/>
                <w:b/>
              </w:rPr>
              <w:t xml:space="preserve"> </w:t>
            </w:r>
            <w:r>
              <w:rPr>
                <w:b/>
              </w:rPr>
              <w:t xml:space="preserve">REVIEW OF LITERATURE </w:t>
            </w:r>
          </w:p>
          <w:p w14:paraId="1DA520CE"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1" w:right="2"/>
            </w:pPr>
            <w:r>
              <w:t xml:space="preserve">Medicinal plants have long been recognized for their antimicrobial properties due to the presence of bioactive compounds such as </w:t>
            </w:r>
            <w:proofErr w:type="spellStart"/>
            <w:r>
              <w:t>phenolics</w:t>
            </w:r>
            <w:proofErr w:type="spellEnd"/>
            <w:r>
              <w:t xml:space="preserve">, alkaloids, and essential oils (Cowan, 1999). These compounds are known to disrupt microbial cell membranes and inhibit microbial growth (Burt, 2004). </w:t>
            </w:r>
          </w:p>
        </w:tc>
      </w:tr>
    </w:tbl>
    <w:p w14:paraId="009FBB95" w14:textId="77777777" w:rsidR="00A63C3F" w:rsidRDefault="00A63C3F">
      <w:pPr>
        <w:pBdr>
          <w:top w:val="none" w:sz="0" w:space="0" w:color="auto"/>
          <w:left w:val="none" w:sz="0" w:space="0" w:color="auto"/>
          <w:bottom w:val="none" w:sz="0" w:space="0" w:color="auto"/>
          <w:right w:val="none" w:sz="0" w:space="0" w:color="auto"/>
        </w:pBdr>
        <w:spacing w:after="0" w:line="259" w:lineRule="auto"/>
        <w:ind w:left="-1440"/>
      </w:pPr>
    </w:p>
    <w:tbl>
      <w:tblPr>
        <w:tblStyle w:val="TableGrid"/>
        <w:tblW w:w="9019" w:type="dxa"/>
        <w:tblInd w:w="6" w:type="dxa"/>
        <w:tblCellMar>
          <w:top w:w="64" w:type="dxa"/>
          <w:left w:w="110" w:type="dxa"/>
          <w:right w:w="52" w:type="dxa"/>
        </w:tblCellMar>
        <w:tblLook w:val="04A0" w:firstRow="1" w:lastRow="0" w:firstColumn="1" w:lastColumn="0" w:noHBand="0" w:noVBand="1"/>
      </w:tblPr>
      <w:tblGrid>
        <w:gridCol w:w="9019"/>
      </w:tblGrid>
      <w:tr w:rsidR="00A63C3F" w14:paraId="3E94C546" w14:textId="77777777">
        <w:trPr>
          <w:trHeight w:val="10268"/>
        </w:trPr>
        <w:tc>
          <w:tcPr>
            <w:tcW w:w="9019" w:type="dxa"/>
            <w:tcBorders>
              <w:top w:val="single" w:sz="4" w:space="0" w:color="000000"/>
              <w:left w:val="single" w:sz="4" w:space="0" w:color="000000"/>
              <w:bottom w:val="single" w:sz="4" w:space="0" w:color="000000"/>
              <w:right w:val="single" w:sz="4" w:space="0" w:color="000000"/>
            </w:tcBorders>
          </w:tcPr>
          <w:p w14:paraId="0AEC0418" w14:textId="77777777" w:rsidR="00A63C3F" w:rsidRDefault="00730912">
            <w:pPr>
              <w:pBdr>
                <w:top w:val="none" w:sz="0" w:space="0" w:color="auto"/>
                <w:left w:val="none" w:sz="0" w:space="0" w:color="auto"/>
                <w:bottom w:val="none" w:sz="0" w:space="0" w:color="auto"/>
                <w:right w:val="none" w:sz="0" w:space="0" w:color="auto"/>
              </w:pBdr>
              <w:spacing w:after="158" w:line="477" w:lineRule="auto"/>
              <w:ind w:left="721"/>
            </w:pPr>
            <w:proofErr w:type="spellStart"/>
            <w:r>
              <w:t>Peperomia</w:t>
            </w:r>
            <w:proofErr w:type="spellEnd"/>
            <w:r>
              <w:t xml:space="preserve"> </w:t>
            </w:r>
            <w:proofErr w:type="spellStart"/>
            <w:r>
              <w:t>pellucida</w:t>
            </w:r>
            <w:proofErr w:type="spellEnd"/>
            <w:r>
              <w:t xml:space="preserve"> has been widely studied for its pharmacological properties. Research by Idris et al. (2015) demonstrated that extracts of </w:t>
            </w:r>
            <w:proofErr w:type="spellStart"/>
            <w:r>
              <w:t>Peperomia</w:t>
            </w:r>
            <w:proofErr w:type="spellEnd"/>
            <w:r>
              <w:t xml:space="preserve"> </w:t>
            </w:r>
            <w:proofErr w:type="spellStart"/>
            <w:r>
              <w:t>pellucida</w:t>
            </w:r>
            <w:proofErr w:type="spellEnd"/>
            <w:r>
              <w:t xml:space="preserve"> exhibit antimicrobial activity against several microorganisms. Similarly, </w:t>
            </w:r>
            <w:proofErr w:type="spellStart"/>
            <w:r>
              <w:t>Sukri</w:t>
            </w:r>
            <w:proofErr w:type="spellEnd"/>
            <w:r>
              <w:t xml:space="preserve"> et al. (2025) reported that the plant contains significant phytochemical components that contribute to its medicinal value. </w:t>
            </w:r>
          </w:p>
          <w:p w14:paraId="1B65D2B5" w14:textId="77777777" w:rsidR="00A63C3F" w:rsidRDefault="00730912">
            <w:pPr>
              <w:pBdr>
                <w:top w:val="none" w:sz="0" w:space="0" w:color="auto"/>
                <w:left w:val="none" w:sz="0" w:space="0" w:color="auto"/>
                <w:bottom w:val="none" w:sz="0" w:space="0" w:color="auto"/>
                <w:right w:val="none" w:sz="0" w:space="0" w:color="auto"/>
              </w:pBdr>
              <w:spacing w:after="158" w:line="477" w:lineRule="auto"/>
              <w:ind w:left="721"/>
            </w:pPr>
            <w:r>
              <w:t xml:space="preserve">Pharmacological investigations also revealed antioxidant and anti-inflammatory properties of </w:t>
            </w:r>
            <w:proofErr w:type="spellStart"/>
            <w:r>
              <w:t>Peperomia</w:t>
            </w:r>
            <w:proofErr w:type="spellEnd"/>
            <w:r>
              <w:t xml:space="preserve"> </w:t>
            </w:r>
            <w:proofErr w:type="spellStart"/>
            <w:r>
              <w:t>pellucida</w:t>
            </w:r>
            <w:proofErr w:type="spellEnd"/>
            <w:r>
              <w:t>, which may support its therapeutic use in treating infections and skin disorders (</w:t>
            </w:r>
            <w:proofErr w:type="spellStart"/>
            <w:r>
              <w:t>Teodhora</w:t>
            </w:r>
            <w:proofErr w:type="spellEnd"/>
            <w:r>
              <w:t xml:space="preserve"> et al., 2025). Another study identified </w:t>
            </w:r>
            <w:proofErr w:type="spellStart"/>
            <w:r>
              <w:t>antiinfective</w:t>
            </w:r>
            <w:proofErr w:type="spellEnd"/>
            <w:r>
              <w:t xml:space="preserve"> compounds from the plant that showed promising antimicrobial activity (Ngo et al., 2024).Fungal infections caused by </w:t>
            </w:r>
            <w:proofErr w:type="spellStart"/>
            <w:r>
              <w:t>Malassezia</w:t>
            </w:r>
            <w:proofErr w:type="spellEnd"/>
            <w:r>
              <w:t xml:space="preserve"> species are common worldwide and are associated with environmental factors such as humidity and oily skin (</w:t>
            </w:r>
            <w:proofErr w:type="spellStart"/>
            <w:r>
              <w:t>Prohic</w:t>
            </w:r>
            <w:proofErr w:type="spellEnd"/>
            <w:r>
              <w:t xml:space="preserve"> et al., 2016). These fungi are part of normal skin flora but can become pathogenic under certain conditions (Crespo-</w:t>
            </w:r>
            <w:proofErr w:type="spellStart"/>
            <w:r>
              <w:t>Erchiga</w:t>
            </w:r>
            <w:proofErr w:type="spellEnd"/>
            <w:r>
              <w:t xml:space="preserve"> &amp; Florencio, 2006). </w:t>
            </w:r>
          </w:p>
          <w:p w14:paraId="2C511B65"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721" w:right="65"/>
              <w:jc w:val="both"/>
            </w:pPr>
            <w:r>
              <w:t>Topical delivery systems such as creams, gels, and soaps are commonly used to treat fungal infections because they allow direct contact between the active compound and the affected area (Gupta &amp; Foley, 2015). Soap formulations containing plant extracts have been shown to possess antimicrobial properties and may serve as effective treatment alternatives (</w:t>
            </w:r>
            <w:proofErr w:type="spellStart"/>
            <w:r>
              <w:t>Bakkali</w:t>
            </w:r>
            <w:proofErr w:type="spellEnd"/>
            <w:r>
              <w:t xml:space="preserve"> et al., 2008). </w:t>
            </w:r>
          </w:p>
        </w:tc>
      </w:tr>
      <w:tr w:rsidR="00A63C3F" w14:paraId="1BCCBC43" w14:textId="77777777">
        <w:trPr>
          <w:trHeight w:val="2771"/>
        </w:trPr>
        <w:tc>
          <w:tcPr>
            <w:tcW w:w="9019" w:type="dxa"/>
            <w:tcBorders>
              <w:top w:val="single" w:sz="4" w:space="0" w:color="000000"/>
              <w:left w:val="single" w:sz="4" w:space="0" w:color="000000"/>
              <w:bottom w:val="single" w:sz="4" w:space="0" w:color="000000"/>
              <w:right w:val="single" w:sz="4" w:space="0" w:color="000000"/>
            </w:tcBorders>
          </w:tcPr>
          <w:p w14:paraId="6C60ECE0" w14:textId="667A87AD" w:rsidR="00A63C3F" w:rsidRDefault="00730912">
            <w:pPr>
              <w:pBdr>
                <w:top w:val="none" w:sz="0" w:space="0" w:color="auto"/>
                <w:left w:val="none" w:sz="0" w:space="0" w:color="auto"/>
                <w:bottom w:val="none" w:sz="0" w:space="0" w:color="auto"/>
                <w:right w:val="none" w:sz="0" w:space="0" w:color="auto"/>
              </w:pBdr>
              <w:spacing w:after="280" w:line="259" w:lineRule="auto"/>
              <w:ind w:left="361"/>
            </w:pPr>
            <w:r>
              <w:rPr>
                <w:b/>
              </w:rPr>
              <w:t>(</w:t>
            </w:r>
            <w:r w:rsidR="00120608">
              <w:rPr>
                <w:b/>
              </w:rPr>
              <w:t>9)</w:t>
            </w:r>
            <w:r>
              <w:rPr>
                <w:rFonts w:ascii="Arial" w:eastAsia="Arial" w:hAnsi="Arial" w:cs="Arial"/>
                <w:b/>
              </w:rPr>
              <w:t xml:space="preserve"> </w:t>
            </w:r>
            <w:r>
              <w:rPr>
                <w:b/>
              </w:rPr>
              <w:t xml:space="preserve">METHODOLOGY </w:t>
            </w:r>
          </w:p>
          <w:p w14:paraId="5D6C38D2"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0"/>
            </w:pPr>
            <w:r>
              <w:t xml:space="preserve"> </w:t>
            </w:r>
            <w:r>
              <w:tab/>
            </w:r>
            <w:r>
              <w:rPr>
                <w:b/>
              </w:rPr>
              <w:t xml:space="preserve">• RESEARCH DESIGN </w:t>
            </w:r>
            <w:r>
              <w:t xml:space="preserve">- The study will use an experimental research design to evaluate the antifungal effectiveness of </w:t>
            </w:r>
            <w:proofErr w:type="spellStart"/>
            <w:r>
              <w:t>Peperomia</w:t>
            </w:r>
            <w:proofErr w:type="spellEnd"/>
            <w:r>
              <w:t xml:space="preserve"> </w:t>
            </w:r>
            <w:proofErr w:type="spellStart"/>
            <w:r>
              <w:t>pellucida</w:t>
            </w:r>
            <w:proofErr w:type="spellEnd"/>
            <w:r>
              <w:t xml:space="preserve"> extract formulated into soap against fungal cultures. The independent variable is the concentration of </w:t>
            </w:r>
            <w:proofErr w:type="spellStart"/>
            <w:r>
              <w:t>Peperomia</w:t>
            </w:r>
            <w:proofErr w:type="spellEnd"/>
            <w:r>
              <w:t xml:space="preserve"> </w:t>
            </w:r>
            <w:proofErr w:type="spellStart"/>
            <w:r>
              <w:t>pellucida</w:t>
            </w:r>
            <w:proofErr w:type="spellEnd"/>
            <w:r>
              <w:t xml:space="preserve"> extract incorporated into the soap, while the dependent variable is the antifungal </w:t>
            </w:r>
          </w:p>
        </w:tc>
      </w:tr>
    </w:tbl>
    <w:p w14:paraId="185F265E" w14:textId="77777777" w:rsidR="00A63C3F" w:rsidRDefault="00A63C3F">
      <w:pPr>
        <w:pBdr>
          <w:top w:val="none" w:sz="0" w:space="0" w:color="auto"/>
          <w:left w:val="none" w:sz="0" w:space="0" w:color="auto"/>
          <w:bottom w:val="none" w:sz="0" w:space="0" w:color="auto"/>
          <w:right w:val="none" w:sz="0" w:space="0" w:color="auto"/>
        </w:pBdr>
        <w:spacing w:after="0" w:line="259" w:lineRule="auto"/>
        <w:ind w:left="-1440"/>
      </w:pPr>
    </w:p>
    <w:tbl>
      <w:tblPr>
        <w:tblStyle w:val="TableGrid"/>
        <w:tblW w:w="9019" w:type="dxa"/>
        <w:tblInd w:w="6" w:type="dxa"/>
        <w:tblCellMar>
          <w:top w:w="64" w:type="dxa"/>
          <w:left w:w="110" w:type="dxa"/>
          <w:right w:w="64" w:type="dxa"/>
        </w:tblCellMar>
        <w:tblLook w:val="04A0" w:firstRow="1" w:lastRow="0" w:firstColumn="1" w:lastColumn="0" w:noHBand="0" w:noVBand="1"/>
      </w:tblPr>
      <w:tblGrid>
        <w:gridCol w:w="9019"/>
      </w:tblGrid>
      <w:tr w:rsidR="00A63C3F" w14:paraId="188BC882" w14:textId="77777777">
        <w:trPr>
          <w:trHeight w:val="13899"/>
        </w:trPr>
        <w:tc>
          <w:tcPr>
            <w:tcW w:w="9019" w:type="dxa"/>
            <w:tcBorders>
              <w:top w:val="single" w:sz="4" w:space="0" w:color="000000"/>
              <w:left w:val="single" w:sz="4" w:space="0" w:color="000000"/>
              <w:bottom w:val="single" w:sz="4" w:space="0" w:color="000000"/>
              <w:right w:val="single" w:sz="4" w:space="0" w:color="000000"/>
            </w:tcBorders>
          </w:tcPr>
          <w:p w14:paraId="154F9754" w14:textId="77777777" w:rsidR="00A63C3F" w:rsidRDefault="00730912">
            <w:pPr>
              <w:pBdr>
                <w:top w:val="none" w:sz="0" w:space="0" w:color="auto"/>
                <w:left w:val="none" w:sz="0" w:space="0" w:color="auto"/>
                <w:bottom w:val="none" w:sz="0" w:space="0" w:color="auto"/>
                <w:right w:val="none" w:sz="0" w:space="0" w:color="auto"/>
              </w:pBdr>
              <w:spacing w:after="167"/>
              <w:ind w:left="0"/>
            </w:pPr>
            <w:r>
              <w:t xml:space="preserve">activity measured through the inhibition of fungal growth. A controlled laboratory setup will be used to compare the treated fungal samples with untreated control samples. </w:t>
            </w:r>
          </w:p>
          <w:p w14:paraId="296D2751" w14:textId="77777777" w:rsidR="00A63C3F" w:rsidRDefault="00730912">
            <w:pPr>
              <w:numPr>
                <w:ilvl w:val="0"/>
                <w:numId w:val="1"/>
              </w:numPr>
              <w:pBdr>
                <w:top w:val="none" w:sz="0" w:space="0" w:color="auto"/>
                <w:left w:val="none" w:sz="0" w:space="0" w:color="auto"/>
                <w:bottom w:val="none" w:sz="0" w:space="0" w:color="auto"/>
                <w:right w:val="none" w:sz="0" w:space="0" w:color="auto"/>
              </w:pBdr>
              <w:spacing w:after="159" w:line="478" w:lineRule="auto"/>
            </w:pPr>
            <w:r>
              <w:rPr>
                <w:b/>
              </w:rPr>
              <w:t>RESEARCH INSTRUMENT</w:t>
            </w:r>
            <w:r>
              <w:t xml:space="preserve"> -</w:t>
            </w:r>
            <w:r>
              <w:rPr>
                <w:rFonts w:ascii="Calibri" w:eastAsia="Calibri" w:hAnsi="Calibri" w:cs="Calibri"/>
                <w:sz w:val="22"/>
              </w:rPr>
              <w:t xml:space="preserve"> </w:t>
            </w:r>
            <w:r>
              <w:t xml:space="preserve">The materials and instruments to be used in this study include </w:t>
            </w:r>
            <w:proofErr w:type="spellStart"/>
            <w:r>
              <w:t>Peperomia</w:t>
            </w:r>
            <w:proofErr w:type="spellEnd"/>
            <w:r>
              <w:t xml:space="preserve"> </w:t>
            </w:r>
            <w:proofErr w:type="spellStart"/>
            <w:r>
              <w:t>pellucida</w:t>
            </w:r>
            <w:proofErr w:type="spellEnd"/>
            <w:r>
              <w:t xml:space="preserve"> plant samples, lye, oils, soap molds, beakers, stirring rods, gloves, masks, petri dishes, agar medium, incubator, sterile swabs, and measuring tools such as rulers or calipers for measuring fungal growth inhibition zones. Personal protective equipment (PPE) will be worn to ensure safety and prevent contamination during laboratory procedures.</w:t>
            </w:r>
            <w:r>
              <w:rPr>
                <w:b/>
              </w:rPr>
              <w:t xml:space="preserve">  </w:t>
            </w:r>
          </w:p>
          <w:p w14:paraId="5B8A11EF" w14:textId="77777777" w:rsidR="00A63C3F" w:rsidRDefault="00730912">
            <w:pPr>
              <w:numPr>
                <w:ilvl w:val="0"/>
                <w:numId w:val="1"/>
              </w:numPr>
              <w:pBdr>
                <w:top w:val="none" w:sz="0" w:space="0" w:color="auto"/>
                <w:left w:val="none" w:sz="0" w:space="0" w:color="auto"/>
                <w:bottom w:val="none" w:sz="0" w:space="0" w:color="auto"/>
                <w:right w:val="none" w:sz="0" w:space="0" w:color="auto"/>
              </w:pBdr>
              <w:spacing w:after="255" w:line="259" w:lineRule="auto"/>
            </w:pPr>
            <w:r>
              <w:rPr>
                <w:b/>
              </w:rPr>
              <w:t>DATA GATHERING PROCEDURE</w:t>
            </w:r>
            <w:r>
              <w:t xml:space="preserve"> - The researchers will collect </w:t>
            </w:r>
            <w:proofErr w:type="spellStart"/>
            <w:r>
              <w:t>Peperomia</w:t>
            </w:r>
            <w:proofErr w:type="spellEnd"/>
            <w:r>
              <w:t xml:space="preserve"> </w:t>
            </w:r>
          </w:p>
          <w:p w14:paraId="5ADEF0EA" w14:textId="77777777" w:rsidR="00A63C3F" w:rsidRDefault="00730912">
            <w:pPr>
              <w:pBdr>
                <w:top w:val="none" w:sz="0" w:space="0" w:color="auto"/>
                <w:left w:val="none" w:sz="0" w:space="0" w:color="auto"/>
                <w:bottom w:val="none" w:sz="0" w:space="0" w:color="auto"/>
                <w:right w:val="none" w:sz="0" w:space="0" w:color="auto"/>
              </w:pBdr>
              <w:spacing w:after="158" w:line="477" w:lineRule="auto"/>
              <w:ind w:left="0"/>
            </w:pPr>
            <w:proofErr w:type="spellStart"/>
            <w:r>
              <w:t>pellucida</w:t>
            </w:r>
            <w:proofErr w:type="spellEnd"/>
            <w:r>
              <w:t xml:space="preserve"> plants from the local area and prepare the extract to be used in the soap formulation. The soap will be produced by mixing the plant extract with the prepared soap base and allowing it to cure for several weeks..</w:t>
            </w:r>
            <w:r>
              <w:rPr>
                <w:rFonts w:ascii="Calibri" w:eastAsia="Calibri" w:hAnsi="Calibri" w:cs="Calibri"/>
                <w:sz w:val="22"/>
              </w:rPr>
              <w:t xml:space="preserve"> </w:t>
            </w:r>
            <w:r>
              <w:t xml:space="preserve">A fungal sample suspected to contain </w:t>
            </w:r>
            <w:proofErr w:type="spellStart"/>
            <w:r>
              <w:t>Malassezia</w:t>
            </w:r>
            <w:proofErr w:type="spellEnd"/>
            <w:r>
              <w:t xml:space="preserve"> furfur will be obtained and cultured using appropriate growth media in petri dishes under controlled laboratory conditions. After sufficient fungal growth is observed, the formulated soap will be applied to the cultured samples. A control group without treatment or with commercial antifungal soap may also be included for comparison. Observations will be recorded based on the inhibition of fungal growth over a specified period.  </w:t>
            </w:r>
          </w:p>
          <w:p w14:paraId="35CD1AD9" w14:textId="77777777" w:rsidR="00A63C3F" w:rsidRDefault="00730912">
            <w:pPr>
              <w:numPr>
                <w:ilvl w:val="0"/>
                <w:numId w:val="1"/>
              </w:numPr>
              <w:pBdr>
                <w:top w:val="none" w:sz="0" w:space="0" w:color="auto"/>
                <w:left w:val="none" w:sz="0" w:space="0" w:color="auto"/>
                <w:bottom w:val="none" w:sz="0" w:space="0" w:color="auto"/>
                <w:right w:val="none" w:sz="0" w:space="0" w:color="auto"/>
              </w:pBdr>
              <w:spacing w:after="0" w:line="259" w:lineRule="auto"/>
            </w:pPr>
            <w:r>
              <w:rPr>
                <w:b/>
              </w:rPr>
              <w:t>DATA ANALYSIS</w:t>
            </w:r>
            <w:r>
              <w:t xml:space="preserve"> -</w:t>
            </w:r>
            <w:r>
              <w:rPr>
                <w:rFonts w:ascii="Calibri" w:eastAsia="Calibri" w:hAnsi="Calibri" w:cs="Calibri"/>
                <w:sz w:val="22"/>
              </w:rPr>
              <w:t xml:space="preserve"> </w:t>
            </w:r>
            <w:r>
              <w:t xml:space="preserve">The antifungal effectiveness of the </w:t>
            </w:r>
            <w:proofErr w:type="spellStart"/>
            <w:r>
              <w:t>Peperomia</w:t>
            </w:r>
            <w:proofErr w:type="spellEnd"/>
            <w:r>
              <w:t xml:space="preserve"> </w:t>
            </w:r>
            <w:proofErr w:type="spellStart"/>
            <w:r>
              <w:t>pellucida</w:t>
            </w:r>
            <w:proofErr w:type="spellEnd"/>
            <w:r>
              <w:t xml:space="preserve"> soap will be analyzed by measuring the diameter of fungal growth inhibition zones in the treated and control samples. The collected data will be summarized using mean and standard deviation. A t-test will be used to determine whether there is a significant difference between the antifungal activity of the experimental soap and the control treatment. This statistical analysis will help identify if the plant-based soap has a significant antifungal effect. </w:t>
            </w:r>
          </w:p>
        </w:tc>
      </w:tr>
    </w:tbl>
    <w:p w14:paraId="4597D641"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6" w:right="-113"/>
      </w:pPr>
      <w:r>
        <w:rPr>
          <w:noProof/>
        </w:rPr>
        <w:drawing>
          <wp:inline distT="0" distB="0" distL="0" distR="0" wp14:anchorId="092F42DA" wp14:editId="75246CE6">
            <wp:extent cx="5806440" cy="8610601"/>
            <wp:effectExtent l="0" t="0" r="0" b="0"/>
            <wp:docPr id="8494" name="Picture 8494"/>
            <wp:cNvGraphicFramePr/>
            <a:graphic xmlns:a="http://schemas.openxmlformats.org/drawingml/2006/main">
              <a:graphicData uri="http://schemas.openxmlformats.org/drawingml/2006/picture">
                <pic:pic xmlns:pic="http://schemas.openxmlformats.org/drawingml/2006/picture">
                  <pic:nvPicPr>
                    <pic:cNvPr id="8494" name="Picture 8494"/>
                    <pic:cNvPicPr/>
                  </pic:nvPicPr>
                  <pic:blipFill>
                    <a:blip r:embed="rId7"/>
                    <a:stretch>
                      <a:fillRect/>
                    </a:stretch>
                  </pic:blipFill>
                  <pic:spPr>
                    <a:xfrm>
                      <a:off x="0" y="0"/>
                      <a:ext cx="5806440" cy="8610601"/>
                    </a:xfrm>
                    <a:prstGeom prst="rect">
                      <a:avLst/>
                    </a:prstGeom>
                  </pic:spPr>
                </pic:pic>
              </a:graphicData>
            </a:graphic>
          </wp:inline>
        </w:drawing>
      </w:r>
    </w:p>
    <w:p w14:paraId="6D0349D6" w14:textId="77777777" w:rsidR="00A63C3F" w:rsidRDefault="00A63C3F">
      <w:pPr>
        <w:pBdr>
          <w:top w:val="none" w:sz="0" w:space="0" w:color="auto"/>
          <w:left w:val="none" w:sz="0" w:space="0" w:color="auto"/>
          <w:bottom w:val="none" w:sz="0" w:space="0" w:color="auto"/>
          <w:right w:val="none" w:sz="0" w:space="0" w:color="auto"/>
        </w:pBdr>
        <w:spacing w:after="0" w:line="259" w:lineRule="auto"/>
        <w:ind w:left="-1440"/>
      </w:pPr>
    </w:p>
    <w:tbl>
      <w:tblPr>
        <w:tblStyle w:val="TableGrid"/>
        <w:tblW w:w="9019" w:type="dxa"/>
        <w:tblInd w:w="6" w:type="dxa"/>
        <w:tblCellMar>
          <w:top w:w="64" w:type="dxa"/>
          <w:left w:w="110" w:type="dxa"/>
          <w:right w:w="77" w:type="dxa"/>
        </w:tblCellMar>
        <w:tblLook w:val="04A0" w:firstRow="1" w:lastRow="0" w:firstColumn="1" w:lastColumn="0" w:noHBand="0" w:noVBand="1"/>
      </w:tblPr>
      <w:tblGrid>
        <w:gridCol w:w="9019"/>
      </w:tblGrid>
      <w:tr w:rsidR="00A63C3F" w14:paraId="1C718F33" w14:textId="77777777">
        <w:trPr>
          <w:trHeight w:val="13869"/>
        </w:trPr>
        <w:tc>
          <w:tcPr>
            <w:tcW w:w="9019" w:type="dxa"/>
            <w:tcBorders>
              <w:top w:val="single" w:sz="4" w:space="0" w:color="000000"/>
              <w:left w:val="single" w:sz="4" w:space="0" w:color="000000"/>
              <w:bottom w:val="single" w:sz="4" w:space="0" w:color="000000"/>
              <w:right w:val="single" w:sz="4" w:space="0" w:color="000000"/>
            </w:tcBorders>
          </w:tcPr>
          <w:p w14:paraId="323488DC"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157" w:line="477" w:lineRule="auto"/>
            </w:pPr>
            <w:proofErr w:type="spellStart"/>
            <w:r>
              <w:t>Abadi</w:t>
            </w:r>
            <w:proofErr w:type="spellEnd"/>
            <w:r>
              <w:t xml:space="preserve">, H., &amp; </w:t>
            </w:r>
            <w:proofErr w:type="spellStart"/>
            <w:r>
              <w:t>Eulis</w:t>
            </w:r>
            <w:proofErr w:type="spellEnd"/>
            <w:r>
              <w:t xml:space="preserve">, V. (2023). Formulation and activity tests of </w:t>
            </w:r>
            <w:proofErr w:type="spellStart"/>
            <w:r>
              <w:t>Peperomia</w:t>
            </w:r>
            <w:proofErr w:type="spellEnd"/>
            <w:r>
              <w:t xml:space="preserve"> </w:t>
            </w:r>
            <w:proofErr w:type="spellStart"/>
            <w:r>
              <w:t>pellucida</w:t>
            </w:r>
            <w:proofErr w:type="spellEnd"/>
            <w:r>
              <w:t xml:space="preserve"> extract shampoo against fungal growth. International Archives of Medical Sciences and Public Health </w:t>
            </w:r>
          </w:p>
          <w:p w14:paraId="24732BFA"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0" w:line="479" w:lineRule="auto"/>
            </w:pPr>
            <w:r>
              <w:t xml:space="preserve">Chau, T. T., &amp; Men, T. T. (2024). </w:t>
            </w:r>
            <w:proofErr w:type="spellStart"/>
            <w:r>
              <w:t>Peperomia</w:t>
            </w:r>
            <w:proofErr w:type="spellEnd"/>
            <w:r>
              <w:t xml:space="preserve"> </w:t>
            </w:r>
            <w:proofErr w:type="spellStart"/>
            <w:r>
              <w:t>pellucida</w:t>
            </w:r>
            <w:proofErr w:type="spellEnd"/>
            <w:r>
              <w:t xml:space="preserve"> ingredients and antioxidant properties. Journal of Microbiology and </w:t>
            </w:r>
          </w:p>
          <w:p w14:paraId="716AD74E" w14:textId="77777777" w:rsidR="00A63C3F" w:rsidRDefault="00730912">
            <w:pPr>
              <w:pBdr>
                <w:top w:val="none" w:sz="0" w:space="0" w:color="auto"/>
                <w:left w:val="none" w:sz="0" w:space="0" w:color="auto"/>
                <w:bottom w:val="none" w:sz="0" w:space="0" w:color="auto"/>
                <w:right w:val="none" w:sz="0" w:space="0" w:color="auto"/>
              </w:pBdr>
              <w:spacing w:after="410" w:line="259" w:lineRule="auto"/>
              <w:ind w:left="0"/>
            </w:pPr>
            <w:r>
              <w:t xml:space="preserve">Biotechnology.https://www.ncbi.nlm.nih.gov/pmc/articles/PMC9147243/  </w:t>
            </w:r>
          </w:p>
          <w:p w14:paraId="2AD2C219" w14:textId="77777777" w:rsidR="00A63C3F" w:rsidRDefault="00730912">
            <w:pPr>
              <w:pBdr>
                <w:top w:val="none" w:sz="0" w:space="0" w:color="auto"/>
                <w:left w:val="none" w:sz="0" w:space="0" w:color="auto"/>
                <w:bottom w:val="none" w:sz="0" w:space="0" w:color="auto"/>
                <w:right w:val="none" w:sz="0" w:space="0" w:color="auto"/>
              </w:pBdr>
              <w:spacing w:after="415" w:line="259" w:lineRule="auto"/>
              <w:ind w:left="0"/>
            </w:pPr>
            <w:r>
              <w:t xml:space="preserve"> </w:t>
            </w:r>
          </w:p>
          <w:p w14:paraId="726D0F2C"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170"/>
            </w:pPr>
            <w:r>
              <w:t xml:space="preserve">Idris, O. O., </w:t>
            </w:r>
            <w:proofErr w:type="spellStart"/>
            <w:r>
              <w:t>Olatunji</w:t>
            </w:r>
            <w:proofErr w:type="spellEnd"/>
            <w:r>
              <w:t xml:space="preserve">, B. P., &amp; </w:t>
            </w:r>
            <w:proofErr w:type="spellStart"/>
            <w:r>
              <w:t>Madufor</w:t>
            </w:r>
            <w:proofErr w:type="spellEnd"/>
            <w:r>
              <w:t xml:space="preserve">, P. (2015). Antibacterial activity of </w:t>
            </w:r>
            <w:proofErr w:type="spellStart"/>
            <w:r>
              <w:t>Peperomia</w:t>
            </w:r>
            <w:proofErr w:type="spellEnd"/>
            <w:r>
              <w:t xml:space="preserve"> </w:t>
            </w:r>
            <w:proofErr w:type="spellStart"/>
            <w:r>
              <w:t>pellucida</w:t>
            </w:r>
            <w:proofErr w:type="spellEnd"/>
            <w:r>
              <w:t xml:space="preserve"> extracts. Microbiology Research Journal International. </w:t>
            </w:r>
          </w:p>
          <w:p w14:paraId="5CEBFFDF"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158" w:line="261" w:lineRule="auto"/>
            </w:pPr>
            <w:proofErr w:type="spellStart"/>
            <w:r>
              <w:t>Indra</w:t>
            </w:r>
            <w:proofErr w:type="spellEnd"/>
            <w:r>
              <w:t xml:space="preserve">, I., Aditya, P. Y., &amp; </w:t>
            </w:r>
            <w:proofErr w:type="spellStart"/>
            <w:r>
              <w:t>Setiawan</w:t>
            </w:r>
            <w:proofErr w:type="spellEnd"/>
            <w:r>
              <w:t xml:space="preserve">, F. (2024). Development of </w:t>
            </w:r>
            <w:proofErr w:type="spellStart"/>
            <w:r>
              <w:t>Peperomia</w:t>
            </w:r>
            <w:proofErr w:type="spellEnd"/>
            <w:r>
              <w:t xml:space="preserve"> </w:t>
            </w:r>
            <w:proofErr w:type="spellStart"/>
            <w:r>
              <w:t>pellucida</w:t>
            </w:r>
            <w:proofErr w:type="spellEnd"/>
            <w:r>
              <w:t xml:space="preserve"> gel mask. </w:t>
            </w:r>
            <w:proofErr w:type="spellStart"/>
            <w:r>
              <w:t>Pharmacoscript</w:t>
            </w:r>
            <w:proofErr w:type="spellEnd"/>
            <w:r>
              <w:t xml:space="preserve">. </w:t>
            </w:r>
          </w:p>
          <w:p w14:paraId="64C3F5A3" w14:textId="77777777" w:rsidR="00A63C3F" w:rsidRDefault="00730912">
            <w:pPr>
              <w:pBdr>
                <w:top w:val="none" w:sz="0" w:space="0" w:color="auto"/>
                <w:left w:val="none" w:sz="0" w:space="0" w:color="auto"/>
                <w:bottom w:val="none" w:sz="0" w:space="0" w:color="auto"/>
                <w:right w:val="none" w:sz="0" w:space="0" w:color="auto"/>
              </w:pBdr>
              <w:spacing w:after="150" w:line="259" w:lineRule="auto"/>
              <w:ind w:left="0"/>
            </w:pPr>
            <w:r>
              <w:t xml:space="preserve"> </w:t>
            </w:r>
          </w:p>
          <w:p w14:paraId="4CB35012"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156" w:line="479" w:lineRule="auto"/>
            </w:pPr>
            <w:proofErr w:type="spellStart"/>
            <w:r>
              <w:t>Mukhlisa</w:t>
            </w:r>
            <w:proofErr w:type="spellEnd"/>
            <w:r>
              <w:t xml:space="preserve">, I., </w:t>
            </w:r>
            <w:proofErr w:type="spellStart"/>
            <w:r>
              <w:t>Juwita</w:t>
            </w:r>
            <w:proofErr w:type="spellEnd"/>
            <w:r>
              <w:t xml:space="preserve">, Z., &amp; </w:t>
            </w:r>
            <w:proofErr w:type="spellStart"/>
            <w:r>
              <w:t>Dita</w:t>
            </w:r>
            <w:proofErr w:type="spellEnd"/>
            <w:r>
              <w:t xml:space="preserve">, S. (2025). Effectiveness of </w:t>
            </w:r>
            <w:proofErr w:type="spellStart"/>
            <w:r>
              <w:t>Peperomia</w:t>
            </w:r>
            <w:proofErr w:type="spellEnd"/>
            <w:r>
              <w:t xml:space="preserve"> </w:t>
            </w:r>
            <w:proofErr w:type="spellStart"/>
            <w:r>
              <w:t>pellucida</w:t>
            </w:r>
            <w:proofErr w:type="spellEnd"/>
            <w:r>
              <w:t xml:space="preserve"> extract against bacteria. Journal of Health Science and Medical Therapy. </w:t>
            </w:r>
          </w:p>
          <w:p w14:paraId="1613A4EC"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250" w:line="259" w:lineRule="auto"/>
            </w:pPr>
            <w:r>
              <w:t xml:space="preserve">Ngo, Q. M. T., et al. (2024). Anti-infective compounds from </w:t>
            </w:r>
            <w:proofErr w:type="spellStart"/>
            <w:r>
              <w:t>Peperomia</w:t>
            </w:r>
            <w:proofErr w:type="spellEnd"/>
            <w:r>
              <w:t xml:space="preserve"> </w:t>
            </w:r>
            <w:proofErr w:type="spellStart"/>
            <w:r>
              <w:t>pellucida</w:t>
            </w:r>
            <w:proofErr w:type="spellEnd"/>
            <w:r>
              <w:t xml:space="preserve">. </w:t>
            </w:r>
          </w:p>
          <w:p w14:paraId="0AAAB82C" w14:textId="77777777" w:rsidR="00A63C3F" w:rsidRDefault="00730912">
            <w:pPr>
              <w:pBdr>
                <w:top w:val="none" w:sz="0" w:space="0" w:color="auto"/>
                <w:left w:val="none" w:sz="0" w:space="0" w:color="auto"/>
                <w:bottom w:val="none" w:sz="0" w:space="0" w:color="auto"/>
                <w:right w:val="none" w:sz="0" w:space="0" w:color="auto"/>
              </w:pBdr>
              <w:spacing w:after="415" w:line="259" w:lineRule="auto"/>
              <w:ind w:left="0"/>
            </w:pPr>
            <w:r>
              <w:t xml:space="preserve">Natural Product Research. </w:t>
            </w:r>
          </w:p>
          <w:p w14:paraId="52681992"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410" w:line="259" w:lineRule="auto"/>
            </w:pPr>
            <w:proofErr w:type="spellStart"/>
            <w:r>
              <w:t>Nazzaro</w:t>
            </w:r>
            <w:proofErr w:type="spellEnd"/>
            <w:r>
              <w:t xml:space="preserve">, F., et al. (2013). Effects of essential oils on microorganisms. Pharmaceuticals. </w:t>
            </w:r>
          </w:p>
          <w:p w14:paraId="7EA9C89B"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155" w:line="479" w:lineRule="auto"/>
            </w:pPr>
            <w:r>
              <w:t xml:space="preserve">Hammer, K. A., et al. (1999). Antimicrobial activity of plant extracts. Journal of Applied Microbiology. </w:t>
            </w:r>
          </w:p>
          <w:p w14:paraId="5281E8F4"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165"/>
            </w:pPr>
            <w:r>
              <w:t xml:space="preserve">Cowan, M. M. (1999). Plant products as antimicrobial agents. Clinical Microbiology Reviews. </w:t>
            </w:r>
          </w:p>
          <w:p w14:paraId="5CD2C237" w14:textId="77777777" w:rsidR="00A63C3F" w:rsidRDefault="00730912">
            <w:pPr>
              <w:numPr>
                <w:ilvl w:val="0"/>
                <w:numId w:val="2"/>
              </w:numPr>
              <w:pBdr>
                <w:top w:val="none" w:sz="0" w:space="0" w:color="auto"/>
                <w:left w:val="none" w:sz="0" w:space="0" w:color="auto"/>
                <w:bottom w:val="none" w:sz="0" w:space="0" w:color="auto"/>
                <w:right w:val="none" w:sz="0" w:space="0" w:color="auto"/>
              </w:pBdr>
              <w:spacing w:after="0" w:line="259" w:lineRule="auto"/>
            </w:pPr>
            <w:proofErr w:type="spellStart"/>
            <w:r>
              <w:t>Bakkali</w:t>
            </w:r>
            <w:proofErr w:type="spellEnd"/>
            <w:r>
              <w:t xml:space="preserve">, F., et al. (2008). Biological effects of plant essential oils. Food and Chemical Toxicology. </w:t>
            </w:r>
          </w:p>
        </w:tc>
      </w:tr>
    </w:tbl>
    <w:p w14:paraId="4B8F5B7D" w14:textId="77777777" w:rsidR="00A63C3F" w:rsidRDefault="00A63C3F">
      <w:pPr>
        <w:pBdr>
          <w:top w:val="none" w:sz="0" w:space="0" w:color="auto"/>
          <w:left w:val="none" w:sz="0" w:space="0" w:color="auto"/>
          <w:bottom w:val="none" w:sz="0" w:space="0" w:color="auto"/>
          <w:right w:val="none" w:sz="0" w:space="0" w:color="auto"/>
        </w:pBdr>
        <w:spacing w:after="0" w:line="259" w:lineRule="auto"/>
        <w:ind w:left="-1440"/>
      </w:pPr>
    </w:p>
    <w:tbl>
      <w:tblPr>
        <w:tblStyle w:val="TableGrid"/>
        <w:tblW w:w="9019" w:type="dxa"/>
        <w:tblInd w:w="6" w:type="dxa"/>
        <w:tblCellMar>
          <w:top w:w="64" w:type="dxa"/>
          <w:left w:w="110" w:type="dxa"/>
          <w:right w:w="67" w:type="dxa"/>
        </w:tblCellMar>
        <w:tblLook w:val="04A0" w:firstRow="1" w:lastRow="0" w:firstColumn="1" w:lastColumn="0" w:noHBand="0" w:noVBand="1"/>
      </w:tblPr>
      <w:tblGrid>
        <w:gridCol w:w="9019"/>
      </w:tblGrid>
      <w:tr w:rsidR="00A63C3F" w14:paraId="332FB006" w14:textId="77777777">
        <w:trPr>
          <w:trHeight w:val="12868"/>
        </w:trPr>
        <w:tc>
          <w:tcPr>
            <w:tcW w:w="9019" w:type="dxa"/>
            <w:tcBorders>
              <w:top w:val="single" w:sz="4" w:space="0" w:color="000000"/>
              <w:left w:val="single" w:sz="4" w:space="0" w:color="000000"/>
              <w:bottom w:val="single" w:sz="4" w:space="0" w:color="000000"/>
              <w:right w:val="single" w:sz="4" w:space="0" w:color="000000"/>
            </w:tcBorders>
          </w:tcPr>
          <w:p w14:paraId="55B59A95" w14:textId="77777777" w:rsidR="00A63C3F" w:rsidRDefault="00730912">
            <w:pPr>
              <w:numPr>
                <w:ilvl w:val="0"/>
                <w:numId w:val="3"/>
              </w:numPr>
              <w:pBdr>
                <w:top w:val="none" w:sz="0" w:space="0" w:color="auto"/>
                <w:left w:val="none" w:sz="0" w:space="0" w:color="auto"/>
                <w:bottom w:val="none" w:sz="0" w:space="0" w:color="auto"/>
                <w:right w:val="none" w:sz="0" w:space="0" w:color="auto"/>
              </w:pBdr>
              <w:spacing w:after="250" w:line="259" w:lineRule="auto"/>
            </w:pPr>
            <w:r>
              <w:t>Crespo-</w:t>
            </w:r>
            <w:proofErr w:type="spellStart"/>
            <w:r>
              <w:t>Erchiga</w:t>
            </w:r>
            <w:proofErr w:type="spellEnd"/>
            <w:r>
              <w:t xml:space="preserve">, V., &amp; Florencio, V. D. (2006). </w:t>
            </w:r>
            <w:proofErr w:type="spellStart"/>
            <w:r>
              <w:t>Malassezia</w:t>
            </w:r>
            <w:proofErr w:type="spellEnd"/>
            <w:r>
              <w:t xml:space="preserve"> yeasts and skin conditions. </w:t>
            </w:r>
          </w:p>
          <w:p w14:paraId="32F82D9B" w14:textId="77777777" w:rsidR="00A63C3F" w:rsidRDefault="00730912">
            <w:pPr>
              <w:pBdr>
                <w:top w:val="none" w:sz="0" w:space="0" w:color="auto"/>
                <w:left w:val="none" w:sz="0" w:space="0" w:color="auto"/>
                <w:bottom w:val="none" w:sz="0" w:space="0" w:color="auto"/>
                <w:right w:val="none" w:sz="0" w:space="0" w:color="auto"/>
              </w:pBdr>
              <w:spacing w:after="415" w:line="259" w:lineRule="auto"/>
              <w:ind w:left="0"/>
            </w:pPr>
            <w:r>
              <w:t xml:space="preserve">Clinical Microbiology Reviews. </w:t>
            </w:r>
          </w:p>
          <w:p w14:paraId="75FA673A" w14:textId="77777777" w:rsidR="00A63C3F" w:rsidRDefault="00730912">
            <w:pPr>
              <w:numPr>
                <w:ilvl w:val="0"/>
                <w:numId w:val="3"/>
              </w:numPr>
              <w:pBdr>
                <w:top w:val="none" w:sz="0" w:space="0" w:color="auto"/>
                <w:left w:val="none" w:sz="0" w:space="0" w:color="auto"/>
                <w:bottom w:val="none" w:sz="0" w:space="0" w:color="auto"/>
                <w:right w:val="none" w:sz="0" w:space="0" w:color="auto"/>
              </w:pBdr>
              <w:spacing w:after="250" w:line="259" w:lineRule="auto"/>
            </w:pPr>
            <w:proofErr w:type="spellStart"/>
            <w:r>
              <w:t>Prohic</w:t>
            </w:r>
            <w:proofErr w:type="spellEnd"/>
            <w:r>
              <w:t xml:space="preserve">, A., et al. (2016). </w:t>
            </w:r>
            <w:proofErr w:type="spellStart"/>
            <w:r>
              <w:t>Malassezia</w:t>
            </w:r>
            <w:proofErr w:type="spellEnd"/>
            <w:r>
              <w:t xml:space="preserve"> species and skin diseases. Clinical Dermatology. </w:t>
            </w:r>
          </w:p>
          <w:p w14:paraId="225706B2" w14:textId="77777777" w:rsidR="00A63C3F" w:rsidRDefault="00730912">
            <w:pPr>
              <w:pBdr>
                <w:top w:val="none" w:sz="0" w:space="0" w:color="auto"/>
                <w:left w:val="none" w:sz="0" w:space="0" w:color="auto"/>
                <w:bottom w:val="none" w:sz="0" w:space="0" w:color="auto"/>
                <w:right w:val="none" w:sz="0" w:space="0" w:color="auto"/>
              </w:pBdr>
              <w:spacing w:after="255" w:line="259" w:lineRule="auto"/>
              <w:ind w:left="0"/>
            </w:pPr>
            <w:r>
              <w:rPr>
                <w:b/>
              </w:rPr>
              <w:t xml:space="preserve"> </w:t>
            </w:r>
          </w:p>
          <w:p w14:paraId="7FA8A06B" w14:textId="77777777" w:rsidR="00A63C3F" w:rsidRDefault="00730912">
            <w:pPr>
              <w:numPr>
                <w:ilvl w:val="0"/>
                <w:numId w:val="3"/>
              </w:numPr>
              <w:pBdr>
                <w:top w:val="none" w:sz="0" w:space="0" w:color="auto"/>
                <w:left w:val="none" w:sz="0" w:space="0" w:color="auto"/>
                <w:bottom w:val="none" w:sz="0" w:space="0" w:color="auto"/>
                <w:right w:val="none" w:sz="0" w:space="0" w:color="auto"/>
              </w:pBdr>
              <w:spacing w:after="250" w:line="259" w:lineRule="auto"/>
            </w:pPr>
            <w:proofErr w:type="spellStart"/>
            <w:r>
              <w:t>Prohic</w:t>
            </w:r>
            <w:proofErr w:type="spellEnd"/>
            <w:r>
              <w:t xml:space="preserve">, A., et al. (2016). </w:t>
            </w:r>
            <w:proofErr w:type="spellStart"/>
            <w:r>
              <w:t>Malassezia</w:t>
            </w:r>
            <w:proofErr w:type="spellEnd"/>
            <w:r>
              <w:t xml:space="preserve"> species and skin diseases. Clinical Dermatology. </w:t>
            </w:r>
          </w:p>
          <w:p w14:paraId="031F2D33" w14:textId="77777777" w:rsidR="00A63C3F" w:rsidRDefault="00730912">
            <w:pPr>
              <w:pBdr>
                <w:top w:val="none" w:sz="0" w:space="0" w:color="auto"/>
                <w:left w:val="none" w:sz="0" w:space="0" w:color="auto"/>
                <w:bottom w:val="none" w:sz="0" w:space="0" w:color="auto"/>
                <w:right w:val="none" w:sz="0" w:space="0" w:color="auto"/>
              </w:pBdr>
              <w:spacing w:after="250" w:line="259" w:lineRule="auto"/>
              <w:ind w:left="0"/>
            </w:pPr>
            <w:r>
              <w:t xml:space="preserve"> </w:t>
            </w:r>
          </w:p>
          <w:p w14:paraId="5E15A876" w14:textId="77777777" w:rsidR="00A63C3F" w:rsidRDefault="00730912">
            <w:pPr>
              <w:pBdr>
                <w:top w:val="none" w:sz="0" w:space="0" w:color="auto"/>
                <w:left w:val="none" w:sz="0" w:space="0" w:color="auto"/>
                <w:bottom w:val="none" w:sz="0" w:space="0" w:color="auto"/>
                <w:right w:val="none" w:sz="0" w:space="0" w:color="auto"/>
              </w:pBdr>
              <w:spacing w:after="255" w:line="259" w:lineRule="auto"/>
              <w:ind w:left="0"/>
            </w:pPr>
            <w:r>
              <w:t xml:space="preserve"> </w:t>
            </w:r>
          </w:p>
          <w:p w14:paraId="7FEC93C7" w14:textId="77777777" w:rsidR="00A63C3F" w:rsidRDefault="00730912">
            <w:pPr>
              <w:numPr>
                <w:ilvl w:val="0"/>
                <w:numId w:val="3"/>
              </w:numPr>
              <w:pBdr>
                <w:top w:val="none" w:sz="0" w:space="0" w:color="auto"/>
                <w:left w:val="none" w:sz="0" w:space="0" w:color="auto"/>
                <w:bottom w:val="none" w:sz="0" w:space="0" w:color="auto"/>
                <w:right w:val="none" w:sz="0" w:space="0" w:color="auto"/>
              </w:pBdr>
              <w:spacing w:after="257" w:line="259" w:lineRule="auto"/>
            </w:pPr>
            <w:proofErr w:type="spellStart"/>
            <w:r>
              <w:t>Havlickova</w:t>
            </w:r>
            <w:proofErr w:type="spellEnd"/>
            <w:r>
              <w:t xml:space="preserve">, B., et al. (2008). Epidemiology of fungal infections. Mycoses. </w:t>
            </w:r>
          </w:p>
          <w:p w14:paraId="31EE3321" w14:textId="77777777" w:rsidR="00A63C3F" w:rsidRDefault="00730912">
            <w:pPr>
              <w:pBdr>
                <w:top w:val="none" w:sz="0" w:space="0" w:color="auto"/>
                <w:left w:val="none" w:sz="0" w:space="0" w:color="auto"/>
                <w:bottom w:val="none" w:sz="0" w:space="0" w:color="auto"/>
                <w:right w:val="none" w:sz="0" w:space="0" w:color="auto"/>
              </w:pBdr>
              <w:spacing w:after="255" w:line="259" w:lineRule="auto"/>
              <w:ind w:left="0"/>
            </w:pPr>
            <w:r>
              <w:rPr>
                <w:b/>
              </w:rPr>
              <w:t xml:space="preserve"> </w:t>
            </w:r>
          </w:p>
          <w:p w14:paraId="1A2C39CE" w14:textId="77777777" w:rsidR="00A63C3F" w:rsidRDefault="00730912">
            <w:pPr>
              <w:numPr>
                <w:ilvl w:val="0"/>
                <w:numId w:val="3"/>
              </w:numPr>
              <w:pBdr>
                <w:top w:val="none" w:sz="0" w:space="0" w:color="auto"/>
                <w:left w:val="none" w:sz="0" w:space="0" w:color="auto"/>
                <w:bottom w:val="none" w:sz="0" w:space="0" w:color="auto"/>
                <w:right w:val="none" w:sz="0" w:space="0" w:color="auto"/>
              </w:pBdr>
              <w:spacing w:after="257" w:line="259" w:lineRule="auto"/>
            </w:pPr>
            <w:r>
              <w:t xml:space="preserve">Hay, R. J. (2017). Superficial fungal infections. The Lancet. </w:t>
            </w:r>
          </w:p>
          <w:p w14:paraId="2DB24BE2" w14:textId="77777777" w:rsidR="00A63C3F" w:rsidRDefault="00730912">
            <w:pPr>
              <w:pBdr>
                <w:top w:val="none" w:sz="0" w:space="0" w:color="auto"/>
                <w:left w:val="none" w:sz="0" w:space="0" w:color="auto"/>
                <w:bottom w:val="none" w:sz="0" w:space="0" w:color="auto"/>
                <w:right w:val="none" w:sz="0" w:space="0" w:color="auto"/>
              </w:pBdr>
              <w:spacing w:after="250" w:line="259" w:lineRule="auto"/>
              <w:ind w:left="0"/>
            </w:pPr>
            <w:r>
              <w:t xml:space="preserve"> </w:t>
            </w:r>
          </w:p>
          <w:p w14:paraId="2C15F1D9" w14:textId="77777777" w:rsidR="00A63C3F" w:rsidRDefault="00730912">
            <w:pPr>
              <w:numPr>
                <w:ilvl w:val="0"/>
                <w:numId w:val="3"/>
              </w:numPr>
              <w:pBdr>
                <w:top w:val="none" w:sz="0" w:space="0" w:color="auto"/>
                <w:left w:val="none" w:sz="0" w:space="0" w:color="auto"/>
                <w:bottom w:val="none" w:sz="0" w:space="0" w:color="auto"/>
                <w:right w:val="none" w:sz="0" w:space="0" w:color="auto"/>
              </w:pBdr>
              <w:spacing w:after="0" w:line="485" w:lineRule="auto"/>
            </w:pPr>
            <w:r>
              <w:t xml:space="preserve">Gupta, A. K., &amp; Foley, K. A. (2015). Antifungal treatment of skin infections. Journal of Dermatological Treatment. </w:t>
            </w:r>
          </w:p>
          <w:p w14:paraId="60EBD604" w14:textId="77777777" w:rsidR="00A63C3F" w:rsidRDefault="00730912">
            <w:pPr>
              <w:pBdr>
                <w:top w:val="none" w:sz="0" w:space="0" w:color="auto"/>
                <w:left w:val="none" w:sz="0" w:space="0" w:color="auto"/>
                <w:bottom w:val="none" w:sz="0" w:space="0" w:color="auto"/>
                <w:right w:val="none" w:sz="0" w:space="0" w:color="auto"/>
              </w:pBdr>
              <w:spacing w:after="250" w:line="259" w:lineRule="auto"/>
              <w:ind w:left="0"/>
            </w:pPr>
            <w:r>
              <w:t xml:space="preserve"> </w:t>
            </w:r>
          </w:p>
          <w:p w14:paraId="527E3C88" w14:textId="77777777" w:rsidR="00A63C3F" w:rsidRDefault="00730912">
            <w:pPr>
              <w:numPr>
                <w:ilvl w:val="0"/>
                <w:numId w:val="3"/>
              </w:numPr>
              <w:pBdr>
                <w:top w:val="none" w:sz="0" w:space="0" w:color="auto"/>
                <w:left w:val="none" w:sz="0" w:space="0" w:color="auto"/>
                <w:bottom w:val="none" w:sz="0" w:space="0" w:color="auto"/>
                <w:right w:val="none" w:sz="0" w:space="0" w:color="auto"/>
              </w:pBdr>
              <w:spacing w:after="0" w:line="479" w:lineRule="auto"/>
            </w:pPr>
            <w:proofErr w:type="spellStart"/>
            <w:r>
              <w:t>Yamasi</w:t>
            </w:r>
            <w:proofErr w:type="spellEnd"/>
            <w:r>
              <w:t xml:space="preserve">, D. H. A., et al. (2023). Cream formulation of </w:t>
            </w:r>
            <w:proofErr w:type="spellStart"/>
            <w:r>
              <w:t>Peperomia</w:t>
            </w:r>
            <w:proofErr w:type="spellEnd"/>
            <w:r>
              <w:t xml:space="preserve"> </w:t>
            </w:r>
            <w:proofErr w:type="spellStart"/>
            <w:r>
              <w:t>pellucida</w:t>
            </w:r>
            <w:proofErr w:type="spellEnd"/>
            <w:r>
              <w:t xml:space="preserve">. </w:t>
            </w:r>
            <w:proofErr w:type="spellStart"/>
            <w:r>
              <w:t>Jurnal</w:t>
            </w:r>
            <w:proofErr w:type="spellEnd"/>
            <w:r>
              <w:t xml:space="preserve"> </w:t>
            </w:r>
            <w:proofErr w:type="spellStart"/>
            <w:r>
              <w:t>Kesehatan</w:t>
            </w:r>
            <w:proofErr w:type="spellEnd"/>
            <w:r>
              <w:t xml:space="preserve">. </w:t>
            </w:r>
          </w:p>
          <w:p w14:paraId="4FE50885" w14:textId="77777777" w:rsidR="00A63C3F" w:rsidRDefault="00730912">
            <w:pPr>
              <w:pBdr>
                <w:top w:val="none" w:sz="0" w:space="0" w:color="auto"/>
                <w:left w:val="none" w:sz="0" w:space="0" w:color="auto"/>
                <w:bottom w:val="none" w:sz="0" w:space="0" w:color="auto"/>
                <w:right w:val="none" w:sz="0" w:space="0" w:color="auto"/>
              </w:pBdr>
              <w:spacing w:after="255" w:line="259" w:lineRule="auto"/>
              <w:ind w:left="0"/>
            </w:pPr>
            <w:r>
              <w:rPr>
                <w:b/>
              </w:rPr>
              <w:t xml:space="preserve"> </w:t>
            </w:r>
          </w:p>
          <w:p w14:paraId="2084AB5D" w14:textId="77777777" w:rsidR="00A63C3F" w:rsidRDefault="00730912">
            <w:pPr>
              <w:numPr>
                <w:ilvl w:val="0"/>
                <w:numId w:val="3"/>
              </w:numPr>
              <w:pBdr>
                <w:top w:val="none" w:sz="0" w:space="0" w:color="auto"/>
                <w:left w:val="none" w:sz="0" w:space="0" w:color="auto"/>
                <w:bottom w:val="none" w:sz="0" w:space="0" w:color="auto"/>
                <w:right w:val="none" w:sz="0" w:space="0" w:color="auto"/>
              </w:pBdr>
              <w:spacing w:after="0" w:line="481" w:lineRule="auto"/>
            </w:pPr>
            <w:proofErr w:type="spellStart"/>
            <w:r>
              <w:t>Teodhora</w:t>
            </w:r>
            <w:proofErr w:type="spellEnd"/>
            <w:r>
              <w:t xml:space="preserve">, T., et al. (2025). Pharmacological insights of </w:t>
            </w:r>
            <w:proofErr w:type="spellStart"/>
            <w:r>
              <w:t>Peperomia</w:t>
            </w:r>
            <w:proofErr w:type="spellEnd"/>
            <w:r>
              <w:t xml:space="preserve"> </w:t>
            </w:r>
            <w:proofErr w:type="spellStart"/>
            <w:r>
              <w:t>pellucida</w:t>
            </w:r>
            <w:proofErr w:type="spellEnd"/>
            <w:r>
              <w:t xml:space="preserve">. Journal of Experimental Pharmacology. </w:t>
            </w:r>
          </w:p>
          <w:p w14:paraId="1CAEC87C" w14:textId="77777777" w:rsidR="00A63C3F" w:rsidRDefault="00730912">
            <w:pPr>
              <w:pBdr>
                <w:top w:val="none" w:sz="0" w:space="0" w:color="auto"/>
                <w:left w:val="none" w:sz="0" w:space="0" w:color="auto"/>
                <w:bottom w:val="none" w:sz="0" w:space="0" w:color="auto"/>
                <w:right w:val="none" w:sz="0" w:space="0" w:color="auto"/>
              </w:pBdr>
              <w:spacing w:after="255" w:line="259" w:lineRule="auto"/>
              <w:ind w:left="0"/>
            </w:pPr>
            <w:r>
              <w:rPr>
                <w:b/>
              </w:rPr>
              <w:t xml:space="preserve"> </w:t>
            </w:r>
          </w:p>
          <w:p w14:paraId="784DEB46" w14:textId="77777777" w:rsidR="00A63C3F" w:rsidRDefault="00730912">
            <w:pPr>
              <w:numPr>
                <w:ilvl w:val="0"/>
                <w:numId w:val="3"/>
              </w:numPr>
              <w:pBdr>
                <w:top w:val="none" w:sz="0" w:space="0" w:color="auto"/>
                <w:left w:val="none" w:sz="0" w:space="0" w:color="auto"/>
                <w:bottom w:val="none" w:sz="0" w:space="0" w:color="auto"/>
                <w:right w:val="none" w:sz="0" w:space="0" w:color="auto"/>
              </w:pBdr>
              <w:spacing w:after="257" w:line="259" w:lineRule="auto"/>
            </w:pPr>
            <w:proofErr w:type="spellStart"/>
            <w:r>
              <w:t>Sukri</w:t>
            </w:r>
            <w:proofErr w:type="spellEnd"/>
            <w:r>
              <w:t xml:space="preserve">, M. A. M., et al. (2025). Comprehensive review of </w:t>
            </w:r>
            <w:proofErr w:type="spellStart"/>
            <w:r>
              <w:t>Peperomia</w:t>
            </w:r>
            <w:proofErr w:type="spellEnd"/>
            <w:r>
              <w:t xml:space="preserve"> </w:t>
            </w:r>
            <w:proofErr w:type="spellStart"/>
            <w:r>
              <w:t>pellucida</w:t>
            </w:r>
            <w:proofErr w:type="spellEnd"/>
            <w:r>
              <w:t xml:space="preserve">. </w:t>
            </w:r>
          </w:p>
          <w:p w14:paraId="6047DF67" w14:textId="77777777" w:rsidR="00A63C3F" w:rsidRDefault="00730912">
            <w:pPr>
              <w:pBdr>
                <w:top w:val="none" w:sz="0" w:space="0" w:color="auto"/>
                <w:left w:val="none" w:sz="0" w:space="0" w:color="auto"/>
                <w:bottom w:val="none" w:sz="0" w:space="0" w:color="auto"/>
                <w:right w:val="none" w:sz="0" w:space="0" w:color="auto"/>
              </w:pBdr>
              <w:spacing w:after="255" w:line="259" w:lineRule="auto"/>
              <w:ind w:left="0"/>
            </w:pPr>
            <w:r>
              <w:t xml:space="preserve">Malaysian Journal of Applied Sciences. </w:t>
            </w:r>
          </w:p>
          <w:p w14:paraId="40525FBD"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0"/>
            </w:pPr>
            <w:r>
              <w:t xml:space="preserve"> </w:t>
            </w:r>
          </w:p>
        </w:tc>
      </w:tr>
    </w:tbl>
    <w:p w14:paraId="4780B244" w14:textId="77777777" w:rsidR="00A63C3F" w:rsidRDefault="00730912">
      <w:pPr>
        <w:pBdr>
          <w:top w:val="none" w:sz="0" w:space="0" w:color="auto"/>
          <w:left w:val="none" w:sz="0" w:space="0" w:color="auto"/>
          <w:bottom w:val="none" w:sz="0" w:space="0" w:color="auto"/>
          <w:right w:val="none" w:sz="0" w:space="0" w:color="auto"/>
        </w:pBdr>
        <w:spacing w:after="200" w:line="259" w:lineRule="auto"/>
        <w:ind w:left="1"/>
      </w:pPr>
      <w:r>
        <w:rPr>
          <w:rFonts w:ascii="Calibri" w:eastAsia="Calibri" w:hAnsi="Calibri" w:cs="Calibri"/>
          <w:sz w:val="22"/>
        </w:rPr>
        <w:t xml:space="preserve"> </w:t>
      </w:r>
    </w:p>
    <w:p w14:paraId="2F43BD9C" w14:textId="77777777" w:rsidR="00A63C3F" w:rsidRDefault="00730912">
      <w:r>
        <w:rPr>
          <w:b/>
        </w:rPr>
        <w:t xml:space="preserve">20. </w:t>
      </w:r>
      <w:proofErr w:type="spellStart"/>
      <w:r>
        <w:t>Ogunmoye</w:t>
      </w:r>
      <w:proofErr w:type="spellEnd"/>
      <w:r>
        <w:t xml:space="preserve">, A. O., et al. (2018). Antimicrobial activities of </w:t>
      </w:r>
      <w:proofErr w:type="spellStart"/>
      <w:r>
        <w:t>Peperomia</w:t>
      </w:r>
      <w:proofErr w:type="spellEnd"/>
      <w:r>
        <w:t xml:space="preserve"> </w:t>
      </w:r>
      <w:proofErr w:type="spellStart"/>
      <w:r>
        <w:t>pellucida</w:t>
      </w:r>
      <w:proofErr w:type="spellEnd"/>
      <w:r>
        <w:t xml:space="preserve"> essential oils. Journal of Chemical Society of Nigeria. </w:t>
      </w:r>
    </w:p>
    <w:p w14:paraId="54CDDA85" w14:textId="77777777" w:rsidR="00A63C3F" w:rsidRDefault="00730912">
      <w:pPr>
        <w:spacing w:after="260" w:line="259" w:lineRule="auto"/>
      </w:pPr>
      <w:r>
        <w:t xml:space="preserve"> </w:t>
      </w:r>
    </w:p>
    <w:p w14:paraId="7844F9C7"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1"/>
      </w:pPr>
      <w:r>
        <w:t xml:space="preserve"> </w:t>
      </w:r>
    </w:p>
    <w:sectPr w:rsidR="00A63C3F">
      <w:headerReference w:type="even" r:id="rId8"/>
      <w:headerReference w:type="default" r:id="rId9"/>
      <w:headerReference w:type="first" r:id="rId10"/>
      <w:pgSz w:w="11905" w:h="16840"/>
      <w:pgMar w:top="1434" w:right="1440" w:bottom="1440" w:left="1440" w:header="7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54AF6" w14:textId="77777777" w:rsidR="009F2445" w:rsidRDefault="009F2445">
      <w:pPr>
        <w:spacing w:after="0" w:line="240" w:lineRule="auto"/>
      </w:pPr>
      <w:r>
        <w:separator/>
      </w:r>
    </w:p>
  </w:endnote>
  <w:endnote w:type="continuationSeparator" w:id="0">
    <w:p w14:paraId="35941AF6" w14:textId="77777777" w:rsidR="009F2445" w:rsidRDefault="009F2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Historic">
    <w:panose1 w:val="020B0502040204020203"/>
    <w:charset w:val="00"/>
    <w:family w:val="swiss"/>
    <w:pitch w:val="variable"/>
    <w:sig w:usb0="800001EF" w:usb1="02000002" w:usb2="0060C080" w:usb3="00000000" w:csb0="00000001"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3D83" w14:textId="77777777" w:rsidR="009F2445" w:rsidRDefault="009F2445">
      <w:pPr>
        <w:spacing w:after="0" w:line="240" w:lineRule="auto"/>
      </w:pPr>
      <w:r>
        <w:separator/>
      </w:r>
    </w:p>
  </w:footnote>
  <w:footnote w:type="continuationSeparator" w:id="0">
    <w:p w14:paraId="1E8598FD" w14:textId="77777777" w:rsidR="009F2445" w:rsidRDefault="009F2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EBDF"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0" w:right="-6"/>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6C1B1CA"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1"/>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7F492"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0" w:right="-6"/>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85E6E77"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1"/>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31CA"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0" w:right="-6"/>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799082C" w14:textId="77777777" w:rsidR="00A63C3F" w:rsidRDefault="00730912">
    <w:pPr>
      <w:pBdr>
        <w:top w:val="none" w:sz="0" w:space="0" w:color="auto"/>
        <w:left w:val="none" w:sz="0" w:space="0" w:color="auto"/>
        <w:bottom w:val="none" w:sz="0" w:space="0" w:color="auto"/>
        <w:right w:val="none" w:sz="0" w:space="0" w:color="auto"/>
      </w:pBdr>
      <w:spacing w:after="0" w:line="259" w:lineRule="auto"/>
      <w:ind w:left="1"/>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0ECB"/>
    <w:multiLevelType w:val="hybridMultilevel"/>
    <w:tmpl w:val="FFFFFFFF"/>
    <w:lvl w:ilvl="0" w:tplc="452E6304">
      <w:start w:val="1"/>
      <w:numFmt w:val="bullet"/>
      <w:lvlText w:val="•"/>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A9AAF50">
      <w:start w:val="1"/>
      <w:numFmt w:val="bullet"/>
      <w:lvlText w:val="o"/>
      <w:lvlJc w:val="left"/>
      <w:pPr>
        <w:ind w:left="14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D6C03B2">
      <w:start w:val="1"/>
      <w:numFmt w:val="bullet"/>
      <w:lvlText w:val="▪"/>
      <w:lvlJc w:val="left"/>
      <w:pPr>
        <w:ind w:left="21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296F48C">
      <w:start w:val="1"/>
      <w:numFmt w:val="bullet"/>
      <w:lvlText w:val="•"/>
      <w:lvlJc w:val="left"/>
      <w:pPr>
        <w:ind w:left="2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40824CA">
      <w:start w:val="1"/>
      <w:numFmt w:val="bullet"/>
      <w:lvlText w:val="o"/>
      <w:lvlJc w:val="left"/>
      <w:pPr>
        <w:ind w:left="3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EA5E88">
      <w:start w:val="1"/>
      <w:numFmt w:val="bullet"/>
      <w:lvlText w:val="▪"/>
      <w:lvlJc w:val="left"/>
      <w:pPr>
        <w:ind w:left="43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D4658C6">
      <w:start w:val="1"/>
      <w:numFmt w:val="bullet"/>
      <w:lvlText w:val="•"/>
      <w:lvlJc w:val="left"/>
      <w:pPr>
        <w:ind w:left="50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7E2B198">
      <w:start w:val="1"/>
      <w:numFmt w:val="bullet"/>
      <w:lvlText w:val="o"/>
      <w:lvlJc w:val="left"/>
      <w:pPr>
        <w:ind w:left="57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A30EDE2">
      <w:start w:val="1"/>
      <w:numFmt w:val="bullet"/>
      <w:lvlText w:val="▪"/>
      <w:lvlJc w:val="left"/>
      <w:pPr>
        <w:ind w:left="64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884B64"/>
    <w:multiLevelType w:val="hybridMultilevel"/>
    <w:tmpl w:val="FFFFFFFF"/>
    <w:lvl w:ilvl="0" w:tplc="1D5A8B52">
      <w:start w:val="1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44685E2">
      <w:start w:val="1"/>
      <w:numFmt w:val="lowerLetter"/>
      <w:lvlText w:val="%2"/>
      <w:lvlJc w:val="left"/>
      <w:pPr>
        <w:ind w:left="1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460182A">
      <w:start w:val="1"/>
      <w:numFmt w:val="lowerRoman"/>
      <w:lvlText w:val="%3"/>
      <w:lvlJc w:val="left"/>
      <w:pPr>
        <w:ind w:left="19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D888C40">
      <w:start w:val="1"/>
      <w:numFmt w:val="decimal"/>
      <w:lvlText w:val="%4"/>
      <w:lvlJc w:val="left"/>
      <w:pPr>
        <w:ind w:left="26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ADE0510">
      <w:start w:val="1"/>
      <w:numFmt w:val="lowerLetter"/>
      <w:lvlText w:val="%5"/>
      <w:lvlJc w:val="left"/>
      <w:pPr>
        <w:ind w:left="33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B0CF726">
      <w:start w:val="1"/>
      <w:numFmt w:val="lowerRoman"/>
      <w:lvlText w:val="%6"/>
      <w:lvlJc w:val="left"/>
      <w:pPr>
        <w:ind w:left="4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9ECF614">
      <w:start w:val="1"/>
      <w:numFmt w:val="decimal"/>
      <w:lvlText w:val="%7"/>
      <w:lvlJc w:val="left"/>
      <w:pPr>
        <w:ind w:left="4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E76EC90">
      <w:start w:val="1"/>
      <w:numFmt w:val="lowerLetter"/>
      <w:lvlText w:val="%8"/>
      <w:lvlJc w:val="left"/>
      <w:pPr>
        <w:ind w:left="5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5A92A0">
      <w:start w:val="1"/>
      <w:numFmt w:val="lowerRoman"/>
      <w:lvlText w:val="%9"/>
      <w:lvlJc w:val="left"/>
      <w:pPr>
        <w:ind w:left="6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AB724E"/>
    <w:multiLevelType w:val="hybridMultilevel"/>
    <w:tmpl w:val="FFFFFFFF"/>
    <w:lvl w:ilvl="0" w:tplc="C7E09886">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166208">
      <w:start w:val="1"/>
      <w:numFmt w:val="lowerLetter"/>
      <w:lvlText w:val="%2"/>
      <w:lvlJc w:val="left"/>
      <w:pPr>
        <w:ind w:left="1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70668B0">
      <w:start w:val="1"/>
      <w:numFmt w:val="lowerRoman"/>
      <w:lvlText w:val="%3"/>
      <w:lvlJc w:val="left"/>
      <w:pPr>
        <w:ind w:left="19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9461FAE">
      <w:start w:val="1"/>
      <w:numFmt w:val="decimal"/>
      <w:lvlText w:val="%4"/>
      <w:lvlJc w:val="left"/>
      <w:pPr>
        <w:ind w:left="26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705EBA">
      <w:start w:val="1"/>
      <w:numFmt w:val="lowerLetter"/>
      <w:lvlText w:val="%5"/>
      <w:lvlJc w:val="left"/>
      <w:pPr>
        <w:ind w:left="33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E6EF49C">
      <w:start w:val="1"/>
      <w:numFmt w:val="lowerRoman"/>
      <w:lvlText w:val="%6"/>
      <w:lvlJc w:val="left"/>
      <w:pPr>
        <w:ind w:left="4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F0CB8B4">
      <w:start w:val="1"/>
      <w:numFmt w:val="decimal"/>
      <w:lvlText w:val="%7"/>
      <w:lvlJc w:val="left"/>
      <w:pPr>
        <w:ind w:left="4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A560772">
      <w:start w:val="1"/>
      <w:numFmt w:val="lowerLetter"/>
      <w:lvlText w:val="%8"/>
      <w:lvlJc w:val="left"/>
      <w:pPr>
        <w:ind w:left="5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4400902">
      <w:start w:val="1"/>
      <w:numFmt w:val="lowerRoman"/>
      <w:lvlText w:val="%9"/>
      <w:lvlJc w:val="left"/>
      <w:pPr>
        <w:ind w:left="6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820150228">
    <w:abstractNumId w:val="0"/>
  </w:num>
  <w:num w:numId="2" w16cid:durableId="1574125174">
    <w:abstractNumId w:val="2"/>
  </w:num>
  <w:num w:numId="3" w16cid:durableId="479268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C3F"/>
    <w:rsid w:val="000A0A31"/>
    <w:rsid w:val="000A587C"/>
    <w:rsid w:val="00120608"/>
    <w:rsid w:val="0014494B"/>
    <w:rsid w:val="00201AB9"/>
    <w:rsid w:val="00274234"/>
    <w:rsid w:val="00281979"/>
    <w:rsid w:val="00295601"/>
    <w:rsid w:val="003A7F86"/>
    <w:rsid w:val="004177B5"/>
    <w:rsid w:val="00447B85"/>
    <w:rsid w:val="004C5BB2"/>
    <w:rsid w:val="00526B0A"/>
    <w:rsid w:val="00584698"/>
    <w:rsid w:val="0063081C"/>
    <w:rsid w:val="006544AE"/>
    <w:rsid w:val="006A4E81"/>
    <w:rsid w:val="00730912"/>
    <w:rsid w:val="007C7A82"/>
    <w:rsid w:val="00932F61"/>
    <w:rsid w:val="009F2445"/>
    <w:rsid w:val="00A63C3F"/>
    <w:rsid w:val="00B50D71"/>
    <w:rsid w:val="00D13156"/>
    <w:rsid w:val="00D81C81"/>
    <w:rsid w:val="00E31CFA"/>
    <w:rsid w:val="00E3569B"/>
    <w:rsid w:val="00E66560"/>
    <w:rsid w:val="00E776A3"/>
    <w:rsid w:val="00EB73D6"/>
    <w:rsid w:val="00F502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CFCD50"/>
  <w15:docId w15:val="{07048159-C33B-9442-901F-8B555F42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5" w:line="475" w:lineRule="auto"/>
      <w:ind w:left="116"/>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agcmg">
    <w:name w:val="a_gcmg"/>
    <w:basedOn w:val="DefaultParagraphFont"/>
    <w:rsid w:val="00D1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1782</Words>
  <Characters>10161</Characters>
  <Application>Microsoft Office Word</Application>
  <DocSecurity>0</DocSecurity>
  <Lines>84</Lines>
  <Paragraphs>23</Paragraphs>
  <ScaleCrop>false</ScaleCrop>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sojou580@gmail.com</cp:lastModifiedBy>
  <cp:revision>2</cp:revision>
  <dcterms:created xsi:type="dcterms:W3CDTF">2026-03-09T02:55:00Z</dcterms:created>
  <dcterms:modified xsi:type="dcterms:W3CDTF">2026-03-09T02:55:00Z</dcterms:modified>
</cp:coreProperties>
</file>