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Предварительная заявка на пилотный проект</w:t>
      </w:r>
    </w:p>
    <w:p>
      <w:pPr>
        <w:pStyle w:val="Subtitle"/>
        <w:jc w:val="center"/>
      </w:pPr>
      <w:r>
        <w:t>по внедрению искусственного интеллекта в научную деятельность по разным областям науки</w:t>
      </w:r>
    </w:p>
    <w:p>
      <w:pPr>
        <w:jc w:val="center"/>
      </w:pPr>
      <w:r>
        <w:t>Проект: «Доверенное ИИ-управление коллективами автономных роботов»</w:t>
      </w:r>
    </w:p>
    <w:p>
      <w:pPr>
        <w:jc w:val="center"/>
      </w:pPr>
      <w:r>
        <w:t>Версия для предварительного представления в рабочую группу «Искусственный интеллект для развития научных исследований и разработок»</w:t>
      </w:r>
    </w:p>
    <w:p/>
    <w:p>
      <w:r>
        <w:t>Краткая суть проекта: создание доверенного человеко-ориентированного контура управления многоагентными робототехническими системами, в котором замечания, ограничения и цели человека-оператора на естественном языке преобразуются в формально проверяемые параметры децентрализованного управления роботами.</w:t>
      </w:r>
    </w:p>
    <w:tbl>
      <w:tblPr>
        <w:tblStyle w:val="TableGrid"/>
        <w:tblW w:type="auto" w:w="0"/>
        <w:tblLayout w:type="fixed"/>
        <w:tblLook w:firstColumn="1" w:firstRow="1" w:lastColumn="0" w:lastRow="0" w:noHBand="0" w:noVBand="1" w:val="04A0"/>
      </w:tblPr>
      <w:tblGrid>
        <w:gridCol w:w="4929"/>
        <w:gridCol w:w="4929"/>
      </w:tblGrid>
      <w:tr>
        <w:tc>
          <w:tcPr>
            <w:tcW w:type="dxa" w:w="2381"/>
            <w:shd w:fill="F4F6F9"/>
            <w:vAlign w:val="center"/>
            <w:tcMar>
              <w:top w:w="100" w:type="dxa"/>
              <w:start w:w="120" w:type="dxa"/>
              <w:bottom w:w="100" w:type="dxa"/>
              <w:end w:w="120" w:type="dxa"/>
            </w:tcMar>
          </w:tcPr>
          <w:p>
            <w:r>
              <w:rPr>
                <w:b/>
              </w:rPr>
              <w:t>Поле</w:t>
            </w:r>
          </w:p>
        </w:tc>
        <w:tc>
          <w:tcPr>
            <w:tcW w:type="dxa" w:w="6803"/>
            <w:shd w:fill="F4F6F9"/>
            <w:vAlign w:val="center"/>
            <w:tcMar>
              <w:top w:w="100" w:type="dxa"/>
              <w:start w:w="120" w:type="dxa"/>
              <w:bottom w:w="100" w:type="dxa"/>
              <w:end w:w="120" w:type="dxa"/>
            </w:tcMar>
          </w:tcPr>
          <w:p>
            <w:r>
              <w:rPr>
                <w:b/>
              </w:rPr>
              <w:t>Предварительное заполнение</w:t>
            </w:r>
          </w:p>
        </w:tc>
      </w:tr>
      <w:tr>
        <w:tc>
          <w:tcPr>
            <w:tcW w:type="dxa" w:w="2381"/>
            <w:vAlign w:val="center"/>
            <w:tcMar>
              <w:top w:w="100" w:type="dxa"/>
              <w:start w:w="120" w:type="dxa"/>
              <w:bottom w:w="100" w:type="dxa"/>
              <w:end w:w="120" w:type="dxa"/>
            </w:tcMar>
          </w:tcPr>
          <w:p>
            <w:r>
              <w:t>Организация-инициатор</w:t>
            </w:r>
          </w:p>
        </w:tc>
        <w:tc>
          <w:tcPr>
            <w:tcW w:type="dxa" w:w="6803"/>
            <w:vAlign w:val="center"/>
            <w:tcMar>
              <w:top w:w="100" w:type="dxa"/>
              <w:start w:w="120" w:type="dxa"/>
              <w:bottom w:w="100" w:type="dxa"/>
              <w:end w:w="120" w:type="dxa"/>
            </w:tcMar>
          </w:tcPr>
          <w:p>
            <w:r>
              <w:t>[указать полное наименование организации, ИНН, адрес]</w:t>
            </w:r>
          </w:p>
        </w:tc>
      </w:tr>
      <w:tr>
        <w:tc>
          <w:tcPr>
            <w:tcW w:type="dxa" w:w="2381"/>
            <w:vAlign w:val="center"/>
            <w:tcMar>
              <w:top w:w="100" w:type="dxa"/>
              <w:start w:w="120" w:type="dxa"/>
              <w:bottom w:w="100" w:type="dxa"/>
              <w:end w:w="120" w:type="dxa"/>
            </w:tcMar>
          </w:tcPr>
          <w:p>
            <w:r>
              <w:t>Руководитель проекта</w:t>
            </w:r>
          </w:p>
        </w:tc>
        <w:tc>
          <w:tcPr>
            <w:tcW w:type="dxa" w:w="6803"/>
            <w:vAlign w:val="center"/>
            <w:tcMar>
              <w:top w:w="100" w:type="dxa"/>
              <w:start w:w="120" w:type="dxa"/>
              <w:bottom w:w="100" w:type="dxa"/>
              <w:end w:w="120" w:type="dxa"/>
            </w:tcMar>
          </w:tcPr>
          <w:p>
            <w:r>
              <w:t>[ФИО, ученая степень/звание, должность, контакты]</w:t>
            </w:r>
          </w:p>
        </w:tc>
      </w:tr>
      <w:tr>
        <w:tc>
          <w:tcPr>
            <w:tcW w:type="dxa" w:w="2381"/>
            <w:vAlign w:val="center"/>
            <w:tcMar>
              <w:top w:w="100" w:type="dxa"/>
              <w:start w:w="120" w:type="dxa"/>
              <w:bottom w:w="100" w:type="dxa"/>
              <w:end w:w="120" w:type="dxa"/>
            </w:tcMar>
          </w:tcPr>
          <w:p>
            <w:r>
              <w:t>Область науки</w:t>
            </w:r>
          </w:p>
        </w:tc>
        <w:tc>
          <w:tcPr>
            <w:tcW w:type="dxa" w:w="6803"/>
            <w:vAlign w:val="center"/>
            <w:tcMar>
              <w:top w:w="100" w:type="dxa"/>
              <w:start w:w="120" w:type="dxa"/>
              <w:bottom w:w="100" w:type="dxa"/>
              <w:end w:w="120" w:type="dxa"/>
            </w:tcMar>
          </w:tcPr>
          <w:p>
            <w:r>
              <w:t>искусственный интеллект; робототехника; системный анализ; теория управления; цифровое моделирование; человеко-машинное взаимодействие</w:t>
            </w:r>
          </w:p>
        </w:tc>
      </w:tr>
      <w:tr>
        <w:tc>
          <w:tcPr>
            <w:tcW w:type="dxa" w:w="2381"/>
            <w:vAlign w:val="center"/>
            <w:tcMar>
              <w:top w:w="100" w:type="dxa"/>
              <w:start w:w="120" w:type="dxa"/>
              <w:bottom w:w="100" w:type="dxa"/>
              <w:end w:w="120" w:type="dxa"/>
            </w:tcMar>
          </w:tcPr>
          <w:p>
            <w:r>
              <w:t>Горизонт MVP</w:t>
            </w:r>
          </w:p>
        </w:tc>
        <w:tc>
          <w:tcPr>
            <w:tcW w:type="dxa" w:w="6803"/>
            <w:vAlign w:val="center"/>
            <w:tcMar>
              <w:top w:w="100" w:type="dxa"/>
              <w:start w:w="120" w:type="dxa"/>
              <w:bottom w:w="100" w:type="dxa"/>
              <w:end w:w="120" w:type="dxa"/>
            </w:tcMar>
          </w:tcPr>
          <w:p>
            <w:r>
              <w:t>до 6 месяцев: симуляционно-экспериментальный прототип, датасеты, RAG/LLM-контур, валидационные сценарии и демонстрационный стенд</w:t>
            </w:r>
          </w:p>
        </w:tc>
      </w:tr>
      <w:tr>
        <w:tc>
          <w:tcPr>
            <w:tcW w:type="dxa" w:w="2381"/>
            <w:vAlign w:val="center"/>
            <w:tcMar>
              <w:top w:w="100" w:type="dxa"/>
              <w:start w:w="120" w:type="dxa"/>
              <w:bottom w:w="100" w:type="dxa"/>
              <w:end w:w="120" w:type="dxa"/>
            </w:tcMar>
          </w:tcPr>
          <w:p>
            <w:r>
              <w:t>Горизонт пилота</w:t>
            </w:r>
          </w:p>
        </w:tc>
        <w:tc>
          <w:tcPr>
            <w:tcW w:type="dxa" w:w="6803"/>
            <w:vAlign w:val="center"/>
            <w:tcMar>
              <w:top w:w="100" w:type="dxa"/>
              <w:start w:w="120" w:type="dxa"/>
              <w:bottom w:w="100" w:type="dxa"/>
              <w:end w:w="120" w:type="dxa"/>
            </w:tcMar>
          </w:tcPr>
          <w:p>
            <w:r>
              <w:t>2-3 года: доверенная программная платформа, экспериментальная база, методики валидации и отраслевые демонстраторы</w:t>
            </w:r>
          </w:p>
        </w:tc>
      </w:tr>
    </w:tbl>
    <w:p/>
    <w:p>
      <w:pPr>
        <w:pStyle w:val="Heading1"/>
      </w:pPr>
      <w:r>
        <w:t>1. Название проекта, область науки</w:t>
      </w:r>
    </w:p>
    <w:p>
      <w:r>
        <w:t>Название проекта: «Доверенное ИИ-управление коллективами автономных роботов».</w:t>
      </w:r>
    </w:p>
    <w:p>
      <w:r>
        <w:t>Область науки: методы искусственного интеллекта, многоагентные системы, робототехника, теория управления, формальные методы верификации, цифровое моделирование, человеко-машинное взаимодействие.</w:t>
      </w:r>
    </w:p>
    <w:p>
      <w:r>
        <w:t>Тип научно-технологической задачи: создание нового принципа взаимодействия человека и автономной робототехнической системы, при котором оператор формулирует эксплуатационные ограничения и цели на естественном языке, а ИИ-система преобразует их в ограниченный набор параметров формальной модели управления, проверяемых до применения в реальном или цифровом объекте.</w:t>
      </w:r>
    </w:p>
    <w:p>
      <w:pPr>
        <w:pStyle w:val="Heading1"/>
      </w:pPr>
      <w:r>
        <w:t>2. Заявитель и руководитель проекта</w:t>
      </w:r>
    </w:p>
    <w:p>
      <w:r>
        <w:t>Организация-инициатор: [полное наименование организации-инициатора, ИНН, юридический адрес, контактные данные].</w:t>
      </w:r>
    </w:p>
    <w:p>
      <w:r>
        <w:t>Руководитель проекта: [ФИО, ученая степень/звание, должность, e-mail, телефон].</w:t>
      </w:r>
    </w:p>
    <w:p>
      <w:r>
        <w:t>Предлагаемый формат реализации: консорциум научной организации, университета, индустриального партнера, разработчика робототехнических платформ и партнера по вычислительной инфраструктуре для локального развертывания моделей ИИ.</w:t>
      </w:r>
    </w:p>
    <w:p>
      <w:pPr>
        <w:pStyle w:val="Heading1"/>
      </w:pPr>
      <w:r>
        <w:t>3. Соответствие приоритетам СНТР, ПН и ВНТ</w:t>
      </w:r>
    </w:p>
    <w:p>
      <w:r>
        <w:t>Проект соответствует Стратегии научно-технологического развития Российской Федерации, утвержденной Указом Президента Российской Федерации от 28 февраля 2024 г. № 145, поскольку направлен на формирование технологической независимости в критически важной области доверенного ИИ, автономной робототехники, цифрового моделирования и защищенного управления техническими системами.</w:t>
      </w:r>
    </w:p>
    <w:p>
      <w:r>
        <w:t>В соответствии с Указом Президента Российской Федерации от 18 июня 2024 г. № 529 проект относится прежде всего к приоритетному направлению «Интеллектуальные транспортные и телекоммуникационные системы, включая автономные транспортные средства», а также затрагивает направление «Безопасность получения, хранения, передачи и обработки информации».</w:t>
      </w:r>
    </w:p>
    <w:tbl>
      <w:tblPr>
        <w:tblStyle w:val="TableGrid"/>
        <w:tblW w:type="auto" w:w="0"/>
        <w:tblLayout w:type="fixed"/>
        <w:tblLook w:firstColumn="1" w:firstRow="1" w:lastColumn="0" w:lastRow="0" w:noHBand="0" w:noVBand="1" w:val="04A0"/>
      </w:tblPr>
      <w:tblGrid>
        <w:gridCol w:w="4929"/>
        <w:gridCol w:w="4929"/>
      </w:tblGrid>
      <w:tr>
        <w:tc>
          <w:tcPr>
            <w:tcW w:type="dxa" w:w="2835"/>
            <w:shd w:fill="F4F6F9"/>
            <w:vAlign w:val="center"/>
            <w:tcMar>
              <w:top w:w="100" w:type="dxa"/>
              <w:start w:w="120" w:type="dxa"/>
              <w:bottom w:w="100" w:type="dxa"/>
              <w:end w:w="120" w:type="dxa"/>
            </w:tcMar>
          </w:tcPr>
          <w:p>
            <w:r>
              <w:rPr>
                <w:b/>
              </w:rPr>
              <w:t>Элемент приоритетов</w:t>
            </w:r>
          </w:p>
        </w:tc>
        <w:tc>
          <w:tcPr>
            <w:tcW w:type="dxa" w:w="6350"/>
            <w:shd w:fill="F4F6F9"/>
            <w:vAlign w:val="center"/>
            <w:tcMar>
              <w:top w:w="100" w:type="dxa"/>
              <w:start w:w="120" w:type="dxa"/>
              <w:bottom w:w="100" w:type="dxa"/>
              <w:end w:w="120" w:type="dxa"/>
            </w:tcMar>
          </w:tcPr>
          <w:p>
            <w:r>
              <w:rPr>
                <w:b/>
              </w:rPr>
              <w:t>Связь с проектом</w:t>
            </w:r>
          </w:p>
        </w:tc>
      </w:tr>
      <w:tr>
        <w:tc>
          <w:tcPr>
            <w:tcW w:type="dxa" w:w="2835"/>
            <w:vAlign w:val="center"/>
            <w:tcMar>
              <w:top w:w="100" w:type="dxa"/>
              <w:start w:w="120" w:type="dxa"/>
              <w:bottom w:w="100" w:type="dxa"/>
              <w:end w:w="120" w:type="dxa"/>
            </w:tcMar>
          </w:tcPr>
          <w:p>
            <w:r>
              <w:t>Интеллектуальные транспортные и телекоммуникационные системы, включая автономные транспортные средства</w:t>
            </w:r>
          </w:p>
        </w:tc>
        <w:tc>
          <w:tcPr>
            <w:tcW w:type="dxa" w:w="6350"/>
            <w:vAlign w:val="center"/>
            <w:tcMar>
              <w:top w:w="100" w:type="dxa"/>
              <w:start w:w="120" w:type="dxa"/>
              <w:bottom w:w="100" w:type="dxa"/>
              <w:end w:w="120" w:type="dxa"/>
            </w:tcMar>
          </w:tcPr>
          <w:p>
            <w:r>
              <w:t>Проект создает методы управления группами автономных мобильных роботов, беспилотных наземных и воздушных платформ, транспортных и сервисных робототехнических систем.</w:t>
            </w:r>
          </w:p>
        </w:tc>
      </w:tr>
      <w:tr>
        <w:tc>
          <w:tcPr>
            <w:tcW w:type="dxa" w:w="2835"/>
            <w:vAlign w:val="center"/>
            <w:tcMar>
              <w:top w:w="100" w:type="dxa"/>
              <w:start w:w="120" w:type="dxa"/>
              <w:bottom w:w="100" w:type="dxa"/>
              <w:end w:w="120" w:type="dxa"/>
            </w:tcMar>
          </w:tcPr>
          <w:p>
            <w:r>
              <w:t>Безопасность получения, хранения, передачи и обработки информации</w:t>
            </w:r>
          </w:p>
        </w:tc>
        <w:tc>
          <w:tcPr>
            <w:tcW w:type="dxa" w:w="6350"/>
            <w:vAlign w:val="center"/>
            <w:tcMar>
              <w:top w:w="100" w:type="dxa"/>
              <w:start w:w="120" w:type="dxa"/>
              <w:bottom w:w="100" w:type="dxa"/>
              <w:end w:w="120" w:type="dxa"/>
            </w:tcMar>
          </w:tcPr>
          <w:p>
            <w:r>
              <w:t>Предусмотрены локальное развертывание LLM, защищенная векторная база правил, аудит команд оператора, журналирование решений, контроль валидности JSON/DSL-команд и runtime safety-monitor.</w:t>
            </w:r>
          </w:p>
        </w:tc>
      </w:tr>
      <w:tr>
        <w:tc>
          <w:tcPr>
            <w:tcW w:type="dxa" w:w="2835"/>
            <w:vAlign w:val="center"/>
            <w:tcMar>
              <w:top w:w="100" w:type="dxa"/>
              <w:start w:w="120" w:type="dxa"/>
              <w:bottom w:w="100" w:type="dxa"/>
              <w:end w:w="120" w:type="dxa"/>
            </w:tcMar>
          </w:tcPr>
          <w:p>
            <w:r>
              <w:t>Технологии искусственного интеллекта в отраслях экономики и общественной безопасности</w:t>
            </w:r>
          </w:p>
        </w:tc>
        <w:tc>
          <w:tcPr>
            <w:tcW w:type="dxa" w:w="6350"/>
            <w:vAlign w:val="center"/>
            <w:tcMar>
              <w:top w:w="100" w:type="dxa"/>
              <w:start w:w="120" w:type="dxa"/>
              <w:bottom w:w="100" w:type="dxa"/>
              <w:end w:w="120" w:type="dxa"/>
            </w:tcMar>
          </w:tcPr>
          <w:p>
            <w:r>
              <w:t>LLM/RAG используется как ограниченный стратегический параметризатор формальных моделей, а не как неконтролируемый исполнитель команд.</w:t>
            </w:r>
          </w:p>
        </w:tc>
      </w:tr>
      <w:tr>
        <w:tc>
          <w:tcPr>
            <w:tcW w:type="dxa" w:w="2835"/>
            <w:vAlign w:val="center"/>
            <w:tcMar>
              <w:top w:w="100" w:type="dxa"/>
              <w:start w:w="120" w:type="dxa"/>
              <w:bottom w:w="100" w:type="dxa"/>
              <w:end w:w="120" w:type="dxa"/>
            </w:tcMar>
          </w:tcPr>
          <w:p>
            <w:r>
              <w:t>Транспортные технологии, включая беспилотные и автономные системы</w:t>
            </w:r>
          </w:p>
        </w:tc>
        <w:tc>
          <w:tcPr>
            <w:tcW w:type="dxa" w:w="6350"/>
            <w:vAlign w:val="center"/>
            <w:tcMar>
              <w:top w:w="100" w:type="dxa"/>
              <w:start w:w="120" w:type="dxa"/>
              <w:bottom w:w="100" w:type="dxa"/>
              <w:end w:w="120" w:type="dxa"/>
            </w:tcMar>
          </w:tcPr>
          <w:p>
            <w:r>
              <w:t>Результаты применимы к складским AMR, производственной логистике, БАС, сервисным роботам, роботизированным лабораториям и инспекционным комплексам.</w:t>
            </w:r>
          </w:p>
        </w:tc>
      </w:tr>
      <w:tr>
        <w:tc>
          <w:tcPr>
            <w:tcW w:type="dxa" w:w="2835"/>
            <w:vAlign w:val="center"/>
            <w:tcMar>
              <w:top w:w="100" w:type="dxa"/>
              <w:start w:w="120" w:type="dxa"/>
              <w:bottom w:w="100" w:type="dxa"/>
              <w:end w:w="120" w:type="dxa"/>
            </w:tcMar>
          </w:tcPr>
          <w:p>
            <w:r>
              <w:t>Доверенное и защищенное системное и прикладное программное обеспечение</w:t>
            </w:r>
          </w:p>
        </w:tc>
        <w:tc>
          <w:tcPr>
            <w:tcW w:type="dxa" w:w="6350"/>
            <w:vAlign w:val="center"/>
            <w:tcMar>
              <w:top w:w="100" w:type="dxa"/>
              <w:start w:w="120" w:type="dxa"/>
              <w:bottom w:w="100" w:type="dxa"/>
              <w:end w:w="120" w:type="dxa"/>
            </w:tcMar>
          </w:tcPr>
          <w:p>
            <w:r>
              <w:t>Целевой результат включает архитектуру доверенного программного контура, протоколы валидации, набор ограничений, guardrails и метрики надежности.</w:t>
            </w:r>
          </w:p>
        </w:tc>
      </w:tr>
    </w:tbl>
    <w:p/>
    <w:p>
      <w:pPr>
        <w:pStyle w:val="Heading1"/>
      </w:pPr>
      <w:r>
        <w:t>4. Цель, задачи и ожидаемые результаты проекта</w:t>
      </w:r>
    </w:p>
    <w:p>
      <w:r>
        <w:t>Цель проекта: разработать научные основы, программную платформу и экспериментальную методику доверенного управления коллективами автономных роботов в контуре human-in-the-loop, где естественно-языковые указания человека преобразуются в формально проверяемые параметры многоагентного управления.</w:t>
      </w:r>
    </w:p>
    <w:p>
      <w:r>
        <w:t>Ключевая научная гипотеза: естественно-языковая информация оператора о состоянии среды, приоритетах и ограничениях может быть использована безопасно и воспроизводимо, если LLM ограничена ролью стратегического параметризатора, а все ее выходы проходят схематическую, логическую, алгоритмическую и имитационную проверку до влияния на поведение роботов.</w:t>
      </w:r>
    </w:p>
    <w:p>
      <w:r>
        <w:t>Основные задачи проекта:</w:t>
      </w:r>
    </w:p>
    <w:p>
      <w:pPr>
        <w:pStyle w:val="ListBullet"/>
      </w:pPr>
      <w:r>
        <w:t>создать формальный язык команд оператора для ограничений, приоритетов, зон, маршрутов, рисков и нештатных ситуаций;</w:t>
      </w:r>
    </w:p>
    <w:p>
      <w:pPr>
        <w:pStyle w:val="ListBullet"/>
      </w:pPr>
      <w:r>
        <w:t>разработать систему параметров, связывающую естественно-языковые указания с задачами MRTA, MAPF, congestion game, локального управления и safety-monitor;</w:t>
      </w:r>
    </w:p>
    <w:p>
      <w:pPr>
        <w:pStyle w:val="ListBullet"/>
      </w:pPr>
      <w:r>
        <w:t>разработать RAG-контур на доверенной базе правил эксплуатации и локально развернутых языковых моделях;</w:t>
      </w:r>
    </w:p>
    <w:p>
      <w:pPr>
        <w:pStyle w:val="ListBullet"/>
      </w:pPr>
      <w:r>
        <w:t>создать децентрализованную архитектуру, где каждый робот принимает локальные решения, а координатор управляет сетью, правилами и обменом сообщений;</w:t>
      </w:r>
    </w:p>
    <w:p>
      <w:pPr>
        <w:pStyle w:val="ListBullet"/>
      </w:pPr>
      <w:r>
        <w:t>разработать методики формальной и экспериментальной валидации безопасности, устойчивости и нефункциональных характеристик;</w:t>
      </w:r>
    </w:p>
    <w:p>
      <w:pPr>
        <w:pStyle w:val="ListBullet"/>
      </w:pPr>
      <w:r>
        <w:t>сформировать доверенные датасеты команд, сценариев, параметров, траекторий, телеметрии и результатов выполнения задач;</w:t>
      </w:r>
    </w:p>
    <w:p>
      <w:pPr>
        <w:pStyle w:val="ListBullet"/>
      </w:pPr>
      <w:r>
        <w:t>создать MVP и отраслевые демонстраторы для производственной логистики, складской робототехники, БАС и роботизированных научных лабораторий.</w:t>
      </w:r>
    </w:p>
    <w:p>
      <w:r>
        <w:t>Ожидаемые результаты:</w:t>
      </w:r>
    </w:p>
    <w:p>
      <w:pPr>
        <w:pStyle w:val="ListBullet"/>
      </w:pPr>
      <w:r>
        <w:t>программная платформа доверенного LLM/RAG-параметрического управления многоагентными роботами;</w:t>
      </w:r>
    </w:p>
    <w:p>
      <w:pPr>
        <w:pStyle w:val="ListBullet"/>
      </w:pPr>
      <w:r>
        <w:t>открываемый для партнеров набор доверенных датасетов и протоколов экспериментов;</w:t>
      </w:r>
    </w:p>
    <w:p>
      <w:pPr>
        <w:pStyle w:val="ListBullet"/>
      </w:pPr>
      <w:r>
        <w:t>методика оценки вклада LLM по сравнению с rule-based, MAPF/MRTA и оптимизационными baseline;</w:t>
      </w:r>
    </w:p>
    <w:p>
      <w:pPr>
        <w:pStyle w:val="ListBullet"/>
      </w:pPr>
      <w:r>
        <w:t>симуляционные и физические демонстраторы с 5-20 роботами в динамической среде;</w:t>
      </w:r>
    </w:p>
    <w:p>
      <w:pPr>
        <w:pStyle w:val="ListBullet"/>
      </w:pPr>
      <w:r>
        <w:t>набор спецификаций JSON/DSL, ограничений, guardrails, журналов аудита и протоколов отказоустойчивости;</w:t>
      </w:r>
    </w:p>
    <w:p>
      <w:pPr>
        <w:pStyle w:val="ListBullet"/>
      </w:pPr>
      <w:r>
        <w:t>рекомендации по стандартизации интерфейсов человеко-машинного управления автономными роботами.</w:t>
      </w:r>
    </w:p>
    <w:p>
      <w:pPr>
        <w:pStyle w:val="Heading1"/>
      </w:pPr>
      <w:r>
        <w:t>5. Соответствие критериям отбора пилотных проектов РГ по ИИ</w:t>
      </w:r>
    </w:p>
    <w:p>
      <w:pPr>
        <w:pStyle w:val="Heading2"/>
      </w:pPr>
      <w:r>
        <w:t>5.1. Доказанный мировой эффект применения ИИ либо наличие российских коллективов мирового уровня</w:t>
      </w:r>
    </w:p>
    <w:p>
      <w:r>
        <w:t>Мировой опыт подтверждает быстрое развитие LLM-агентов, embodied AI, робототехнического планирования, retrieval-augmented generation и нейросимволических методов. Однако прямое применение LLM для управления роботами остается рискованным. Предлагаемый проект закрывает этот разрыв за счет ограниченной роли LLM и формальной проверки ее влияния на контур управления.</w:t>
      </w:r>
    </w:p>
    <w:p>
      <w:r>
        <w:t>В Российской Федерации имеются сильные научные школы по системному программированию, искусственному интеллекту, робототехнике, теории управления, беспилотным системам и цифровому моделированию. Проект может стать интеграционной площадкой для консолидации этих заделов вокруг доверенного ИИ для автономных технических систем.</w:t>
      </w:r>
    </w:p>
    <w:p>
      <w:pPr>
        <w:pStyle w:val="Heading2"/>
      </w:pPr>
      <w:r>
        <w:t>5.2. Измеримый эффект в горизонте 2-3 лет и MVP до 6 месяцев</w:t>
      </w:r>
    </w:p>
    <w:p>
      <w:r>
        <w:t>MVP за 6 месяцев включает симуляционную среду, локальную LLM, RAG-базу правил, формальную JSON/DSL-схему, набор сценариев, 5-10 роботов в цифровом двойнике, журналы принятия решений и первичное сравнение с baseline. В горизонте 2-3 лет предполагается переход к физическим стендам, отраслевым сценариям и сертифицируемым методикам валидации.</w:t>
      </w:r>
    </w:p>
    <w:tbl>
      <w:tblPr>
        <w:tblStyle w:val="TableGrid"/>
        <w:tblW w:type="auto" w:w="0"/>
        <w:tblLayout w:type="fixed"/>
        <w:tblLook w:firstColumn="1" w:firstRow="1" w:lastColumn="0" w:lastRow="0" w:noHBand="0" w:noVBand="1" w:val="04A0"/>
      </w:tblPr>
      <w:tblGrid>
        <w:gridCol w:w="4929"/>
        <w:gridCol w:w="4929"/>
      </w:tblGrid>
      <w:tr>
        <w:tc>
          <w:tcPr>
            <w:tcW w:type="dxa" w:w="3515"/>
            <w:shd w:fill="F4F6F9"/>
            <w:vAlign w:val="center"/>
            <w:tcMar>
              <w:top w:w="100" w:type="dxa"/>
              <w:start w:w="120" w:type="dxa"/>
              <w:bottom w:w="100" w:type="dxa"/>
              <w:end w:w="120" w:type="dxa"/>
            </w:tcMar>
          </w:tcPr>
          <w:p>
            <w:r>
              <w:rPr>
                <w:b/>
              </w:rPr>
              <w:t>Показатель</w:t>
            </w:r>
          </w:p>
        </w:tc>
        <w:tc>
          <w:tcPr>
            <w:tcW w:type="dxa" w:w="5669"/>
            <w:shd w:fill="F4F6F9"/>
            <w:vAlign w:val="center"/>
            <w:tcMar>
              <w:top w:w="100" w:type="dxa"/>
              <w:start w:w="120" w:type="dxa"/>
              <w:bottom w:w="100" w:type="dxa"/>
              <w:end w:w="120" w:type="dxa"/>
            </w:tcMar>
          </w:tcPr>
          <w:p>
            <w:r>
              <w:rPr>
                <w:b/>
              </w:rPr>
              <w:t>Целевое значение пилота</w:t>
            </w:r>
          </w:p>
        </w:tc>
      </w:tr>
      <w:tr>
        <w:tc>
          <w:tcPr>
            <w:tcW w:type="dxa" w:w="3515"/>
            <w:vAlign w:val="center"/>
            <w:tcMar>
              <w:top w:w="100" w:type="dxa"/>
              <w:start w:w="120" w:type="dxa"/>
              <w:bottom w:w="100" w:type="dxa"/>
              <w:end w:w="120" w:type="dxa"/>
            </w:tcMar>
          </w:tcPr>
          <w:p>
            <w:r>
              <w:t>Сокращение времени перенастройки правила эксплуатации</w:t>
            </w:r>
          </w:p>
        </w:tc>
        <w:tc>
          <w:tcPr>
            <w:tcW w:type="dxa" w:w="5669"/>
            <w:vAlign w:val="center"/>
            <w:tcMar>
              <w:top w:w="100" w:type="dxa"/>
              <w:start w:w="120" w:type="dxa"/>
              <w:bottom w:w="100" w:type="dxa"/>
              <w:end w:w="120" w:type="dxa"/>
            </w:tcMar>
          </w:tcPr>
          <w:p>
            <w:r>
              <w:t>не менее чем на 40-60% относительно ручной настройки параметров</w:t>
            </w:r>
          </w:p>
        </w:tc>
      </w:tr>
      <w:tr>
        <w:tc>
          <w:tcPr>
            <w:tcW w:type="dxa" w:w="3515"/>
            <w:vAlign w:val="center"/>
            <w:tcMar>
              <w:top w:w="100" w:type="dxa"/>
              <w:start w:w="120" w:type="dxa"/>
              <w:bottom w:w="100" w:type="dxa"/>
              <w:end w:w="120" w:type="dxa"/>
            </w:tcMar>
          </w:tcPr>
          <w:p>
            <w:r>
              <w:t>Снижение числа конфликтов маршрутов в динамической среде</w:t>
            </w:r>
          </w:p>
        </w:tc>
        <w:tc>
          <w:tcPr>
            <w:tcW w:type="dxa" w:w="5669"/>
            <w:vAlign w:val="center"/>
            <w:tcMar>
              <w:top w:w="100" w:type="dxa"/>
              <w:start w:w="120" w:type="dxa"/>
              <w:bottom w:w="100" w:type="dxa"/>
              <w:end w:w="120" w:type="dxa"/>
            </w:tcMar>
          </w:tcPr>
          <w:p>
            <w:r>
              <w:t>не менее чем на 15-25% относительно статической политики</w:t>
            </w:r>
          </w:p>
        </w:tc>
      </w:tr>
      <w:tr>
        <w:tc>
          <w:tcPr>
            <w:tcW w:type="dxa" w:w="3515"/>
            <w:vAlign w:val="center"/>
            <w:tcMar>
              <w:top w:w="100" w:type="dxa"/>
              <w:start w:w="120" w:type="dxa"/>
              <w:bottom w:w="100" w:type="dxa"/>
              <w:end w:w="120" w:type="dxa"/>
            </w:tcMar>
          </w:tcPr>
          <w:p>
            <w:r>
              <w:t>Доля валидных LLM-ответов после guardrails</w:t>
            </w:r>
          </w:p>
        </w:tc>
        <w:tc>
          <w:tcPr>
            <w:tcW w:type="dxa" w:w="5669"/>
            <w:vAlign w:val="center"/>
            <w:tcMar>
              <w:top w:w="100" w:type="dxa"/>
              <w:start w:w="120" w:type="dxa"/>
              <w:bottom w:w="100" w:type="dxa"/>
              <w:end w:w="120" w:type="dxa"/>
            </w:tcMar>
          </w:tcPr>
          <w:p>
            <w:r>
              <w:t>не менее 95% для обученного набора команд</w:t>
            </w:r>
          </w:p>
        </w:tc>
      </w:tr>
      <w:tr>
        <w:tc>
          <w:tcPr>
            <w:tcW w:type="dxa" w:w="3515"/>
            <w:vAlign w:val="center"/>
            <w:tcMar>
              <w:top w:w="100" w:type="dxa"/>
              <w:start w:w="120" w:type="dxa"/>
              <w:bottom w:w="100" w:type="dxa"/>
              <w:end w:w="120" w:type="dxa"/>
            </w:tcMar>
          </w:tcPr>
          <w:p>
            <w:r>
              <w:t>Время стратегического пересчета</w:t>
            </w:r>
          </w:p>
        </w:tc>
        <w:tc>
          <w:tcPr>
            <w:tcW w:type="dxa" w:w="5669"/>
            <w:vAlign w:val="center"/>
            <w:tcMar>
              <w:top w:w="100" w:type="dxa"/>
              <w:start w:w="120" w:type="dxa"/>
              <w:bottom w:w="100" w:type="dxa"/>
              <w:end w:w="120" w:type="dxa"/>
            </w:tcMar>
          </w:tcPr>
          <w:p>
            <w:r>
              <w:t>не чаще 1 раза в 30-120 с; асинхронно, без остановки локального управления</w:t>
            </w:r>
          </w:p>
        </w:tc>
      </w:tr>
      <w:tr>
        <w:tc>
          <w:tcPr>
            <w:tcW w:type="dxa" w:w="3515"/>
            <w:vAlign w:val="center"/>
            <w:tcMar>
              <w:top w:w="100" w:type="dxa"/>
              <w:start w:w="120" w:type="dxa"/>
              <w:bottom w:w="100" w:type="dxa"/>
              <w:end w:w="120" w:type="dxa"/>
            </w:tcMar>
          </w:tcPr>
          <w:p>
            <w:r>
              <w:t>Покрытие тестовых классов команд</w:t>
            </w:r>
          </w:p>
        </w:tc>
        <w:tc>
          <w:tcPr>
            <w:tcW w:type="dxa" w:w="5669"/>
            <w:vAlign w:val="center"/>
            <w:tcMar>
              <w:top w:w="100" w:type="dxa"/>
              <w:start w:w="120" w:type="dxa"/>
              <w:bottom w:w="100" w:type="dxa"/>
              <w:end w:w="120" w:type="dxa"/>
            </w:tcMar>
          </w:tcPr>
          <w:p>
            <w:r>
              <w:t>не менее 100 типовых команд и 20 нештатных сценариев на MVP</w:t>
            </w:r>
          </w:p>
        </w:tc>
      </w:tr>
    </w:tbl>
    <w:p/>
    <w:p>
      <w:pPr>
        <w:pStyle w:val="Heading2"/>
      </w:pPr>
      <w:r>
        <w:t>5.3. Эффект в показателях сокращения времени и стоимости исследований и разработок</w:t>
      </w:r>
    </w:p>
    <w:p>
      <w:r>
        <w:t>Проект снижает стоимость разработки и перенастройки робототехнических систем за счет перехода от ручного программирования эксплуатационных правил к их формализуемому естественно-языковому описанию. Измеряемый эффект выражается в сокращении времени подготовки сценариев, времени изменения правил, числа ручных правок кода, числа регрессионных ошибок и затрат на проверку безопасности новых режимов.</w:t>
      </w:r>
    </w:p>
    <w:p>
      <w:pPr>
        <w:pStyle w:val="Heading2"/>
      </w:pPr>
      <w:r>
        <w:t>5.4. Возможность создания доверенных датасетов и отечественных моделей ИИ</w:t>
      </w:r>
    </w:p>
    <w:p>
      <w:r>
        <w:t>В рамках проекта формируются доверенные датасеты: корпус русскоязычных команд оператора; база правил эксплуатации; пары «команда - извлеченные правила - формальные параметры - результат поведения системы»; логи симуляционных и физических экспериментов; датасеты отказов, конфликтов и противоречивых команд. Данные позволяют дообучать и валидировать отечественные и локально развертываемые языковые модели для инженерных применений.</w:t>
      </w:r>
    </w:p>
    <w:p>
      <w:pPr>
        <w:pStyle w:val="Heading2"/>
      </w:pPr>
      <w:r>
        <w:t>5.5. Наличие индустриального партнера и потенциал трансфера</w:t>
      </w:r>
    </w:p>
    <w:p>
      <w:r>
        <w:t>Потенциальные индустриальные области: производственная логистика, склады, роботизированные фабрики, беспилотные авиационные системы, инспекция объектов инфраструктуры, автономные лаборатории, транспортные коридоры предприятий, сервисная робототехника. Для запуска проекта требуется закрепление одного или нескольких партнеров, предоставляющих сценарии, ограничения эксплуатации, тестовые площадки и критерии приемки.</w:t>
      </w:r>
    </w:p>
    <w:p>
      <w:pPr>
        <w:pStyle w:val="Heading2"/>
      </w:pPr>
      <w:r>
        <w:t>5.6. Связь с мегасайенс-инфраструктурой</w:t>
      </w:r>
    </w:p>
    <w:p>
      <w:r>
        <w:t>Прямая зависимость от мегасайенс-инфраструктуры отсутствует. Косвенная связь возможна через роботизированные лаборатории, автономное обслуживание экспериментальных установок, безопасную логистику образцов, дистанционную инспекцию и цифровые двойники сложных научных объектов.</w:t>
      </w:r>
    </w:p>
    <w:p>
      <w:pPr>
        <w:pStyle w:val="Heading1"/>
      </w:pPr>
      <w:r>
        <w:t>6. Заделы Российской Федерации и зарубежные прототипы</w:t>
      </w:r>
    </w:p>
    <w:p>
      <w:r>
        <w:t>Научно-технический задел проекта включает методы многоагентного распределения задач, аукционные протоколы, Contract Net Protocol, congestion games, multi-agent path finding, локальное избегание столкновений, формальные ограничения безопасности, RAG, локальные языковые модели и цифровое моделирование в Webots/Gazebo/ROS 2/Isaac Sim.</w:t>
      </w:r>
    </w:p>
    <w:p>
      <w:r>
        <w:t>Зарубежные прототипы и близкие направления включают LLM-планирование для робототехники, embodied AI, Open-RMF, fleet management для AMR, warehouse robotics, SayCan/RT-подходы, нейросимволические агенты и runtime safety mechanisms. Отличие предлагаемого проекта состоит в том, что LLM не является непосредственным планировщиком траекторий или контроллером робота. Ее роль ограничена параметризацией формальных моделей, а безопасность обеспечивается независимыми слоями валидации.</w:t>
      </w:r>
    </w:p>
    <w:tbl>
      <w:tblPr>
        <w:tblStyle w:val="TableGrid"/>
        <w:tblW w:type="auto" w:w="0"/>
        <w:tblLayout w:type="fixed"/>
        <w:tblLook w:firstColumn="1" w:firstRow="1" w:lastColumn="0" w:lastRow="0" w:noHBand="0" w:noVBand="1" w:val="04A0"/>
      </w:tblPr>
      <w:tblGrid>
        <w:gridCol w:w="3286"/>
        <w:gridCol w:w="3286"/>
        <w:gridCol w:w="3286"/>
      </w:tblGrid>
      <w:tr>
        <w:tc>
          <w:tcPr>
            <w:tcW w:type="dxa" w:w="2098"/>
            <w:shd w:fill="F4F6F9"/>
            <w:vAlign w:val="center"/>
            <w:tcMar>
              <w:top w:w="100" w:type="dxa"/>
              <w:start w:w="120" w:type="dxa"/>
              <w:bottom w:w="100" w:type="dxa"/>
              <w:end w:w="120" w:type="dxa"/>
            </w:tcMar>
          </w:tcPr>
          <w:p>
            <w:r>
              <w:rPr>
                <w:b/>
              </w:rPr>
              <w:t>Компонент</w:t>
            </w:r>
          </w:p>
        </w:tc>
        <w:tc>
          <w:tcPr>
            <w:tcW w:type="dxa" w:w="3402"/>
            <w:shd w:fill="F4F6F9"/>
            <w:vAlign w:val="center"/>
            <w:tcMar>
              <w:top w:w="100" w:type="dxa"/>
              <w:start w:w="120" w:type="dxa"/>
              <w:bottom w:w="100" w:type="dxa"/>
              <w:end w:w="120" w:type="dxa"/>
            </w:tcMar>
          </w:tcPr>
          <w:p>
            <w:r>
              <w:rPr>
                <w:b/>
              </w:rPr>
              <w:t>Исследовательская роль</w:t>
            </w:r>
          </w:p>
        </w:tc>
        <w:tc>
          <w:tcPr>
            <w:tcW w:type="dxa" w:w="3685"/>
            <w:shd w:fill="F4F6F9"/>
            <w:vAlign w:val="center"/>
            <w:tcMar>
              <w:top w:w="100" w:type="dxa"/>
              <w:start w:w="120" w:type="dxa"/>
              <w:bottom w:w="100" w:type="dxa"/>
              <w:end w:w="120" w:type="dxa"/>
            </w:tcMar>
          </w:tcPr>
          <w:p>
            <w:r>
              <w:rPr>
                <w:b/>
              </w:rPr>
              <w:t>Технологический результат</w:t>
            </w:r>
          </w:p>
        </w:tc>
      </w:tr>
      <w:tr>
        <w:tc>
          <w:tcPr>
            <w:tcW w:type="dxa" w:w="2098"/>
            <w:vAlign w:val="center"/>
            <w:tcMar>
              <w:top w:w="100" w:type="dxa"/>
              <w:start w:w="120" w:type="dxa"/>
              <w:bottom w:w="100" w:type="dxa"/>
              <w:end w:w="120" w:type="dxa"/>
            </w:tcMar>
          </w:tcPr>
          <w:p>
            <w:r>
              <w:t>LLM/RAG</w:t>
            </w:r>
          </w:p>
        </w:tc>
        <w:tc>
          <w:tcPr>
            <w:tcW w:type="dxa" w:w="3402"/>
            <w:vAlign w:val="center"/>
            <w:tcMar>
              <w:top w:w="100" w:type="dxa"/>
              <w:start w:w="120" w:type="dxa"/>
              <w:bottom w:w="100" w:type="dxa"/>
              <w:end w:w="120" w:type="dxa"/>
            </w:tcMar>
          </w:tcPr>
          <w:p>
            <w:r>
              <w:t>семантическое извлечение намерения оператора и релевантных правил</w:t>
            </w:r>
          </w:p>
        </w:tc>
        <w:tc>
          <w:tcPr>
            <w:tcW w:type="dxa" w:w="3685"/>
            <w:vAlign w:val="center"/>
            <w:tcMar>
              <w:top w:w="100" w:type="dxa"/>
              <w:start w:w="120" w:type="dxa"/>
              <w:bottom w:w="100" w:type="dxa"/>
              <w:end w:w="120" w:type="dxa"/>
            </w:tcMar>
          </w:tcPr>
          <w:p>
            <w:r>
              <w:t>локально развертываемый стратегический параметризатор</w:t>
            </w:r>
          </w:p>
        </w:tc>
      </w:tr>
      <w:tr>
        <w:tc>
          <w:tcPr>
            <w:tcW w:type="dxa" w:w="2098"/>
            <w:vAlign w:val="center"/>
            <w:tcMar>
              <w:top w:w="100" w:type="dxa"/>
              <w:start w:w="120" w:type="dxa"/>
              <w:bottom w:w="100" w:type="dxa"/>
              <w:end w:w="120" w:type="dxa"/>
            </w:tcMar>
          </w:tcPr>
          <w:p>
            <w:r>
              <w:t>Формальная модель</w:t>
            </w:r>
          </w:p>
        </w:tc>
        <w:tc>
          <w:tcPr>
            <w:tcW w:type="dxa" w:w="3402"/>
            <w:vAlign w:val="center"/>
            <w:tcMar>
              <w:top w:w="100" w:type="dxa"/>
              <w:start w:w="120" w:type="dxa"/>
              <w:bottom w:w="100" w:type="dxa"/>
              <w:end w:w="120" w:type="dxa"/>
            </w:tcMar>
          </w:tcPr>
          <w:p>
            <w:r>
              <w:t>ограничение пространства допустимых решений и проверяемая связь с целевой функцией</w:t>
            </w:r>
          </w:p>
        </w:tc>
        <w:tc>
          <w:tcPr>
            <w:tcW w:type="dxa" w:w="3685"/>
            <w:vAlign w:val="center"/>
            <w:tcMar>
              <w:top w:w="100" w:type="dxa"/>
              <w:start w:w="120" w:type="dxa"/>
              <w:bottom w:w="100" w:type="dxa"/>
              <w:end w:w="120" w:type="dxa"/>
            </w:tcMar>
          </w:tcPr>
          <w:p>
            <w:r>
              <w:t>JSON/DSL-схема, логические ограничения, runtime validation</w:t>
            </w:r>
          </w:p>
        </w:tc>
      </w:tr>
      <w:tr>
        <w:tc>
          <w:tcPr>
            <w:tcW w:type="dxa" w:w="2098"/>
            <w:vAlign w:val="center"/>
            <w:tcMar>
              <w:top w:w="100" w:type="dxa"/>
              <w:start w:w="120" w:type="dxa"/>
              <w:bottom w:w="100" w:type="dxa"/>
              <w:end w:w="120" w:type="dxa"/>
            </w:tcMar>
          </w:tcPr>
          <w:p>
            <w:r>
              <w:t>Многоагентное управление</w:t>
            </w:r>
          </w:p>
        </w:tc>
        <w:tc>
          <w:tcPr>
            <w:tcW w:type="dxa" w:w="3402"/>
            <w:vAlign w:val="center"/>
            <w:tcMar>
              <w:top w:w="100" w:type="dxa"/>
              <w:start w:w="120" w:type="dxa"/>
              <w:bottom w:w="100" w:type="dxa"/>
              <w:end w:w="120" w:type="dxa"/>
            </w:tcMar>
          </w:tcPr>
          <w:p>
            <w:r>
              <w:t>распределение задач и маршрутов без централизованного ручного водителя</w:t>
            </w:r>
          </w:p>
        </w:tc>
        <w:tc>
          <w:tcPr>
            <w:tcW w:type="dxa" w:w="3685"/>
            <w:vAlign w:val="center"/>
            <w:tcMar>
              <w:top w:w="100" w:type="dxa"/>
              <w:start w:w="120" w:type="dxa"/>
              <w:bottom w:w="100" w:type="dxa"/>
              <w:end w:w="120" w:type="dxa"/>
            </w:tcMar>
          </w:tcPr>
          <w:p>
            <w:r>
              <w:t>децентрализованный обмен сообщениями и координация сети роботов</w:t>
            </w:r>
          </w:p>
        </w:tc>
      </w:tr>
      <w:tr>
        <w:tc>
          <w:tcPr>
            <w:tcW w:type="dxa" w:w="2098"/>
            <w:vAlign w:val="center"/>
            <w:tcMar>
              <w:top w:w="100" w:type="dxa"/>
              <w:start w:w="120" w:type="dxa"/>
              <w:bottom w:w="100" w:type="dxa"/>
              <w:end w:w="120" w:type="dxa"/>
            </w:tcMar>
          </w:tcPr>
          <w:p>
            <w:r>
              <w:t>Safety-monitor</w:t>
            </w:r>
          </w:p>
        </w:tc>
        <w:tc>
          <w:tcPr>
            <w:tcW w:type="dxa" w:w="3402"/>
            <w:vAlign w:val="center"/>
            <w:tcMar>
              <w:top w:w="100" w:type="dxa"/>
              <w:start w:w="120" w:type="dxa"/>
              <w:bottom w:w="100" w:type="dxa"/>
              <w:end w:w="120" w:type="dxa"/>
            </w:tcMar>
          </w:tcPr>
          <w:p>
            <w:r>
              <w:t>исключение опасных команд, зон, скоростей и конфликтов</w:t>
            </w:r>
          </w:p>
        </w:tc>
        <w:tc>
          <w:tcPr>
            <w:tcW w:type="dxa" w:w="3685"/>
            <w:vAlign w:val="center"/>
            <w:tcMar>
              <w:top w:w="100" w:type="dxa"/>
              <w:start w:w="120" w:type="dxa"/>
              <w:bottom w:w="100" w:type="dxa"/>
              <w:end w:w="120" w:type="dxa"/>
            </w:tcMar>
          </w:tcPr>
          <w:p>
            <w:r>
              <w:t>отказоустойчивый контур с fallback-политиками</w:t>
            </w:r>
          </w:p>
        </w:tc>
      </w:tr>
    </w:tbl>
    <w:p/>
    <w:p>
      <w:pPr>
        <w:pStyle w:val="Heading1"/>
      </w:pPr>
      <w:r>
        <w:t>7. Требования к данным и вычислительной инфраструктуре</w:t>
      </w:r>
    </w:p>
    <w:p>
      <w:r>
        <w:t>Типы данных:</w:t>
      </w:r>
    </w:p>
    <w:p>
      <w:pPr>
        <w:pStyle w:val="ListBullet"/>
      </w:pPr>
      <w:r>
        <w:t>текстовые команды, замечания и ограничения оператора на русском языке;</w:t>
      </w:r>
    </w:p>
    <w:p>
      <w:pPr>
        <w:pStyle w:val="ListBullet"/>
      </w:pPr>
      <w:r>
        <w:t>формальные правила эксплуатации зон, маршрутов, приоритетов, отказов и безопасности;</w:t>
      </w:r>
    </w:p>
    <w:p>
      <w:pPr>
        <w:pStyle w:val="ListBullet"/>
      </w:pPr>
      <w:r>
        <w:t>симуляционная телеметрия роботов: координаты, скорости, маршруты, события, коллизии, ожидания, энергопотребление;</w:t>
      </w:r>
    </w:p>
    <w:p>
      <w:pPr>
        <w:pStyle w:val="ListBullet"/>
      </w:pPr>
      <w:r>
        <w:t>результаты принятия решений: retrieved documents, prompt, ответ LLM, guardrails, итоговые параметры, fallback;</w:t>
      </w:r>
    </w:p>
    <w:p>
      <w:pPr>
        <w:pStyle w:val="ListBullet"/>
      </w:pPr>
      <w:r>
        <w:t>физические данные стендов: сенсоры, одометрия, состояние связи, задержки, ошибки локализации, эксплуатационные инциденты.</w:t>
      </w:r>
    </w:p>
    <w:p>
      <w:r>
        <w:t>Предварительный объем данных на этап MVP: 50-200 ГБ симуляционных логов и корпуса команд. На этапе пилота: 1-5 ТБ данных цифровых двойников и физических стендов, включая версии датасетов для обучения, валидации и сертификационных испытаний.</w:t>
      </w:r>
    </w:p>
    <w:p>
      <w:r>
        <w:t>Вычислительная инфраструктура: локальное развертывание LLM и embedding-моделей, серверы с GPU для обучения и дообучения, хранилище телеметрии, векторная СУБД для правил, контур CI/CD для симуляционных экспериментов, стенд робототехнических платформ и защищенный журнал аудита решений.</w:t>
      </w:r>
    </w:p>
    <w:p>
      <w:pPr>
        <w:pStyle w:val="Heading1"/>
      </w:pPr>
      <w:r>
        <w:t>8. Индустриальные партнеры</w:t>
      </w:r>
    </w:p>
    <w:p>
      <w:r>
        <w:t>Статус: потенциальные партнеры подлежат подтверждению. Наиболее релевантны организации, эксплуатирующие или разрабатывающие мобильных роботов, БАС, складскую автоматику, производственную логистику, цифровые двойники и системы управления критически важными объектами.</w:t>
      </w:r>
    </w:p>
    <w:p>
      <w:r>
        <w:t>Возможные формы участия индустриального партнера:</w:t>
      </w:r>
    </w:p>
    <w:p>
      <w:pPr>
        <w:pStyle w:val="ListBullet"/>
      </w:pPr>
      <w:r>
        <w:t>предоставление типовых и нештатных сценариев эксплуатации;</w:t>
      </w:r>
    </w:p>
    <w:p>
      <w:pPr>
        <w:pStyle w:val="ListBullet"/>
      </w:pPr>
      <w:r>
        <w:t>предоставление требований к безопасности, задержкам, надежности и интерфейсам;</w:t>
      </w:r>
    </w:p>
    <w:p>
      <w:pPr>
        <w:pStyle w:val="ListBullet"/>
      </w:pPr>
      <w:r>
        <w:t>участие в приемочных испытаниях MVP и пилотной платформы;</w:t>
      </w:r>
    </w:p>
    <w:p>
      <w:pPr>
        <w:pStyle w:val="ListBullet"/>
      </w:pPr>
      <w:r>
        <w:t>совместное формирование доверенных датасетов и закрытых отраслевых benchmark;</w:t>
      </w:r>
    </w:p>
    <w:p>
      <w:pPr>
        <w:pStyle w:val="ListBullet"/>
      </w:pPr>
      <w:r>
        <w:t>предоставление робототехнического оборудования или тестовой зоны;</w:t>
      </w:r>
    </w:p>
    <w:p>
      <w:pPr>
        <w:pStyle w:val="ListBullet"/>
      </w:pPr>
      <w:r>
        <w:t>трансфер результатов в программные продукты, цифровые двойники и системы fleet management.</w:t>
      </w:r>
    </w:p>
    <w:p>
      <w:pPr>
        <w:pStyle w:val="Heading1"/>
      </w:pPr>
      <w:r>
        <w:t>9. Параметры реализации: сроки и финансирование</w:t>
      </w:r>
    </w:p>
    <w:p>
      <w:r>
        <w:t>Предлагаемый горизонт реализации: 2027-2030 гг. с выделением MVP в первые 6 месяцев. Сроки и бюджет являются предварительными и должны быть уточнены после утверждения состава консорциума, оборудования и индустриальных сценариев.</w:t>
      </w:r>
    </w:p>
    <w:tbl>
      <w:tblPr>
        <w:tblStyle w:val="TableGrid"/>
        <w:tblW w:type="auto" w:w="0"/>
        <w:tblLayout w:type="fixed"/>
        <w:tblLook w:firstColumn="1" w:firstRow="1" w:lastColumn="0" w:lastRow="0" w:noHBand="0" w:noVBand="1" w:val="04A0"/>
      </w:tblPr>
      <w:tblGrid>
        <w:gridCol w:w="3286"/>
        <w:gridCol w:w="3286"/>
        <w:gridCol w:w="3286"/>
      </w:tblGrid>
      <w:tr>
        <w:tc>
          <w:tcPr>
            <w:tcW w:type="dxa" w:w="1701"/>
            <w:shd w:fill="F4F6F9"/>
            <w:vAlign w:val="center"/>
            <w:tcMar>
              <w:top w:w="100" w:type="dxa"/>
              <w:start w:w="120" w:type="dxa"/>
              <w:bottom w:w="100" w:type="dxa"/>
              <w:end w:w="120" w:type="dxa"/>
            </w:tcMar>
          </w:tcPr>
          <w:p>
            <w:r>
              <w:rPr>
                <w:b/>
              </w:rPr>
              <w:t>Этап</w:t>
            </w:r>
          </w:p>
        </w:tc>
        <w:tc>
          <w:tcPr>
            <w:tcW w:type="dxa" w:w="1701"/>
            <w:shd w:fill="F4F6F9"/>
            <w:vAlign w:val="center"/>
            <w:tcMar>
              <w:top w:w="100" w:type="dxa"/>
              <w:start w:w="120" w:type="dxa"/>
              <w:bottom w:w="100" w:type="dxa"/>
              <w:end w:w="120" w:type="dxa"/>
            </w:tcMar>
          </w:tcPr>
          <w:p>
            <w:r>
              <w:rPr>
                <w:b/>
              </w:rPr>
              <w:t>Срок</w:t>
            </w:r>
          </w:p>
        </w:tc>
        <w:tc>
          <w:tcPr>
            <w:tcW w:type="dxa" w:w="5783"/>
            <w:shd w:fill="F4F6F9"/>
            <w:vAlign w:val="center"/>
            <w:tcMar>
              <w:top w:w="100" w:type="dxa"/>
              <w:start w:w="120" w:type="dxa"/>
              <w:bottom w:w="100" w:type="dxa"/>
              <w:end w:w="120" w:type="dxa"/>
            </w:tcMar>
          </w:tcPr>
          <w:p>
            <w:r>
              <w:rPr>
                <w:b/>
              </w:rPr>
              <w:t>Ключевые результаты</w:t>
            </w:r>
          </w:p>
        </w:tc>
      </w:tr>
      <w:tr>
        <w:tc>
          <w:tcPr>
            <w:tcW w:type="dxa" w:w="1701"/>
            <w:vAlign w:val="center"/>
            <w:tcMar>
              <w:top w:w="100" w:type="dxa"/>
              <w:start w:w="120" w:type="dxa"/>
              <w:bottom w:w="100" w:type="dxa"/>
              <w:end w:w="120" w:type="dxa"/>
            </w:tcMar>
          </w:tcPr>
          <w:p>
            <w:r>
              <w:t>MVP</w:t>
            </w:r>
          </w:p>
        </w:tc>
        <w:tc>
          <w:tcPr>
            <w:tcW w:type="dxa" w:w="1701"/>
            <w:vAlign w:val="center"/>
            <w:tcMar>
              <w:top w:w="100" w:type="dxa"/>
              <w:start w:w="120" w:type="dxa"/>
              <w:bottom w:w="100" w:type="dxa"/>
              <w:end w:w="120" w:type="dxa"/>
            </w:tcMar>
          </w:tcPr>
          <w:p>
            <w:r>
              <w:t>0-6 месяцев</w:t>
            </w:r>
          </w:p>
        </w:tc>
        <w:tc>
          <w:tcPr>
            <w:tcW w:type="dxa" w:w="5783"/>
            <w:vAlign w:val="center"/>
            <w:tcMar>
              <w:top w:w="100" w:type="dxa"/>
              <w:start w:w="120" w:type="dxa"/>
              <w:bottom w:w="100" w:type="dxa"/>
              <w:end w:w="120" w:type="dxa"/>
            </w:tcMar>
          </w:tcPr>
          <w:p>
            <w:r>
              <w:t>цифровой двойник, 5-10 роботов, RAG/LLM-контур, формальная схема параметров, baseline-эксперименты, первичный корпус команд и правил</w:t>
            </w:r>
          </w:p>
        </w:tc>
      </w:tr>
      <w:tr>
        <w:tc>
          <w:tcPr>
            <w:tcW w:type="dxa" w:w="1701"/>
            <w:vAlign w:val="center"/>
            <w:tcMar>
              <w:top w:w="100" w:type="dxa"/>
              <w:start w:w="120" w:type="dxa"/>
              <w:bottom w:w="100" w:type="dxa"/>
              <w:end w:w="120" w:type="dxa"/>
            </w:tcMar>
          </w:tcPr>
          <w:p>
            <w:r>
              <w:t>Пилот 1</w:t>
            </w:r>
          </w:p>
        </w:tc>
        <w:tc>
          <w:tcPr>
            <w:tcW w:type="dxa" w:w="1701"/>
            <w:vAlign w:val="center"/>
            <w:tcMar>
              <w:top w:w="100" w:type="dxa"/>
              <w:start w:w="120" w:type="dxa"/>
              <w:bottom w:w="100" w:type="dxa"/>
              <w:end w:w="120" w:type="dxa"/>
            </w:tcMar>
          </w:tcPr>
          <w:p>
            <w:r>
              <w:t>6-18 месяцев</w:t>
            </w:r>
          </w:p>
        </w:tc>
        <w:tc>
          <w:tcPr>
            <w:tcW w:type="dxa" w:w="5783"/>
            <w:vAlign w:val="center"/>
            <w:tcMar>
              <w:top w:w="100" w:type="dxa"/>
              <w:start w:w="120" w:type="dxa"/>
              <w:bottom w:w="100" w:type="dxa"/>
              <w:end w:w="120" w:type="dxa"/>
            </w:tcMar>
          </w:tcPr>
          <w:p>
            <w:r>
              <w:t>расширение сценариев, физический стенд 3-6 роботов, асинхронный LLM-контур, метрики безопасности и устойчивости, отраслевые правила</w:t>
            </w:r>
          </w:p>
        </w:tc>
      </w:tr>
      <w:tr>
        <w:tc>
          <w:tcPr>
            <w:tcW w:type="dxa" w:w="1701"/>
            <w:vAlign w:val="center"/>
            <w:tcMar>
              <w:top w:w="100" w:type="dxa"/>
              <w:start w:w="120" w:type="dxa"/>
              <w:bottom w:w="100" w:type="dxa"/>
              <w:end w:w="120" w:type="dxa"/>
            </w:tcMar>
          </w:tcPr>
          <w:p>
            <w:r>
              <w:t>Пилот 2</w:t>
            </w:r>
          </w:p>
        </w:tc>
        <w:tc>
          <w:tcPr>
            <w:tcW w:type="dxa" w:w="1701"/>
            <w:vAlign w:val="center"/>
            <w:tcMar>
              <w:top w:w="100" w:type="dxa"/>
              <w:start w:w="120" w:type="dxa"/>
              <w:bottom w:w="100" w:type="dxa"/>
              <w:end w:w="120" w:type="dxa"/>
            </w:tcMar>
          </w:tcPr>
          <w:p>
            <w:r>
              <w:t>18-30 месяцев</w:t>
            </w:r>
          </w:p>
        </w:tc>
        <w:tc>
          <w:tcPr>
            <w:tcW w:type="dxa" w:w="5783"/>
            <w:vAlign w:val="center"/>
            <w:tcMar>
              <w:top w:w="100" w:type="dxa"/>
              <w:start w:w="120" w:type="dxa"/>
              <w:bottom w:w="100" w:type="dxa"/>
              <w:end w:w="120" w:type="dxa"/>
            </w:tcMar>
          </w:tcPr>
          <w:p>
            <w:r>
              <w:t>масштабирование до 10-20 роботов, доменная адаптация моделей, доверенные датасеты, открытые и закрытые benchmark</w:t>
            </w:r>
          </w:p>
        </w:tc>
      </w:tr>
      <w:tr>
        <w:tc>
          <w:tcPr>
            <w:tcW w:type="dxa" w:w="1701"/>
            <w:vAlign w:val="center"/>
            <w:tcMar>
              <w:top w:w="100" w:type="dxa"/>
              <w:start w:w="120" w:type="dxa"/>
              <w:bottom w:w="100" w:type="dxa"/>
              <w:end w:w="120" w:type="dxa"/>
            </w:tcMar>
          </w:tcPr>
          <w:p>
            <w:r>
              <w:t>Трансфер</w:t>
            </w:r>
          </w:p>
        </w:tc>
        <w:tc>
          <w:tcPr>
            <w:tcW w:type="dxa" w:w="1701"/>
            <w:vAlign w:val="center"/>
            <w:tcMar>
              <w:top w:w="100" w:type="dxa"/>
              <w:start w:w="120" w:type="dxa"/>
              <w:bottom w:w="100" w:type="dxa"/>
              <w:end w:w="120" w:type="dxa"/>
            </w:tcMar>
          </w:tcPr>
          <w:p>
            <w:r>
              <w:t>30-48 месяцев</w:t>
            </w:r>
          </w:p>
        </w:tc>
        <w:tc>
          <w:tcPr>
            <w:tcW w:type="dxa" w:w="5783"/>
            <w:vAlign w:val="center"/>
            <w:tcMar>
              <w:top w:w="100" w:type="dxa"/>
              <w:start w:w="120" w:type="dxa"/>
              <w:bottom w:w="100" w:type="dxa"/>
              <w:end w:w="120" w:type="dxa"/>
            </w:tcMar>
          </w:tcPr>
          <w:p>
            <w:r>
              <w:t>индустриальные демонстраторы, методики валидации, рекомендации по стандартизации, внедрение у партнеров</w:t>
            </w:r>
          </w:p>
        </w:tc>
      </w:tr>
    </w:tbl>
    <w:p/>
    <w:tbl>
      <w:tblPr>
        <w:tblStyle w:val="TableGrid"/>
        <w:tblW w:type="auto" w:w="0"/>
        <w:tblLayout w:type="fixed"/>
        <w:tblLook w:firstColumn="1" w:firstRow="1" w:lastColumn="0" w:lastRow="0" w:noHBand="0" w:noVBand="1" w:val="04A0"/>
      </w:tblPr>
      <w:tblGrid>
        <w:gridCol w:w="3286"/>
        <w:gridCol w:w="3286"/>
        <w:gridCol w:w="3286"/>
      </w:tblGrid>
      <w:tr>
        <w:tc>
          <w:tcPr>
            <w:tcW w:type="dxa" w:w="1417"/>
            <w:shd w:fill="F4F6F9"/>
            <w:vAlign w:val="center"/>
            <w:tcMar>
              <w:top w:w="100" w:type="dxa"/>
              <w:start w:w="120" w:type="dxa"/>
              <w:bottom w:w="100" w:type="dxa"/>
              <w:end w:w="120" w:type="dxa"/>
            </w:tcMar>
          </w:tcPr>
          <w:p>
            <w:r>
              <w:rPr>
                <w:b/>
              </w:rPr>
              <w:t>Год</w:t>
            </w:r>
          </w:p>
        </w:tc>
        <w:tc>
          <w:tcPr>
            <w:tcW w:type="dxa" w:w="2381"/>
            <w:shd w:fill="F4F6F9"/>
            <w:vAlign w:val="center"/>
            <w:tcMar>
              <w:top w:w="100" w:type="dxa"/>
              <w:start w:w="120" w:type="dxa"/>
              <w:bottom w:w="100" w:type="dxa"/>
              <w:end w:w="120" w:type="dxa"/>
            </w:tcMar>
          </w:tcPr>
          <w:p>
            <w:r>
              <w:rPr>
                <w:b/>
              </w:rPr>
              <w:t>Предварительный бюджет</w:t>
            </w:r>
          </w:p>
        </w:tc>
        <w:tc>
          <w:tcPr>
            <w:tcW w:type="dxa" w:w="5386"/>
            <w:shd w:fill="F4F6F9"/>
            <w:vAlign w:val="center"/>
            <w:tcMar>
              <w:top w:w="100" w:type="dxa"/>
              <w:start w:w="120" w:type="dxa"/>
              <w:bottom w:w="100" w:type="dxa"/>
              <w:end w:w="120" w:type="dxa"/>
            </w:tcMar>
          </w:tcPr>
          <w:p>
            <w:r>
              <w:rPr>
                <w:b/>
              </w:rPr>
              <w:t>Основные статьи</w:t>
            </w:r>
          </w:p>
        </w:tc>
      </w:tr>
      <w:tr>
        <w:tc>
          <w:tcPr>
            <w:tcW w:type="dxa" w:w="1417"/>
            <w:vAlign w:val="center"/>
            <w:tcMar>
              <w:top w:w="100" w:type="dxa"/>
              <w:start w:w="120" w:type="dxa"/>
              <w:bottom w:w="100" w:type="dxa"/>
              <w:end w:w="120" w:type="dxa"/>
            </w:tcMar>
          </w:tcPr>
          <w:p>
            <w:r>
              <w:t>2027</w:t>
            </w:r>
          </w:p>
        </w:tc>
        <w:tc>
          <w:tcPr>
            <w:tcW w:type="dxa" w:w="2381"/>
            <w:vAlign w:val="center"/>
            <w:tcMar>
              <w:top w:w="100" w:type="dxa"/>
              <w:start w:w="120" w:type="dxa"/>
              <w:bottom w:w="100" w:type="dxa"/>
              <w:end w:w="120" w:type="dxa"/>
            </w:tcMar>
          </w:tcPr>
          <w:p>
            <w:r>
              <w:t>110 млн руб.</w:t>
            </w:r>
          </w:p>
        </w:tc>
        <w:tc>
          <w:tcPr>
            <w:tcW w:type="dxa" w:w="5386"/>
            <w:vAlign w:val="center"/>
            <w:tcMar>
              <w:top w:w="100" w:type="dxa"/>
              <w:start w:w="120" w:type="dxa"/>
              <w:bottom w:w="100" w:type="dxa"/>
              <w:end w:w="120" w:type="dxa"/>
            </w:tcMar>
          </w:tcPr>
          <w:p>
            <w:r>
              <w:t>MVP, команда, вычислительная инфраструктура, симулятор, первые стенды</w:t>
            </w:r>
          </w:p>
        </w:tc>
      </w:tr>
      <w:tr>
        <w:tc>
          <w:tcPr>
            <w:tcW w:type="dxa" w:w="1417"/>
            <w:vAlign w:val="center"/>
            <w:tcMar>
              <w:top w:w="100" w:type="dxa"/>
              <w:start w:w="120" w:type="dxa"/>
              <w:bottom w:w="100" w:type="dxa"/>
              <w:end w:w="120" w:type="dxa"/>
            </w:tcMar>
          </w:tcPr>
          <w:p>
            <w:r>
              <w:t>2028</w:t>
            </w:r>
          </w:p>
        </w:tc>
        <w:tc>
          <w:tcPr>
            <w:tcW w:type="dxa" w:w="2381"/>
            <w:vAlign w:val="center"/>
            <w:tcMar>
              <w:top w:w="100" w:type="dxa"/>
              <w:start w:w="120" w:type="dxa"/>
              <w:bottom w:w="100" w:type="dxa"/>
              <w:end w:w="120" w:type="dxa"/>
            </w:tcMar>
          </w:tcPr>
          <w:p>
            <w:r>
              <w:t>120 млн руб.</w:t>
            </w:r>
          </w:p>
        </w:tc>
        <w:tc>
          <w:tcPr>
            <w:tcW w:type="dxa" w:w="5386"/>
            <w:vAlign w:val="center"/>
            <w:tcMar>
              <w:top w:w="100" w:type="dxa"/>
              <w:start w:w="120" w:type="dxa"/>
              <w:bottom w:w="100" w:type="dxa"/>
              <w:end w:w="120" w:type="dxa"/>
            </w:tcMar>
          </w:tcPr>
          <w:p>
            <w:r>
              <w:t>физические стенды, датасеты, baseline, безопасность, индустриальные сценарии</w:t>
            </w:r>
          </w:p>
        </w:tc>
      </w:tr>
      <w:tr>
        <w:tc>
          <w:tcPr>
            <w:tcW w:type="dxa" w:w="1417"/>
            <w:vAlign w:val="center"/>
            <w:tcMar>
              <w:top w:w="100" w:type="dxa"/>
              <w:start w:w="120" w:type="dxa"/>
              <w:bottom w:w="100" w:type="dxa"/>
              <w:end w:w="120" w:type="dxa"/>
            </w:tcMar>
          </w:tcPr>
          <w:p>
            <w:r>
              <w:t>2029</w:t>
            </w:r>
          </w:p>
        </w:tc>
        <w:tc>
          <w:tcPr>
            <w:tcW w:type="dxa" w:w="2381"/>
            <w:vAlign w:val="center"/>
            <w:tcMar>
              <w:top w:w="100" w:type="dxa"/>
              <w:start w:w="120" w:type="dxa"/>
              <w:bottom w:w="100" w:type="dxa"/>
              <w:end w:w="120" w:type="dxa"/>
            </w:tcMar>
          </w:tcPr>
          <w:p>
            <w:r>
              <w:t>100 млн руб.</w:t>
            </w:r>
          </w:p>
        </w:tc>
        <w:tc>
          <w:tcPr>
            <w:tcW w:type="dxa" w:w="5386"/>
            <w:vAlign w:val="center"/>
            <w:tcMar>
              <w:top w:w="100" w:type="dxa"/>
              <w:start w:w="120" w:type="dxa"/>
              <w:bottom w:w="100" w:type="dxa"/>
              <w:end w:w="120" w:type="dxa"/>
            </w:tcMar>
          </w:tcPr>
          <w:p>
            <w:r>
              <w:t>масштабирование, дообучение моделей, benchmark, испытания</w:t>
            </w:r>
          </w:p>
        </w:tc>
      </w:tr>
      <w:tr>
        <w:tc>
          <w:tcPr>
            <w:tcW w:type="dxa" w:w="1417"/>
            <w:vAlign w:val="center"/>
            <w:tcMar>
              <w:top w:w="100" w:type="dxa"/>
              <w:start w:w="120" w:type="dxa"/>
              <w:bottom w:w="100" w:type="dxa"/>
              <w:end w:w="120" w:type="dxa"/>
            </w:tcMar>
          </w:tcPr>
          <w:p>
            <w:r>
              <w:t>2030</w:t>
            </w:r>
          </w:p>
        </w:tc>
        <w:tc>
          <w:tcPr>
            <w:tcW w:type="dxa" w:w="2381"/>
            <w:vAlign w:val="center"/>
            <w:tcMar>
              <w:top w:w="100" w:type="dxa"/>
              <w:start w:w="120" w:type="dxa"/>
              <w:bottom w:w="100" w:type="dxa"/>
              <w:end w:w="120" w:type="dxa"/>
            </w:tcMar>
          </w:tcPr>
          <w:p>
            <w:r>
              <w:t>90 млн руб.</w:t>
            </w:r>
          </w:p>
        </w:tc>
        <w:tc>
          <w:tcPr>
            <w:tcW w:type="dxa" w:w="5386"/>
            <w:vAlign w:val="center"/>
            <w:tcMar>
              <w:top w:w="100" w:type="dxa"/>
              <w:start w:w="120" w:type="dxa"/>
              <w:bottom w:w="100" w:type="dxa"/>
              <w:end w:w="120" w:type="dxa"/>
            </w:tcMar>
          </w:tcPr>
          <w:p>
            <w:r>
              <w:t>трансфер, стандартизация, документация, сопровождение внедрения</w:t>
            </w:r>
          </w:p>
        </w:tc>
      </w:tr>
      <w:tr>
        <w:tc>
          <w:tcPr>
            <w:tcW w:type="dxa" w:w="1417"/>
            <w:vAlign w:val="center"/>
            <w:tcMar>
              <w:top w:w="100" w:type="dxa"/>
              <w:start w:w="120" w:type="dxa"/>
              <w:bottom w:w="100" w:type="dxa"/>
              <w:end w:w="120" w:type="dxa"/>
            </w:tcMar>
          </w:tcPr>
          <w:p>
            <w:r>
              <w:t>Итого</w:t>
            </w:r>
          </w:p>
        </w:tc>
        <w:tc>
          <w:tcPr>
            <w:tcW w:type="dxa" w:w="2381"/>
            <w:vAlign w:val="center"/>
            <w:tcMar>
              <w:top w:w="100" w:type="dxa"/>
              <w:start w:w="120" w:type="dxa"/>
              <w:bottom w:w="100" w:type="dxa"/>
              <w:end w:w="120" w:type="dxa"/>
            </w:tcMar>
          </w:tcPr>
          <w:p>
            <w:r>
              <w:t>420 млн руб.</w:t>
            </w:r>
          </w:p>
        </w:tc>
        <w:tc>
          <w:tcPr>
            <w:tcW w:type="dxa" w:w="5386"/>
            <w:vAlign w:val="center"/>
            <w:tcMar>
              <w:top w:w="100" w:type="dxa"/>
              <w:start w:w="120" w:type="dxa"/>
              <w:bottom w:w="100" w:type="dxa"/>
              <w:end w:w="120" w:type="dxa"/>
            </w:tcMar>
          </w:tcPr>
          <w:p>
            <w:r>
              <w:t>предварительная оценка; соотношение бюджетных и внебюджетных источников уточняется</w:t>
            </w:r>
          </w:p>
        </w:tc>
      </w:tr>
    </w:tbl>
    <w:p/>
    <w:p>
      <w:r>
        <w:t>Ориентировочное распределение финансирования: бюджетные средства - 300 млн руб.; внебюджетные средства, оборудование, инфраструктурный доступ и вклад индустриальных партнеров - до 120 млн руб. Конкретная структура финансирования уточняется после согласования состава консорциума.</w:t>
      </w:r>
    </w:p>
    <w:p>
      <w:pPr>
        <w:pStyle w:val="Heading1"/>
      </w:pPr>
      <w:r>
        <w:t>10. Необходимые меры государственной поддержки</w:t>
      </w:r>
    </w:p>
    <w:p>
      <w:r>
        <w:t>Для запуска и реализации проекта требуются следующие меры поддержки:</w:t>
      </w:r>
    </w:p>
    <w:p>
      <w:pPr>
        <w:pStyle w:val="ListBullet"/>
      </w:pPr>
      <w:r>
        <w:t>целевое финансирование НИОКР по доверенному ИИ для автономных робототехнических систем;</w:t>
      </w:r>
    </w:p>
    <w:p>
      <w:pPr>
        <w:pStyle w:val="ListBullet"/>
      </w:pPr>
      <w:r>
        <w:t>доступ к вычислительной инфраструктуре для обучения, дообучения и валидации локальных моделей;</w:t>
      </w:r>
    </w:p>
    <w:p>
      <w:pPr>
        <w:pStyle w:val="ListBullet"/>
      </w:pPr>
      <w:r>
        <w:t>создание межведомственного экспериментального стенда для безопасных испытаний многоагентных роботов;</w:t>
      </w:r>
    </w:p>
    <w:p>
      <w:pPr>
        <w:pStyle w:val="ListBullet"/>
      </w:pPr>
      <w:r>
        <w:t>поддержка формирования доверенных датасетов, включая режимы доступа, анонимизации и отраслевой экспертизы;</w:t>
      </w:r>
    </w:p>
    <w:p>
      <w:pPr>
        <w:pStyle w:val="ListBullet"/>
      </w:pPr>
      <w:r>
        <w:t>нормативная песочница для тестирования человеко-машинных интерфейсов управления автономными системами;</w:t>
      </w:r>
    </w:p>
    <w:p>
      <w:pPr>
        <w:pStyle w:val="ListBullet"/>
      </w:pPr>
      <w:r>
        <w:t>методическая поддержка разработки стандартов JSON/DSL-команд, журналирования, воспроизводимости и safety-case;</w:t>
      </w:r>
    </w:p>
    <w:p>
      <w:pPr>
        <w:pStyle w:val="ListBullet"/>
      </w:pPr>
      <w:r>
        <w:t>содействие в привлечении индустриальных партнеров и площадок апробации.</w:t>
      </w:r>
    </w:p>
    <w:p>
      <w:pPr>
        <w:pStyle w:val="Heading1"/>
      </w:pPr>
      <w:r>
        <w:t>Итоговая формулировка значимости проекта</w:t>
      </w:r>
    </w:p>
    <w:p>
      <w:r>
        <w:t>Проект направлен на создание национально значимой технологической платформы доверенного управления автономными робототехническими коллективами. Его результаты позволяют перейти от ручного программирования правил поведения роботов к проверяемому человеко-машинному взаимодействию, в котором эксперт формулирует ограничения на естественном языке, а система ИИ преобразует их в безопасные параметры формальной модели. Такой подход создает основу для технологического суверенитета в области доверенного ИИ, беспилотных систем, производственной робототехники и цифрового моделирования сложных технических объектов.</w:t>
      </w:r>
    </w:p>
    <w:sectPr w:rsidR="00FC693F" w:rsidRPr="0006063C" w:rsidSect="00034616">
      <w:footerReference w:type="default" r:id="rId9"/>
      <w:pgSz w:w="12240" w:h="15840"/>
      <w:pgMar w:top="1191"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Предварительная заявка на пилотный проект по внедрению ИИ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