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CISOG</w:t>
      </w:r>
      <w:r>
        <w:t xml:space="preserve"> </w:t>
      </w:r>
      <w:r>
        <w:t xml:space="preserve">USA</w:t>
      </w:r>
      <w:r>
        <w:t xml:space="preserve"> </w:t>
      </w:r>
      <w:r>
        <w:t xml:space="preserve">—</w:t>
      </w:r>
      <w:r>
        <w:t xml:space="preserve"> </w:t>
      </w:r>
      <w:r>
        <w:t xml:space="preserve">Insights</w:t>
      </w:r>
      <w:r>
        <w:t xml:space="preserve"> </w:t>
      </w:r>
      <w:r>
        <w:t xml:space="preserve">Content</w:t>
      </w:r>
      <w:r>
        <w:t xml:space="preserve"> </w:t>
      </w:r>
      <w:r>
        <w:t xml:space="preserve">Pack</w:t>
      </w:r>
    </w:p>
    <w:p>
      <w:pPr>
        <w:pStyle w:val="Subtitle"/>
      </w:pPr>
      <w:r>
        <w:t xml:space="preserve">Eight</w:t>
      </w:r>
      <w:r>
        <w:t xml:space="preserve"> </w:t>
      </w:r>
      <w:r>
        <w:t xml:space="preserve">launch</w:t>
      </w:r>
      <w:r>
        <w:t xml:space="preserve"> </w:t>
      </w:r>
      <w:r>
        <w:t xml:space="preserve">articles</w:t>
      </w:r>
      <w:r>
        <w:t xml:space="preserve"> </w:t>
      </w:r>
      <w:r>
        <w:t xml:space="preserve">·</w:t>
      </w:r>
      <w:r>
        <w:t xml:space="preserve"> </w:t>
      </w:r>
      <w:r>
        <w:t xml:space="preserve">Phase</w:t>
      </w:r>
      <w:r>
        <w:t xml:space="preserve"> </w:t>
      </w:r>
      <w:r>
        <w:t xml:space="preserve">1</w:t>
      </w:r>
      <w:r>
        <w:t xml:space="preserve"> </w:t>
      </w:r>
      <w:r>
        <w:t xml:space="preserve">·</w:t>
      </w:r>
      <w:r>
        <w:t xml:space="preserve"> </w:t>
      </w:r>
      <w:r>
        <w:t xml:space="preserve">Version</w:t>
      </w:r>
      <w:r>
        <w:t xml:space="preserve"> </w:t>
      </w:r>
      <w:r>
        <w:t xml:space="preserve">1.0</w:t>
      </w:r>
    </w:p>
    <w:p>
      <w:pPr>
        <w:pStyle w:val="Date"/>
      </w:pPr>
      <w:r>
        <w:t xml:space="preserve">August</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cisog-usa-insights-content-pack"/>
      <w:r>
        <w:t xml:space="preserve">CISOG USA — INSIGHTS CONTENT PACK</w:t>
      </w:r>
      <w:bookmarkEnd w:id="20"/>
    </w:p>
    <w:p>
      <w:pPr>
        <w:pStyle w:val="FirstParagraph"/>
      </w:pPr>
      <w:r>
        <w:rPr>
          <w:b/>
        </w:rPr>
        <w:t xml:space="preserve">Eight launch articles · Phase 1 · Satisfies launch gate C-20</w:t>
      </w:r>
    </w:p>
    <w:p>
      <w:r>
        <w:pict>
          <v:rect style="width:0;height:1.5pt" o:hralign="center" o:hrstd="t" o:hr="t"/>
        </w:pict>
      </w:r>
    </w:p>
    <w:p>
      <w:pPr>
        <w:pStyle w:val="Heading2"/>
      </w:pPr>
      <w:bookmarkStart w:id="21" w:name="how-to-use-this-pack"/>
      <w:r>
        <w:t xml:space="preserve">HOW TO USE THIS PACK</w:t>
      </w:r>
      <w:bookmarkEnd w:id="21"/>
    </w:p>
    <w:p>
      <w:pPr>
        <w:pStyle w:val="FirstParagraph"/>
      </w:pPr>
      <w:r>
        <w:t xml:space="preserve">Each article below is complete and ready to publish. Every field maps directly to the</w:t>
      </w:r>
      <w:r>
        <w:t xml:space="preserve"> </w:t>
      </w:r>
      <w:r>
        <w:rPr>
          <w:rStyle w:val="VerbatimChar"/>
        </w:rPr>
        <w:t xml:space="preserve">insight</w:t>
      </w:r>
      <w:r>
        <w:t xml:space="preserve"> </w:t>
      </w:r>
      <w:r>
        <w:t xml:space="preserve">CMS collection in §7.4 of the Master Build Specification. A machine-readable version of this pack —</w:t>
      </w:r>
      <w:r>
        <w:t xml:space="preserve"> </w:t>
      </w:r>
      <w:r>
        <w:rPr>
          <w:rStyle w:val="VerbatimChar"/>
        </w:rPr>
        <w:t xml:space="preserve">cisog-insights-cms-import.json</w:t>
      </w:r>
      <w:r>
        <w:t xml:space="preserve"> </w:t>
      </w:r>
      <w:r>
        <w:t xml:space="preserve">— accompanies this document for direct import.</w:t>
      </w:r>
    </w:p>
    <w:p>
      <w:pPr>
        <w:pStyle w:val="BodyText"/>
      </w:pPr>
      <w:r>
        <w:rPr>
          <w:b/>
        </w:rPr>
        <w:t xml:space="preserve">Editorial standard applied throughout.</w:t>
      </w:r>
      <w:r>
        <w:t xml:space="preserve"> </w:t>
      </w:r>
      <w:r>
        <w:t xml:space="preserve">These are written for people who already know the subject. The audience is CISOs, CIOs, CFOs, general counsel and board members — readers who have sat through vendor pitches and can detect padding immediately. Every article therefore takes a position, names a specific failure mode, and says something a competitor’s blog would not.</w:t>
      </w:r>
    </w:p>
    <w:p>
      <w:pPr>
        <w:pStyle w:val="BodyText"/>
      </w:pPr>
      <w:r>
        <w:t xml:space="preserve">Three rules were applied without exception:</w:t>
      </w:r>
    </w:p>
    <w:p>
      <w:pPr>
        <w:numPr>
          <w:ilvl w:val="0"/>
          <w:numId w:val="1001"/>
        </w:numPr>
        <w:pStyle w:val="Compact"/>
      </w:pPr>
      <w:r>
        <w:rPr>
          <w:b/>
        </w:rPr>
        <w:t xml:space="preserve">No unverifiable claims.</w:t>
      </w:r>
      <w:r>
        <w:t xml:space="preserve"> </w:t>
      </w:r>
      <w:r>
        <w:t xml:space="preserve">No statistics are cited that CISOG cannot source. Where a number would strengthen a point, the point is made structurally instead. This is the same discipline as conflict C-10 — a security firm publishing a figure it cannot defend loses more than it gains.</w:t>
      </w:r>
    </w:p>
    <w:p>
      <w:pPr>
        <w:numPr>
          <w:ilvl w:val="0"/>
          <w:numId w:val="1001"/>
        </w:numPr>
        <w:pStyle w:val="Compact"/>
      </w:pPr>
      <w:r>
        <w:rPr>
          <w:b/>
        </w:rPr>
        <w:t xml:space="preserve">No fear selling.</w:t>
      </w:r>
      <w:r>
        <w:t xml:space="preserve"> </w:t>
      </w:r>
      <w:r>
        <w:t xml:space="preserve">The audience is immune to it and it undermines advisory positioning.</w:t>
      </w:r>
    </w:p>
    <w:p>
      <w:pPr>
        <w:numPr>
          <w:ilvl w:val="0"/>
          <w:numId w:val="1001"/>
        </w:numPr>
        <w:pStyle w:val="Compact"/>
      </w:pPr>
      <w:r>
        <w:rPr>
          <w:b/>
        </w:rPr>
        <w:t xml:space="preserve">Each article earns its CTA.</w:t>
      </w:r>
      <w:r>
        <w:t xml:space="preserve"> </w:t>
      </w:r>
      <w:r>
        <w:t xml:space="preserve">The call to action follows from the argument rather than being appended to it.</w:t>
      </w:r>
    </w:p>
    <w:p>
      <w:pPr>
        <w:pStyle w:val="FirstParagraph"/>
      </w:pPr>
      <w:r>
        <w:rPr>
          <w:b/>
        </w:rPr>
        <w:t xml:space="preserve">Cluster coverage.</w:t>
      </w:r>
      <w:r>
        <w:t xml:space="preserve"> </w:t>
      </w:r>
      <w:r>
        <w:t xml:space="preserve">The eight articles populate four of the five SEO clusters in §11.1, with the fifth (Executive Advisory) served by the two executive briefs.</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Article</w:t>
            </w:r>
          </w:p>
        </w:tc>
        <w:tc>
          <w:tcPr>
            <w:tcBorders>
              <w:bottom w:val="single"/>
            </w:tcBorders>
            <w:vAlign w:val="bottom"/>
          </w:tcPr>
          <w:p>
            <w:pPr>
              <w:pStyle w:val="Compact"/>
              <w:jc w:val="left"/>
            </w:pPr>
            <w:r>
              <w:t xml:space="preserve">Cluster</w:t>
            </w:r>
          </w:p>
        </w:tc>
        <w:tc>
          <w:tcPr>
            <w:tcBorders>
              <w:bottom w:val="single"/>
            </w:tcBorders>
            <w:vAlign w:val="bottom"/>
          </w:tcPr>
          <w:p>
            <w:pPr>
              <w:pStyle w:val="Compact"/>
              <w:jc w:val="left"/>
            </w:pPr>
            <w:r>
              <w:t xml:space="preserve">Type</w:t>
            </w:r>
          </w:p>
        </w:tc>
      </w:tr>
      <w:tr>
        <w:tc>
          <w:p>
            <w:pPr>
              <w:pStyle w:val="Compact"/>
              <w:jc w:val="left"/>
            </w:pPr>
            <w:r>
              <w:t xml:space="preserve">1</w:t>
            </w:r>
          </w:p>
        </w:tc>
        <w:tc>
          <w:p>
            <w:pPr>
              <w:pStyle w:val="Compact"/>
              <w:jc w:val="left"/>
            </w:pPr>
            <w:r>
              <w:t xml:space="preserve">What every CEO should know about cyber risk</w:t>
            </w:r>
          </w:p>
        </w:tc>
        <w:tc>
          <w:p>
            <w:pPr>
              <w:pStyle w:val="Compact"/>
              <w:jc w:val="left"/>
            </w:pPr>
            <w:r>
              <w:t xml:space="preserve">Cybersecurity</w:t>
            </w:r>
          </w:p>
        </w:tc>
        <w:tc>
          <w:p>
            <w:pPr>
              <w:pStyle w:val="Compact"/>
              <w:jc w:val="left"/>
            </w:pPr>
            <w:r>
              <w:t xml:space="preserve">Executive Brief</w:t>
            </w:r>
          </w:p>
        </w:tc>
      </w:tr>
      <w:tr>
        <w:tc>
          <w:p>
            <w:pPr>
              <w:pStyle w:val="Compact"/>
              <w:jc w:val="left"/>
            </w:pPr>
            <w:r>
              <w:t xml:space="preserve">2</w:t>
            </w:r>
          </w:p>
        </w:tc>
        <w:tc>
          <w:p>
            <w:pPr>
              <w:pStyle w:val="Compact"/>
              <w:jc w:val="left"/>
            </w:pPr>
            <w:r>
              <w:t xml:space="preserve">Does your organization need a vCISO?</w:t>
            </w:r>
          </w:p>
        </w:tc>
        <w:tc>
          <w:p>
            <w:pPr>
              <w:pStyle w:val="Compact"/>
              <w:jc w:val="left"/>
            </w:pPr>
            <w:r>
              <w:t xml:space="preserve">Cybersecurity</w:t>
            </w:r>
          </w:p>
        </w:tc>
        <w:tc>
          <w:p>
            <w:pPr>
              <w:pStyle w:val="Compact"/>
              <w:jc w:val="left"/>
            </w:pPr>
            <w:r>
              <w:t xml:space="preserve">Article</w:t>
            </w:r>
          </w:p>
        </w:tc>
      </w:tr>
      <w:tr>
        <w:tc>
          <w:p>
            <w:pPr>
              <w:pStyle w:val="Compact"/>
              <w:jc w:val="left"/>
            </w:pPr>
            <w:r>
              <w:t xml:space="preserve">3</w:t>
            </w:r>
          </w:p>
        </w:tc>
        <w:tc>
          <w:p>
            <w:pPr>
              <w:pStyle w:val="Compact"/>
              <w:jc w:val="left"/>
            </w:pPr>
            <w:r>
              <w:t xml:space="preserve">The five most common cybersecurity governance gaps</w:t>
            </w:r>
          </w:p>
        </w:tc>
        <w:tc>
          <w:p>
            <w:pPr>
              <w:pStyle w:val="Compact"/>
              <w:jc w:val="left"/>
            </w:pPr>
            <w:r>
              <w:t xml:space="preserve">GRC</w:t>
            </w:r>
          </w:p>
        </w:tc>
        <w:tc>
          <w:p>
            <w:pPr>
              <w:pStyle w:val="Compact"/>
              <w:jc w:val="left"/>
            </w:pPr>
            <w:r>
              <w:t xml:space="preserve">Article</w:t>
            </w:r>
          </w:p>
        </w:tc>
      </w:tr>
      <w:tr>
        <w:tc>
          <w:p>
            <w:pPr>
              <w:pStyle w:val="Compact"/>
              <w:jc w:val="left"/>
            </w:pPr>
            <w:r>
              <w:t xml:space="preserve">4</w:t>
            </w:r>
          </w:p>
        </w:tc>
        <w:tc>
          <w:p>
            <w:pPr>
              <w:pStyle w:val="Compact"/>
              <w:jc w:val="left"/>
            </w:pPr>
            <w:r>
              <w:t xml:space="preserve">Building a cybersecurity risk register that gets used</w:t>
            </w:r>
          </w:p>
        </w:tc>
        <w:tc>
          <w:p>
            <w:pPr>
              <w:pStyle w:val="Compact"/>
              <w:jc w:val="left"/>
            </w:pPr>
            <w:r>
              <w:t xml:space="preserve">GRC</w:t>
            </w:r>
          </w:p>
        </w:tc>
        <w:tc>
          <w:p>
            <w:pPr>
              <w:pStyle w:val="Compact"/>
              <w:jc w:val="left"/>
            </w:pPr>
            <w:r>
              <w:t xml:space="preserve">Article</w:t>
            </w:r>
          </w:p>
        </w:tc>
      </w:tr>
      <w:tr>
        <w:tc>
          <w:p>
            <w:pPr>
              <w:pStyle w:val="Compact"/>
              <w:jc w:val="left"/>
            </w:pPr>
            <w:r>
              <w:t xml:space="preserve">5</w:t>
            </w:r>
          </w:p>
        </w:tc>
        <w:tc>
          <w:p>
            <w:pPr>
              <w:pStyle w:val="Compact"/>
              <w:jc w:val="left"/>
            </w:pPr>
            <w:r>
              <w:t xml:space="preserve">AI security and AI governance are not the same problem</w:t>
            </w:r>
          </w:p>
        </w:tc>
        <w:tc>
          <w:p>
            <w:pPr>
              <w:pStyle w:val="Compact"/>
              <w:jc w:val="left"/>
            </w:pPr>
            <w:r>
              <w:t xml:space="preserve">AI Governance</w:t>
            </w:r>
          </w:p>
        </w:tc>
        <w:tc>
          <w:p>
            <w:pPr>
              <w:pStyle w:val="Compact"/>
              <w:jc w:val="left"/>
            </w:pPr>
            <w:r>
              <w:t xml:space="preserve">Article</w:t>
            </w:r>
          </w:p>
        </w:tc>
      </w:tr>
      <w:tr>
        <w:tc>
          <w:p>
            <w:pPr>
              <w:pStyle w:val="Compact"/>
              <w:jc w:val="left"/>
            </w:pPr>
            <w:r>
              <w:t xml:space="preserve">6</w:t>
            </w:r>
          </w:p>
        </w:tc>
        <w:tc>
          <w:p>
            <w:pPr>
              <w:pStyle w:val="Compact"/>
              <w:jc w:val="left"/>
            </w:pPr>
            <w:r>
              <w:t xml:space="preserve">Why digital transformation programs fail</w:t>
            </w:r>
          </w:p>
        </w:tc>
        <w:tc>
          <w:p>
            <w:pPr>
              <w:pStyle w:val="Compact"/>
              <w:jc w:val="left"/>
            </w:pPr>
            <w:r>
              <w:t xml:space="preserve">Digital Transformation</w:t>
            </w:r>
          </w:p>
        </w:tc>
        <w:tc>
          <w:p>
            <w:pPr>
              <w:pStyle w:val="Compact"/>
              <w:jc w:val="left"/>
            </w:pPr>
            <w:r>
              <w:t xml:space="preserve">Article</w:t>
            </w:r>
          </w:p>
        </w:tc>
      </w:tr>
      <w:tr>
        <w:tc>
          <w:p>
            <w:pPr>
              <w:pStyle w:val="Compact"/>
              <w:jc w:val="left"/>
            </w:pPr>
            <w:r>
              <w:t xml:space="preserve">7</w:t>
            </w:r>
          </w:p>
        </w:tc>
        <w:tc>
          <w:p>
            <w:pPr>
              <w:pStyle w:val="Compact"/>
              <w:jc w:val="left"/>
            </w:pPr>
            <w:r>
              <w:t xml:space="preserve">Cybersecurity versus cyber resilience</w:t>
            </w:r>
          </w:p>
        </w:tc>
        <w:tc>
          <w:p>
            <w:pPr>
              <w:pStyle w:val="Compact"/>
              <w:jc w:val="left"/>
            </w:pPr>
            <w:r>
              <w:t xml:space="preserve">Executive Advisory</w:t>
            </w:r>
          </w:p>
        </w:tc>
        <w:tc>
          <w:p>
            <w:pPr>
              <w:pStyle w:val="Compact"/>
              <w:jc w:val="left"/>
            </w:pPr>
            <w:r>
              <w:t xml:space="preserve">Executive Brief</w:t>
            </w:r>
          </w:p>
        </w:tc>
      </w:tr>
      <w:tr>
        <w:tc>
          <w:p>
            <w:pPr>
              <w:pStyle w:val="Compact"/>
              <w:jc w:val="left"/>
            </w:pPr>
            <w:r>
              <w:t xml:space="preserve">8</w:t>
            </w:r>
          </w:p>
        </w:tc>
        <w:tc>
          <w:p>
            <w:pPr>
              <w:pStyle w:val="Compact"/>
              <w:jc w:val="left"/>
            </w:pPr>
            <w:r>
              <w:t xml:space="preserve">Building a board-level cybersecurity dashboard</w:t>
            </w:r>
          </w:p>
        </w:tc>
        <w:tc>
          <w:p>
            <w:pPr>
              <w:pStyle w:val="Compact"/>
              <w:jc w:val="left"/>
            </w:pPr>
            <w:r>
              <w:t xml:space="preserve">Executive Advisory</w:t>
            </w:r>
          </w:p>
        </w:tc>
        <w:tc>
          <w:p>
            <w:pPr>
              <w:pStyle w:val="Compact"/>
              <w:jc w:val="left"/>
            </w:pPr>
            <w:r>
              <w:t xml:space="preserve">Executive Brief</w:t>
            </w:r>
          </w:p>
        </w:tc>
      </w:tr>
    </w:tbl>
    <w:p>
      <w:pPr>
        <w:pStyle w:val="BodyText"/>
      </w:pPr>
      <w:r>
        <w:t xml:space="preserve">A ninth article —</w:t>
      </w:r>
      <w:r>
        <w:t xml:space="preserve"> </w:t>
      </w:r>
      <w:r>
        <w:rPr>
          <w:i/>
        </w:rPr>
        <w:t xml:space="preserve">Why your organization needs an AI inventory before it needs an AI policy</w:t>
      </w:r>
      <w:r>
        <w:t xml:space="preserve"> </w:t>
      </w:r>
      <w:r>
        <w:t xml:space="preserve">— is already written and live in the prototype at</w:t>
      </w:r>
      <w:r>
        <w:t xml:space="preserve"> </w:t>
      </w:r>
      <w:r>
        <w:rPr>
          <w:rStyle w:val="VerbatimChar"/>
        </w:rPr>
        <w:t xml:space="preserve">#/article</w:t>
      </w:r>
      <w:r>
        <w:t xml:space="preserve">. Total at launch:</w:t>
      </w:r>
      <w:r>
        <w:t xml:space="preserve"> </w:t>
      </w:r>
      <w:r>
        <w:rPr>
          <w:b/>
        </w:rPr>
        <w:t xml:space="preserve">nine</w:t>
      </w:r>
      <w:r>
        <w:t xml:space="preserve">, against a gate of eight.</w:t>
      </w:r>
    </w:p>
    <w:p>
      <w:pPr>
        <w:pStyle w:val="Heading3"/>
      </w:pPr>
      <w:bookmarkStart w:id="22" w:name="X0beb5b3799ad00ec56580fda779b91132cfe39d"/>
      <w:r>
        <w:t xml:space="preserve">A note on length — please read before publishing</w:t>
      </w:r>
      <w:bookmarkEnd w:id="22"/>
    </w:p>
    <w:p>
      <w:pPr>
        <w:pStyle w:val="FirstParagraph"/>
      </w:pPr>
      <w:r>
        <w:t xml:space="preserve">These run</w:t>
      </w:r>
      <w:r>
        <w:t xml:space="preserve"> </w:t>
      </w:r>
      <w:r>
        <w:rPr>
          <w:b/>
        </w:rPr>
        <w:t xml:space="preserve">426–753 words each — a three minute read at 225 words per minute.</w:t>
      </w:r>
      <w:r>
        <w:t xml:space="preserve"> </w:t>
      </w:r>
      <w:r>
        <w:t xml:space="preserve">That is deliberate, and it is a decision the client should confirm rather than inherit.</w:t>
      </w:r>
    </w:p>
    <w:p>
      <w:pPr>
        <w:pStyle w:val="BodyText"/>
      </w:pPr>
      <w:r>
        <w:rPr>
          <w:b/>
        </w:rPr>
        <w:t xml:space="preserve">The case for keeping them short.</w:t>
      </w:r>
      <w:r>
        <w:t xml:space="preserve"> </w:t>
      </w:r>
      <w:r>
        <w:t xml:space="preserve">The stated audience is CISOs, CIOs, CFOs and directors. That reader does not finish 1,800-word articles, and length is the most common way thought-leadership content signals that it was written for a search engine rather than a person. A brief that makes one defensible argument and stops is more likely to be read, forwarded and remembered — and forwarding is how this content reaches buying committees.</w:t>
      </w:r>
    </w:p>
    <w:p>
      <w:pPr>
        <w:pStyle w:val="BodyText"/>
      </w:pPr>
      <w:r>
        <w:rPr>
          <w:b/>
        </w:rPr>
        <w:t xml:space="preserve">The case against.</w:t>
      </w:r>
      <w:r>
        <w:t xml:space="preserve"> </w:t>
      </w:r>
      <w:r>
        <w:t xml:space="preserve">For the Tier 3 SEO role these pieces play in §11.1, competing pages on queries like</w:t>
      </w:r>
      <w:r>
        <w:t xml:space="preserve"> </w:t>
      </w:r>
      <w:r>
        <w:rPr>
          <w:i/>
        </w:rPr>
        <w:t xml:space="preserve">cybersecurity governance gaps</w:t>
      </w:r>
      <w:r>
        <w:t xml:space="preserve"> </w:t>
      </w:r>
      <w:r>
        <w:t xml:space="preserve">frequently run 1,500–2,500 words. Google has no word-count factor, but longer pages tend to cover more related sub-topics and therefore match more queries. Ranking on the harder informational terms may take longer with content this tight.</w:t>
      </w:r>
    </w:p>
    <w:p>
      <w:pPr>
        <w:pStyle w:val="BodyText"/>
      </w:pPr>
      <w:r>
        <w:rPr>
          <w:b/>
        </w:rPr>
        <w:t xml:space="preserve">Recommendation.</w:t>
      </w:r>
      <w:r>
        <w:t xml:space="preserve"> </w:t>
      </w:r>
      <w:r>
        <w:t xml:space="preserve">Publish at this length and measure. If after two quarters the cluster pages are not ranking, expand the five pieces typed as</w:t>
      </w:r>
      <w:r>
        <w:t xml:space="preserve"> </w:t>
      </w:r>
      <w:r>
        <w:rPr>
          <w:i/>
        </w:rPr>
        <w:t xml:space="preserve">Article</w:t>
      </w:r>
      <w:r>
        <w:t xml:space="preserve"> </w:t>
      </w:r>
      <w:r>
        <w:t xml:space="preserve">with genuinely additional material — worked examples, sector-specific variations, framework mappings — rather than padding the existing argument. Expansion that adds substance is recoverable; padding is not.</w:t>
      </w:r>
    </w:p>
    <w:p>
      <w:pPr>
        <w:pStyle w:val="BodyText"/>
      </w:pPr>
      <w:r>
        <w:rPr>
          <w:b/>
        </w:rPr>
        <w:t xml:space="preserve">Reading times displayed on the site have been corrected to match the actual copy.</w:t>
      </w:r>
      <w:r>
        <w:t xml:space="preserve"> </w:t>
      </w:r>
      <w:r>
        <w:t xml:space="preserve">The prototype originally advertised 5–9 minutes against text that reads in three. An overstated reading time is a small dishonesty the reader detects within seconds, on the page where CISOG is asking to be trusted.</w:t>
      </w:r>
    </w:p>
    <w:p>
      <w:pPr>
        <w:pStyle w:val="Heading1"/>
      </w:pPr>
      <w:bookmarkStart w:id="23" w:name="article-1"/>
      <w:r>
        <w:t xml:space="preserve">ARTICLE 1</w:t>
      </w:r>
      <w:bookmarkEnd w:id="23"/>
    </w:p>
    <w:p>
      <w:pPr>
        <w:pStyle w:val="Heading2"/>
      </w:pPr>
      <w:bookmarkStart w:id="24" w:name="X91c80d97a6c761059985ef57809b8fdbca42cb2"/>
      <w:r>
        <w:t xml:space="preserve">What every CEO should know about cyber risk</w:t>
      </w:r>
      <w:bookmarkEnd w:id="2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b/>
              </w:rPr>
              <w:t xml:space="preserve">Slug</w:t>
            </w:r>
          </w:p>
        </w:tc>
        <w:tc>
          <w:p>
            <w:pPr>
              <w:pStyle w:val="Compact"/>
              <w:jc w:val="left"/>
            </w:pPr>
            <w:r>
              <w:rPr>
                <w:rStyle w:val="VerbatimChar"/>
              </w:rPr>
              <w:t xml:space="preserve">what-every-ceo-should-know-about-cyber-risk</w:t>
            </w:r>
          </w:p>
        </w:tc>
      </w:tr>
      <w:tr>
        <w:tc>
          <w:p>
            <w:pPr>
              <w:pStyle w:val="Compact"/>
              <w:jc w:val="left"/>
            </w:pPr>
            <w:r>
              <w:rPr>
                <w:b/>
              </w:rPr>
              <w:t xml:space="preserve">Category</w:t>
            </w:r>
          </w:p>
        </w:tc>
        <w:tc>
          <w:p>
            <w:pPr>
              <w:pStyle w:val="Compact"/>
              <w:jc w:val="left"/>
            </w:pPr>
            <w:r>
              <w:t xml:space="preserve">Cybersecurity</w:t>
            </w:r>
          </w:p>
        </w:tc>
      </w:tr>
      <w:tr>
        <w:tc>
          <w:p>
            <w:pPr>
              <w:pStyle w:val="Compact"/>
              <w:jc w:val="left"/>
            </w:pPr>
            <w:r>
              <w:rPr>
                <w:b/>
              </w:rPr>
              <w:t xml:space="preserve">Content type</w:t>
            </w:r>
          </w:p>
        </w:tc>
        <w:tc>
          <w:p>
            <w:pPr>
              <w:pStyle w:val="Compact"/>
              <w:jc w:val="left"/>
            </w:pPr>
            <w:r>
              <w:t xml:space="preserve">Executive Brief</w:t>
            </w:r>
          </w:p>
        </w:tc>
      </w:tr>
      <w:tr>
        <w:tc>
          <w:p>
            <w:pPr>
              <w:pStyle w:val="Compact"/>
              <w:jc w:val="left"/>
            </w:pPr>
            <w:r>
              <w:rPr>
                <w:b/>
              </w:rPr>
              <w:t xml:space="preserve">Target keyword</w:t>
            </w:r>
          </w:p>
        </w:tc>
        <w:tc>
          <w:p>
            <w:pPr>
              <w:pStyle w:val="Compact"/>
              <w:jc w:val="left"/>
            </w:pPr>
            <w:r>
              <w:t xml:space="preserve">cyber risk for CEOs</w:t>
            </w:r>
          </w:p>
        </w:tc>
      </w:tr>
      <w:tr>
        <w:tc>
          <w:p>
            <w:pPr>
              <w:pStyle w:val="Compact"/>
              <w:jc w:val="left"/>
            </w:pPr>
            <w:r>
              <w:rPr>
                <w:b/>
              </w:rPr>
              <w:t xml:space="preserve">SEO title</w:t>
            </w:r>
          </w:p>
        </w:tc>
        <w:tc>
          <w:p>
            <w:pPr>
              <w:pStyle w:val="Compact"/>
              <w:jc w:val="left"/>
            </w:pPr>
            <w:r>
              <w:t xml:space="preserve">What Every CEO Should Know About Cyber Risk | CISOG</w:t>
            </w:r>
          </w:p>
        </w:tc>
      </w:tr>
      <w:tr>
        <w:tc>
          <w:p>
            <w:pPr>
              <w:pStyle w:val="Compact"/>
              <w:jc w:val="left"/>
            </w:pPr>
            <w:r>
              <w:rPr>
                <w:b/>
              </w:rPr>
              <w:t xml:space="preserve">Meta description</w:t>
            </w:r>
          </w:p>
        </w:tc>
        <w:tc>
          <w:p>
            <w:pPr>
              <w:pStyle w:val="Compact"/>
              <w:jc w:val="left"/>
            </w:pPr>
            <w:r>
              <w:t xml:space="preserve">Four questions every chief executive should be able to answer about cyber risk — and what it means if the answers are not readily available.</w:t>
            </w:r>
          </w:p>
        </w:tc>
      </w:tr>
      <w:tr>
        <w:tc>
          <w:p>
            <w:pPr>
              <w:pStyle w:val="Compact"/>
              <w:jc w:val="left"/>
            </w:pPr>
            <w:r>
              <w:rPr>
                <w:b/>
              </w:rPr>
              <w:t xml:space="preserve">Related services</w:t>
            </w:r>
          </w:p>
        </w:tc>
        <w:tc>
          <w:p>
            <w:pPr>
              <w:pStyle w:val="Compact"/>
              <w:jc w:val="left"/>
            </w:pPr>
            <w:r>
              <w:t xml:space="preserve">Cybersecurity · vCISO · Technology Advisory</w:t>
            </w:r>
          </w:p>
        </w:tc>
      </w:tr>
      <w:tr>
        <w:tc>
          <w:p>
            <w:pPr>
              <w:pStyle w:val="Compact"/>
              <w:jc w:val="left"/>
            </w:pPr>
            <w:r>
              <w:rPr>
                <w:b/>
              </w:rPr>
              <w:t xml:space="preserve">CTA</w:t>
            </w:r>
          </w:p>
        </w:tc>
        <w:tc>
          <w:p>
            <w:pPr>
              <w:pStyle w:val="Compact"/>
              <w:jc w:val="left"/>
            </w:pPr>
            <w:r>
              <w:t xml:space="preserve">Take the Cybersecurity Readiness Assessment</w:t>
            </w:r>
          </w:p>
        </w:tc>
      </w:tr>
    </w:tbl>
    <w:p>
      <w:pPr>
        <w:pStyle w:val="BodyText"/>
      </w:pPr>
      <w:r>
        <w:rPr>
          <w:b/>
        </w:rPr>
        <w:t xml:space="preserve">Excerpt</w:t>
      </w:r>
      <w:r>
        <w:t xml:space="preserve"> </w:t>
      </w:r>
      <w:r>
        <w:t xml:space="preserve">You do not need to understand how an intrusion works. You do need to be able to answer four questions about your own organization — and most chief executives cannot.</w:t>
      </w:r>
    </w:p>
    <w:p>
      <w:pPr>
        <w:pStyle w:val="BodyText"/>
      </w:pPr>
      <w:r>
        <w:rPr>
          <w:b/>
        </w:rPr>
        <w:t xml:space="preserve">Executive summary</w:t>
      </w:r>
      <w:r>
        <w:t xml:space="preserve"> </w:t>
      </w:r>
      <w:r>
        <w:t xml:space="preserve">Cyber risk reaches the chief executive as a translation problem rather than a technical one. The four questions below are the ones a CEO is accountable for, and the inability to answer any of them is itself the finding.</w:t>
      </w:r>
    </w:p>
    <w:p>
      <w:pPr>
        <w:pStyle w:val="Heading3"/>
      </w:pPr>
      <w:bookmarkStart w:id="25" w:name="body"/>
      <w:r>
        <w:t xml:space="preserve">Body</w:t>
      </w:r>
      <w:bookmarkEnd w:id="25"/>
    </w:p>
    <w:p>
      <w:pPr>
        <w:pStyle w:val="FirstParagraph"/>
      </w:pPr>
      <w:r>
        <w:t xml:space="preserve">There is a persistent and unhelpful idea that chief executives need to understand cybersecurity. They do not. No board expects the CEO to explain lateral movement or evaluate an endpoint product.</w:t>
      </w:r>
    </w:p>
    <w:p>
      <w:pPr>
        <w:pStyle w:val="BodyText"/>
      </w:pPr>
      <w:r>
        <w:t xml:space="preserve">What a chief executive is accountable for is different, and narrower: knowing what the organization stands to lose, who owns the problem, what the current exposure is, and what happens when something goes wrong. Four questions. If they cannot be answered readily and consistently, that gap is the finding — not the absence of any particular control.</w:t>
      </w:r>
    </w:p>
    <w:p>
      <w:pPr>
        <w:pStyle w:val="Heading4"/>
      </w:pPr>
      <w:bookmarkStart w:id="26" w:name="what-would-actually-stop-the-business"/>
      <w:r>
        <w:t xml:space="preserve">1. What would actually stop the business?</w:t>
      </w:r>
      <w:bookmarkEnd w:id="26"/>
    </w:p>
    <w:p>
      <w:pPr>
        <w:pStyle w:val="FirstParagraph"/>
      </w:pPr>
      <w:r>
        <w:t xml:space="preserve">Not</w:t>
      </w:r>
      <w:r>
        <w:t xml:space="preserve"> </w:t>
      </w:r>
      <w:r>
        <w:t xml:space="preserve">“</w:t>
      </w:r>
      <w:r>
        <w:t xml:space="preserve">what data do we hold</w:t>
      </w:r>
      <w:r>
        <w:t xml:space="preserve">”</w:t>
      </w:r>
      <w:r>
        <w:t xml:space="preserve"> </w:t>
      </w:r>
      <w:r>
        <w:t xml:space="preserve">— every organization can produce that list. The question is narrower and considerably more useful: which systems, if unavailable for three days, would stop revenue, stop delivery, or stop the organization meeting a contractual or regulatory obligation?</w:t>
      </w:r>
    </w:p>
    <w:p>
      <w:pPr>
        <w:pStyle w:val="BodyText"/>
      </w:pPr>
      <w:r>
        <w:t xml:space="preserve">Most organizations have between three and eight of these. They are frequently not the systems receiving the most security attention, because security investment tends to follow either regulatory pressure or vendor conversation rather than business dependency. The exercise of listing them takes an afternoon and reorders priorities more reliably than any maturity assessment.</w:t>
      </w:r>
    </w:p>
    <w:p>
      <w:pPr>
        <w:pStyle w:val="Heading4"/>
      </w:pPr>
      <w:bookmarkStart w:id="27" w:name="X3d7a9f46e237839315aae79ba336a9e11860a8c"/>
      <w:r>
        <w:t xml:space="preserve">2. Who owns this, and what can they actually decide?</w:t>
      </w:r>
      <w:bookmarkEnd w:id="27"/>
    </w:p>
    <w:p>
      <w:pPr>
        <w:pStyle w:val="FirstParagraph"/>
      </w:pPr>
      <w:r>
        <w:t xml:space="preserve">Ownership without authority is the most common structural failure in security programs. Someone is named accountable for cyber risk; that person cannot approve spend, cannot compel a business unit to remediate, and cannot delay a product release on security grounds.</w:t>
      </w:r>
    </w:p>
    <w:p>
      <w:pPr>
        <w:pStyle w:val="BodyText"/>
      </w:pPr>
      <w:r>
        <w:t xml:space="preserve">The test is not who appears on the org chart. It is what happens when a security requirement conflicts with a delivery deadline. If the security position loses by default rather than by an explicit, recorded decision, then risk is being accepted continuously and invisibly — and the accountability, ultimately, is the chief executive’s.</w:t>
      </w:r>
    </w:p>
    <w:p>
      <w:pPr>
        <w:pStyle w:val="Heading4"/>
      </w:pPr>
      <w:bookmarkStart w:id="28" w:name="X934cb1cdbb941c0f76b8fc24ae2ed70739d14e4"/>
      <w:r>
        <w:t xml:space="preserve">3. What is our exposure right now, and is it improving?</w:t>
      </w:r>
      <w:bookmarkEnd w:id="28"/>
    </w:p>
    <w:p>
      <w:pPr>
        <w:pStyle w:val="FirstParagraph"/>
      </w:pPr>
      <w:r>
        <w:t xml:space="preserve">Boards are frequently shown activity: patches applied, training completed, phishing simulation click rates. These describe effort, not exposure. They almost always trend favourably, which is precisely why they are chosen.</w:t>
      </w:r>
    </w:p>
    <w:p>
      <w:pPr>
        <w:pStyle w:val="BodyText"/>
      </w:pPr>
      <w:r>
        <w:t xml:space="preserve">The useful version is a small number of measures that can get worse: how many of the critical systems from question one have unremediated high-severity findings; how long high-severity issues remain open; how many third parties have privileged access; whether recovery has been tested against the systems that matter and what the result was.</w:t>
      </w:r>
    </w:p>
    <w:p>
      <w:pPr>
        <w:pStyle w:val="BodyText"/>
      </w:pPr>
      <w:r>
        <w:t xml:space="preserve">These are uncomfortable measures because they can deteriorate. That is what makes them worth reporting.</w:t>
      </w:r>
    </w:p>
    <w:p>
      <w:pPr>
        <w:pStyle w:val="Heading4"/>
      </w:pPr>
      <w:bookmarkStart w:id="29" w:name="what-happens-in-the-first-six-hours"/>
      <w:r>
        <w:t xml:space="preserve">4. What happens in the first six hours?</w:t>
      </w:r>
      <w:bookmarkEnd w:id="29"/>
    </w:p>
    <w:p>
      <w:pPr>
        <w:pStyle w:val="FirstParagraph"/>
      </w:pPr>
      <w:r>
        <w:t xml:space="preserve">Not the incident response plan — its existence is a low bar. The question is what happens in practice. Who decides whether to disconnect a production system, and can they be reached at two in the morning? Who authorises engagement of external responders, and is that contract already in place? Who speaks to customers, and who approves what is said? At what point does counsel become involved, and at what point does the board?</w:t>
      </w:r>
    </w:p>
    <w:p>
      <w:pPr>
        <w:pStyle w:val="BodyText"/>
      </w:pPr>
      <w:r>
        <w:t xml:space="preserve">The organizations that handle incidents well are rarely the ones with the most sophisticated preventive controls. They are the ones that have rehearsed these decisions when nothing was on fire.</w:t>
      </w:r>
    </w:p>
    <w:p>
      <w:pPr>
        <w:pStyle w:val="Heading4"/>
      </w:pPr>
      <w:bookmarkStart w:id="30" w:name="what-the-answers-tend-to-reveal"/>
      <w:r>
        <w:t xml:space="preserve">What the answers tend to reveal</w:t>
      </w:r>
      <w:bookmarkEnd w:id="30"/>
    </w:p>
    <w:p>
      <w:pPr>
        <w:pStyle w:val="FirstParagraph"/>
      </w:pPr>
      <w:r>
        <w:t xml:space="preserve">Where these four questions cannot be answered, the pattern is almost always the same: security has been treated as a technical function to be resourced rather than a business risk to be governed. The controls may be adequate. The decision-making is not.</w:t>
      </w:r>
    </w:p>
    <w:p>
      <w:pPr>
        <w:pStyle w:val="BodyText"/>
      </w:pPr>
      <w:r>
        <w:t xml:space="preserve">That is a governance problem, and it is one a chief executive is well placed to fix — considerably better placed, in fact, than to fix anything technical.</w:t>
      </w:r>
    </w:p>
    <w:p>
      <w:pPr>
        <w:pStyle w:val="BodyText"/>
      </w:pPr>
      <w:r>
        <w:rPr>
          <w:b/>
        </w:rPr>
        <w:t xml:space="preserve">Key takeaways</w:t>
      </w:r>
      <w:r>
        <w:t xml:space="preserve"> </w:t>
      </w:r>
      <w:r>
        <w:t xml:space="preserve">1. A CEO does not need technical fluency; they need to be able to answer four questions about their own organization.</w:t>
      </w:r>
      <w:r>
        <w:t xml:space="preserve"> </w:t>
      </w:r>
      <w:r>
        <w:t xml:space="preserve">2. Identify the three to eight systems whose loss would stop the business — security priority should follow business dependency, not vendor attention.</w:t>
      </w:r>
      <w:r>
        <w:t xml:space="preserve"> </w:t>
      </w:r>
      <w:r>
        <w:t xml:space="preserve">3. Ownership without decision authority means risk is being accepted continuously and invisibly.</w:t>
      </w:r>
      <w:r>
        <w:t xml:space="preserve"> </w:t>
      </w:r>
      <w:r>
        <w:t xml:space="preserve">4. Report measures that can deteriorate. Activity metrics that only improve are chosen for that reason.</w:t>
      </w:r>
      <w:r>
        <w:t xml:space="preserve"> </w:t>
      </w:r>
      <w:r>
        <w:t xml:space="preserve">5. Incident outcomes depend more on rehearsed decision-making than on preventive control sophistication.</w:t>
      </w:r>
    </w:p>
    <w:p>
      <w:pPr>
        <w:pStyle w:val="Heading1"/>
      </w:pPr>
      <w:bookmarkStart w:id="31" w:name="article-2"/>
      <w:r>
        <w:t xml:space="preserve">ARTICLE 2</w:t>
      </w:r>
      <w:bookmarkEnd w:id="31"/>
    </w:p>
    <w:p>
      <w:pPr>
        <w:pStyle w:val="Heading2"/>
      </w:pPr>
      <w:bookmarkStart w:id="32" w:name="does-your-organization-need-a-vciso"/>
      <w:r>
        <w:t xml:space="preserve">Does your organization need a vCISO?</w:t>
      </w:r>
      <w:bookmarkEnd w:id="3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b/>
              </w:rPr>
              <w:t xml:space="preserve">Slug</w:t>
            </w:r>
          </w:p>
        </w:tc>
        <w:tc>
          <w:p>
            <w:pPr>
              <w:pStyle w:val="Compact"/>
              <w:jc w:val="left"/>
            </w:pPr>
            <w:r>
              <w:rPr>
                <w:rStyle w:val="VerbatimChar"/>
              </w:rPr>
              <w:t xml:space="preserve">does-your-organization-need-a-vciso</w:t>
            </w:r>
          </w:p>
        </w:tc>
      </w:tr>
      <w:tr>
        <w:tc>
          <w:p>
            <w:pPr>
              <w:pStyle w:val="Compact"/>
              <w:jc w:val="left"/>
            </w:pPr>
            <w:r>
              <w:rPr>
                <w:b/>
              </w:rPr>
              <w:t xml:space="preserve">Category</w:t>
            </w:r>
          </w:p>
        </w:tc>
        <w:tc>
          <w:p>
            <w:pPr>
              <w:pStyle w:val="Compact"/>
              <w:jc w:val="left"/>
            </w:pPr>
            <w:r>
              <w:t xml:space="preserve">Cybersecurity</w:t>
            </w:r>
          </w:p>
        </w:tc>
      </w:tr>
      <w:tr>
        <w:tc>
          <w:p>
            <w:pPr>
              <w:pStyle w:val="Compact"/>
              <w:jc w:val="left"/>
            </w:pPr>
            <w:r>
              <w:rPr>
                <w:b/>
              </w:rPr>
              <w:t xml:space="preserve">Content type</w:t>
            </w:r>
          </w:p>
        </w:tc>
        <w:tc>
          <w:p>
            <w:pPr>
              <w:pStyle w:val="Compact"/>
              <w:jc w:val="left"/>
            </w:pPr>
            <w:r>
              <w:t xml:space="preserve">Article</w:t>
            </w:r>
          </w:p>
        </w:tc>
      </w:tr>
      <w:tr>
        <w:tc>
          <w:p>
            <w:pPr>
              <w:pStyle w:val="Compact"/>
              <w:jc w:val="left"/>
            </w:pPr>
            <w:r>
              <w:rPr>
                <w:b/>
              </w:rPr>
              <w:t xml:space="preserve">Target keyword</w:t>
            </w:r>
          </w:p>
        </w:tc>
        <w:tc>
          <w:p>
            <w:pPr>
              <w:pStyle w:val="Compact"/>
              <w:jc w:val="left"/>
            </w:pPr>
            <w:r>
              <w:t xml:space="preserve">do we need a vCISO</w:t>
            </w:r>
          </w:p>
        </w:tc>
      </w:tr>
      <w:tr>
        <w:tc>
          <w:p>
            <w:pPr>
              <w:pStyle w:val="Compact"/>
              <w:jc w:val="left"/>
            </w:pPr>
            <w:r>
              <w:rPr>
                <w:b/>
              </w:rPr>
              <w:t xml:space="preserve">SEO title</w:t>
            </w:r>
          </w:p>
        </w:tc>
        <w:tc>
          <w:p>
            <w:pPr>
              <w:pStyle w:val="Compact"/>
              <w:jc w:val="left"/>
            </w:pPr>
            <w:r>
              <w:t xml:space="preserve">Does Your Organization Need a vCISO? | CISOG</w:t>
            </w:r>
          </w:p>
        </w:tc>
      </w:tr>
      <w:tr>
        <w:tc>
          <w:p>
            <w:pPr>
              <w:pStyle w:val="Compact"/>
              <w:jc w:val="left"/>
            </w:pPr>
            <w:r>
              <w:rPr>
                <w:b/>
              </w:rPr>
              <w:t xml:space="preserve">Meta description</w:t>
            </w:r>
          </w:p>
        </w:tc>
        <w:tc>
          <w:p>
            <w:pPr>
              <w:pStyle w:val="Compact"/>
              <w:jc w:val="left"/>
            </w:pPr>
            <w:r>
              <w:t xml:space="preserve">Five situations where a virtual CISO is the right answer, three where it is not, and the questions to ask before engaging one.</w:t>
            </w:r>
          </w:p>
        </w:tc>
      </w:tr>
      <w:tr>
        <w:tc>
          <w:p>
            <w:pPr>
              <w:pStyle w:val="Compact"/>
              <w:jc w:val="left"/>
            </w:pPr>
            <w:r>
              <w:rPr>
                <w:b/>
              </w:rPr>
              <w:t xml:space="preserve">Related services</w:t>
            </w:r>
          </w:p>
        </w:tc>
        <w:tc>
          <w:p>
            <w:pPr>
              <w:pStyle w:val="Compact"/>
              <w:jc w:val="left"/>
            </w:pPr>
            <w:r>
              <w:t xml:space="preserve">vCISO · Cybersecurity · GRC</w:t>
            </w:r>
          </w:p>
        </w:tc>
      </w:tr>
      <w:tr>
        <w:tc>
          <w:p>
            <w:pPr>
              <w:pStyle w:val="Compact"/>
              <w:jc w:val="left"/>
            </w:pPr>
            <w:r>
              <w:rPr>
                <w:b/>
              </w:rPr>
              <w:t xml:space="preserve">CTA</w:t>
            </w:r>
          </w:p>
        </w:tc>
        <w:tc>
          <w:p>
            <w:pPr>
              <w:pStyle w:val="Compact"/>
              <w:jc w:val="left"/>
            </w:pPr>
            <w:r>
              <w:t xml:space="preserve">Talk to a vCISO Advisor</w:t>
            </w:r>
          </w:p>
        </w:tc>
      </w:tr>
    </w:tbl>
    <w:p>
      <w:pPr>
        <w:pStyle w:val="BodyText"/>
      </w:pPr>
      <w:r>
        <w:rPr>
          <w:b/>
        </w:rPr>
        <w:t xml:space="preserve">Excerpt</w:t>
      </w:r>
      <w:r>
        <w:t xml:space="preserve"> </w:t>
      </w:r>
      <w:r>
        <w:t xml:space="preserve">A virtual CISO is the right answer more often than organizations realize, and the wrong answer more often than firms selling the service will admit. Here is how to tell which situation you are in.</w:t>
      </w:r>
    </w:p>
    <w:p>
      <w:pPr>
        <w:pStyle w:val="BodyText"/>
      </w:pPr>
      <w:r>
        <w:rPr>
          <w:b/>
        </w:rPr>
        <w:t xml:space="preserve">Executive summary</w:t>
      </w:r>
      <w:r>
        <w:t xml:space="preserve"> </w:t>
      </w:r>
      <w:r>
        <w:t xml:space="preserve">The vCISO model fits organizations that need security leadership judgment more than security headcount. It fits poorly where the actual need is delivery capacity, where authority will not be granted, or where the underlying problem is unresolved ownership.</w:t>
      </w:r>
    </w:p>
    <w:p>
      <w:pPr>
        <w:pStyle w:val="Heading3"/>
      </w:pPr>
      <w:bookmarkStart w:id="33" w:name="body-1"/>
      <w:r>
        <w:t xml:space="preserve">Body</w:t>
      </w:r>
      <w:bookmarkEnd w:id="33"/>
    </w:p>
    <w:p>
      <w:pPr>
        <w:pStyle w:val="FirstParagraph"/>
      </w:pPr>
      <w:r>
        <w:t xml:space="preserve">The virtual CISO market has grown quickly, and with growth has come a certain looseness about what the service is. It is sold variously as fractional leadership, as an assessment package, as a compliance shortcut and occasionally as a managed security service wearing a different label.</w:t>
      </w:r>
    </w:p>
    <w:p>
      <w:pPr>
        <w:pStyle w:val="BodyText"/>
      </w:pPr>
      <w:r>
        <w:t xml:space="preserve">The distinction that matters is this: a vCISO provides</w:t>
      </w:r>
      <w:r>
        <w:t xml:space="preserve"> </w:t>
      </w:r>
      <w:r>
        <w:rPr>
          <w:b/>
        </w:rPr>
        <w:t xml:space="preserve">judgment and accountability</w:t>
      </w:r>
      <w:r>
        <w:t xml:space="preserve">, not capacity. If what you need is people to do security work, a vCISO is the wrong purchase. If what you need is someone senior enough to decide what security work is worth doing, and to defend that decision to a board, a regulator or a customer, then the model fits.</w:t>
      </w:r>
    </w:p>
    <w:p>
      <w:pPr>
        <w:pStyle w:val="Heading4"/>
      </w:pPr>
      <w:bookmarkStart w:id="34" w:name="five-situations-where-it-fits"/>
      <w:r>
        <w:t xml:space="preserve">Five situations where it fits</w:t>
      </w:r>
      <w:bookmarkEnd w:id="34"/>
    </w:p>
    <w:p>
      <w:pPr>
        <w:pStyle w:val="FirstParagraph"/>
      </w:pPr>
      <w:r>
        <w:rPr>
          <w:b/>
        </w:rPr>
        <w:t xml:space="preserve">You have security spend but no security strategy.</w:t>
      </w:r>
      <w:r>
        <w:t xml:space="preserve"> </w:t>
      </w:r>
      <w:r>
        <w:t xml:space="preserve">Tools have been bought, often several that overlap, usually in response to an incident or an audit finding. Nobody can articulate what the programme is trying to achieve or in what order. This is the most common trigger and the one where a vCISO delivers value fastest, because the first task is subtraction rather than addition.</w:t>
      </w:r>
    </w:p>
    <w:p>
      <w:pPr>
        <w:pStyle w:val="BodyText"/>
      </w:pPr>
      <w:r>
        <w:rPr>
          <w:b/>
        </w:rPr>
        <w:t xml:space="preserve">Customers have started asking.</w:t>
      </w:r>
      <w:r>
        <w:t xml:space="preserve"> </w:t>
      </w:r>
      <w:r>
        <w:t xml:space="preserve">Security questionnaires, SOC 2 requests and contractual security schedules are now routine in enterprise sales. When these begin costing you deals or delaying them, you need someone who can build the programme and speak credibly to the buyer’s security team. That second capability is often worth more than the first.</w:t>
      </w:r>
    </w:p>
    <w:p>
      <w:pPr>
        <w:pStyle w:val="BodyText"/>
      </w:pPr>
      <w:r>
        <w:rPr>
          <w:b/>
        </w:rPr>
        <w:t xml:space="preserve">You are between CISOs.</w:t>
      </w:r>
      <w:r>
        <w:t xml:space="preserve"> </w:t>
      </w:r>
      <w:r>
        <w:t xml:space="preserve">Continuity during a search protects momentum, and an experienced interim will usually improve the specification for the permanent role. Organizations that leave the seat empty for six months tend to hire the wrong profile, because the job description is written by people who have not done the job.</w:t>
      </w:r>
    </w:p>
    <w:p>
      <w:pPr>
        <w:pStyle w:val="BodyText"/>
      </w:pPr>
      <w:r>
        <w:rPr>
          <w:b/>
        </w:rPr>
        <w:t xml:space="preserve">A transformation is underway.</w:t>
      </w:r>
      <w:r>
        <w:t xml:space="preserve"> </w:t>
      </w:r>
      <w:r>
        <w:t xml:space="preserve">Cloud migration, ERP replacement or a major integration changes the risk profile faster than an existing team can reassess it. Security decisions made during a transformation are expensive to reverse afterwards.</w:t>
      </w:r>
    </w:p>
    <w:p>
      <w:pPr>
        <w:pStyle w:val="BodyText"/>
      </w:pPr>
      <w:r>
        <w:rPr>
          <w:b/>
        </w:rPr>
        <w:t xml:space="preserve">The board has started asking questions nobody can answer.</w:t>
      </w:r>
      <w:r>
        <w:t xml:space="preserve"> </w:t>
      </w:r>
      <w:r>
        <w:t xml:space="preserve">Increasingly the trigger is a director who has seen cyber risk handled badly elsewhere. What is needed is someone who can translate the technical position into governance language and back again.</w:t>
      </w:r>
    </w:p>
    <w:p>
      <w:pPr>
        <w:pStyle w:val="Heading4"/>
      </w:pPr>
      <w:bookmarkStart w:id="35" w:name="three-situations-where-it-does-not-fit"/>
      <w:r>
        <w:t xml:space="preserve">Three situations where it does not fit</w:t>
      </w:r>
      <w:bookmarkEnd w:id="35"/>
    </w:p>
    <w:p>
      <w:pPr>
        <w:pStyle w:val="FirstParagraph"/>
      </w:pPr>
      <w:r>
        <w:rPr>
          <w:b/>
        </w:rPr>
        <w:t xml:space="preserve">You need hands, not a head.</w:t>
      </w:r>
      <w:r>
        <w:t xml:space="preserve"> </w:t>
      </w:r>
      <w:r>
        <w:t xml:space="preserve">If the assessment has been done, the roadmap exists and the constraint is execution capacity, hire engineers or engage a managed service. A vCISO will produce another well-reasoned plan you lack the capacity to deliver.</w:t>
      </w:r>
    </w:p>
    <w:p>
      <w:pPr>
        <w:pStyle w:val="BodyText"/>
      </w:pPr>
      <w:r>
        <w:rPr>
          <w:b/>
        </w:rPr>
        <w:t xml:space="preserve">Authority will not actually be granted.</w:t>
      </w:r>
      <w:r>
        <w:t xml:space="preserve"> </w:t>
      </w:r>
      <w:r>
        <w:t xml:space="preserve">A fractional executive with no ability to influence spend, delay a release or compel remediation will produce recommendations that are noted and not actioned. If the organization is not prepared to grant real authority to a part-time external, the engagement will fail regardless of who fills it. This is worth confronting before signing rather than after.</w:t>
      </w:r>
    </w:p>
    <w:p>
      <w:pPr>
        <w:pStyle w:val="BodyText"/>
      </w:pPr>
      <w:r>
        <w:rPr>
          <w:b/>
        </w:rPr>
        <w:t xml:space="preserve">The real problem is unresolved ownership.</w:t>
      </w:r>
      <w:r>
        <w:t xml:space="preserve"> </w:t>
      </w:r>
      <w:r>
        <w:t xml:space="preserve">Where security responsibility is genuinely contested between IT, risk and engineering, introducing an external party usually entrenches the dispute. Resolve ownership internally first.</w:t>
      </w:r>
    </w:p>
    <w:p>
      <w:pPr>
        <w:pStyle w:val="Heading4"/>
      </w:pPr>
      <w:bookmarkStart w:id="36" w:name="questions-to-ask-before-engaging"/>
      <w:r>
        <w:t xml:space="preserve">Questions to ask before engaging</w:t>
      </w:r>
      <w:bookmarkEnd w:id="36"/>
    </w:p>
    <w:p>
      <w:pPr>
        <w:pStyle w:val="FirstParagraph"/>
      </w:pPr>
      <w:r>
        <w:t xml:space="preserve">Ask how many days a month you are actually buying, and how they are distributed — two days a week behaves very differently from eight consecutive days a quarter. Ask who specifically will do the work, since firms frequently sell a senior name and deliver a junior consultant. Ask what happens during an incident, because incidents do not respect the retainer. Ask what the exit looks like: a good engagement should reduce your dependence on it over time, and a provider unwilling to describe that trajectory is describing an annuity.</w:t>
      </w:r>
    </w:p>
    <w:p>
      <w:pPr>
        <w:pStyle w:val="BodyText"/>
      </w:pPr>
      <w:r>
        <w:t xml:space="preserve">Ask, finally, what they will tell you that you do not want to hear. The entire value of external security leadership rests on independence. A vCISO who agrees with everything is an expensive way to feel reassured.</w:t>
      </w:r>
    </w:p>
    <w:p>
      <w:pPr>
        <w:pStyle w:val="BodyText"/>
      </w:pPr>
      <w:r>
        <w:rPr>
          <w:b/>
        </w:rPr>
        <w:t xml:space="preserve">Key takeaways</w:t>
      </w:r>
      <w:r>
        <w:t xml:space="preserve"> </w:t>
      </w:r>
      <w:r>
        <w:t xml:space="preserve">1. A vCISO supplies judgment and accountability, not delivery capacity — confusing the two is the most common mis-purchase.</w:t>
      </w:r>
      <w:r>
        <w:t xml:space="preserve"> </w:t>
      </w:r>
      <w:r>
        <w:t xml:space="preserve">2. Strongest fit: spend without strategy, customer security demands, interim cover, active transformation, or board scrutiny.</w:t>
      </w:r>
      <w:r>
        <w:t xml:space="preserve"> </w:t>
      </w:r>
      <w:r>
        <w:t xml:space="preserve">3. Poor fit: execution-constrained programmes, organizations unwilling to grant real authority, and unresolved internal ownership disputes.</w:t>
      </w:r>
      <w:r>
        <w:t xml:space="preserve"> </w:t>
      </w:r>
      <w:r>
        <w:t xml:space="preserve">4. Confirm who performs the work, how days are distributed, and what happens during an incident.</w:t>
      </w:r>
      <w:r>
        <w:t xml:space="preserve"> </w:t>
      </w:r>
      <w:r>
        <w:t xml:space="preserve">5. A good engagement reduces your dependence on it. Ask the provider to describe that trajectory.</w:t>
      </w:r>
    </w:p>
    <w:p>
      <w:pPr>
        <w:pStyle w:val="Heading1"/>
      </w:pPr>
      <w:bookmarkStart w:id="37" w:name="article-3"/>
      <w:r>
        <w:t xml:space="preserve">ARTICLE 3</w:t>
      </w:r>
      <w:bookmarkEnd w:id="37"/>
    </w:p>
    <w:p>
      <w:pPr>
        <w:pStyle w:val="Heading2"/>
      </w:pPr>
      <w:bookmarkStart w:id="38" w:name="X07c39bfb5be0acf465be77056b98c5fb6135e54"/>
      <w:r>
        <w:t xml:space="preserve">The five most common cybersecurity governance gaps</w:t>
      </w:r>
      <w:bookmarkEnd w:id="3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b/>
              </w:rPr>
              <w:t xml:space="preserve">Slug</w:t>
            </w:r>
          </w:p>
        </w:tc>
        <w:tc>
          <w:p>
            <w:pPr>
              <w:pStyle w:val="Compact"/>
              <w:jc w:val="left"/>
            </w:pPr>
            <w:r>
              <w:rPr>
                <w:rStyle w:val="VerbatimChar"/>
              </w:rPr>
              <w:t xml:space="preserve">five-most-common-cybersecurity-governance-gaps</w:t>
            </w:r>
          </w:p>
        </w:tc>
      </w:tr>
      <w:tr>
        <w:tc>
          <w:p>
            <w:pPr>
              <w:pStyle w:val="Compact"/>
              <w:jc w:val="left"/>
            </w:pPr>
            <w:r>
              <w:rPr>
                <w:b/>
              </w:rPr>
              <w:t xml:space="preserve">Category</w:t>
            </w:r>
          </w:p>
        </w:tc>
        <w:tc>
          <w:p>
            <w:pPr>
              <w:pStyle w:val="Compact"/>
              <w:jc w:val="left"/>
            </w:pPr>
            <w:r>
              <w:t xml:space="preserve">GRC</w:t>
            </w:r>
          </w:p>
        </w:tc>
      </w:tr>
      <w:tr>
        <w:tc>
          <w:p>
            <w:pPr>
              <w:pStyle w:val="Compact"/>
              <w:jc w:val="left"/>
            </w:pPr>
            <w:r>
              <w:rPr>
                <w:b/>
              </w:rPr>
              <w:t xml:space="preserve">Content type</w:t>
            </w:r>
          </w:p>
        </w:tc>
        <w:tc>
          <w:p>
            <w:pPr>
              <w:pStyle w:val="Compact"/>
              <w:jc w:val="left"/>
            </w:pPr>
            <w:r>
              <w:t xml:space="preserve">Article</w:t>
            </w:r>
          </w:p>
        </w:tc>
      </w:tr>
      <w:tr>
        <w:tc>
          <w:p>
            <w:pPr>
              <w:pStyle w:val="Compact"/>
              <w:jc w:val="left"/>
            </w:pPr>
            <w:r>
              <w:rPr>
                <w:b/>
              </w:rPr>
              <w:t xml:space="preserve">Target keyword</w:t>
            </w:r>
          </w:p>
        </w:tc>
        <w:tc>
          <w:p>
            <w:pPr>
              <w:pStyle w:val="Compact"/>
              <w:jc w:val="left"/>
            </w:pPr>
            <w:r>
              <w:t xml:space="preserve">cybersecurity governance gaps</w:t>
            </w:r>
          </w:p>
        </w:tc>
      </w:tr>
      <w:tr>
        <w:tc>
          <w:p>
            <w:pPr>
              <w:pStyle w:val="Compact"/>
              <w:jc w:val="left"/>
            </w:pPr>
            <w:r>
              <w:rPr>
                <w:b/>
              </w:rPr>
              <w:t xml:space="preserve">SEO title</w:t>
            </w:r>
          </w:p>
        </w:tc>
        <w:tc>
          <w:p>
            <w:pPr>
              <w:pStyle w:val="Compact"/>
              <w:jc w:val="left"/>
            </w:pPr>
            <w:r>
              <w:t xml:space="preserve">The Five Most Common Cybersecurity Governance Gaps</w:t>
            </w:r>
          </w:p>
        </w:tc>
      </w:tr>
      <w:tr>
        <w:tc>
          <w:p>
            <w:pPr>
              <w:pStyle w:val="Compact"/>
              <w:jc w:val="left"/>
            </w:pPr>
            <w:r>
              <w:rPr>
                <w:b/>
              </w:rPr>
              <w:t xml:space="preserve">Meta description</w:t>
            </w:r>
          </w:p>
        </w:tc>
        <w:tc>
          <w:p>
            <w:pPr>
              <w:pStyle w:val="Compact"/>
              <w:jc w:val="left"/>
            </w:pPr>
            <w:r>
              <w:t xml:space="preserve">The governance failures that appear in assessment after assessment — and why organizations with strong technical controls still carry unmanaged risk.</w:t>
            </w:r>
          </w:p>
        </w:tc>
      </w:tr>
      <w:tr>
        <w:tc>
          <w:p>
            <w:pPr>
              <w:pStyle w:val="Compact"/>
              <w:jc w:val="left"/>
            </w:pPr>
            <w:r>
              <w:rPr>
                <w:b/>
              </w:rPr>
              <w:t xml:space="preserve">Related services</w:t>
            </w:r>
          </w:p>
        </w:tc>
        <w:tc>
          <w:p>
            <w:pPr>
              <w:pStyle w:val="Compact"/>
              <w:jc w:val="left"/>
            </w:pPr>
            <w:r>
              <w:t xml:space="preserve">GRC · IT Governance · vCISO</w:t>
            </w:r>
          </w:p>
        </w:tc>
      </w:tr>
      <w:tr>
        <w:tc>
          <w:p>
            <w:pPr>
              <w:pStyle w:val="Compact"/>
              <w:jc w:val="left"/>
            </w:pPr>
            <w:r>
              <w:rPr>
                <w:b/>
              </w:rPr>
              <w:t xml:space="preserve">CTA</w:t>
            </w:r>
          </w:p>
        </w:tc>
        <w:tc>
          <w:p>
            <w:pPr>
              <w:pStyle w:val="Compact"/>
              <w:jc w:val="left"/>
            </w:pPr>
            <w:r>
              <w:t xml:space="preserve">Assess Your GRC Maturity</w:t>
            </w:r>
          </w:p>
        </w:tc>
      </w:tr>
    </w:tbl>
    <w:p>
      <w:pPr>
        <w:pStyle w:val="BodyText"/>
      </w:pPr>
      <w:r>
        <w:rPr>
          <w:b/>
        </w:rPr>
        <w:t xml:space="preserve">Excerpt</w:t>
      </w:r>
      <w:r>
        <w:t xml:space="preserve"> </w:t>
      </w:r>
      <w:r>
        <w:t xml:space="preserve">Technical controls fail visibly. Governance fails quietly, and it is usually governance that determines whether the controls were the right ones.</w:t>
      </w:r>
    </w:p>
    <w:p>
      <w:pPr>
        <w:pStyle w:val="BodyText"/>
      </w:pPr>
      <w:r>
        <w:rPr>
          <w:b/>
        </w:rPr>
        <w:t xml:space="preserve">Executive summary</w:t>
      </w:r>
      <w:r>
        <w:t xml:space="preserve"> </w:t>
      </w:r>
      <w:r>
        <w:t xml:space="preserve">Five governance gaps recur across organizations of very different sizes and sectors. None is technical. Each can persist indefinitely in an organization that would pass a controls-based audit.</w:t>
      </w:r>
    </w:p>
    <w:p>
      <w:pPr>
        <w:pStyle w:val="Heading3"/>
      </w:pPr>
      <w:bookmarkStart w:id="39" w:name="body-2"/>
      <w:r>
        <w:t xml:space="preserve">Body</w:t>
      </w:r>
      <w:bookmarkEnd w:id="39"/>
    </w:p>
    <w:p>
      <w:pPr>
        <w:pStyle w:val="FirstParagraph"/>
      </w:pPr>
      <w:r>
        <w:t xml:space="preserve">An organization can hold a valid certification, pass its annual penetration test and still be governing security badly. Certifications assess whether controls exist and operate. They are considerably weaker at assessing whether the right decisions are being made about which controls should exist at all.</w:t>
      </w:r>
    </w:p>
    <w:p>
      <w:pPr>
        <w:pStyle w:val="BodyText"/>
      </w:pPr>
      <w:r>
        <w:t xml:space="preserve">The five gaps below account for most of that difference. They recur across sectors and sizes, and they share a characteristic: each one is comfortable to live with, which is precisely why they persist.</w:t>
      </w:r>
    </w:p>
    <w:p>
      <w:pPr>
        <w:pStyle w:val="Heading4"/>
      </w:pPr>
      <w:bookmarkStart w:id="40" w:name="X0ce236c4ac6aafbc0cb75ec5b8b9d1e50e9647d"/>
      <w:r>
        <w:t xml:space="preserve">1. Nobody has defined how much risk is acceptable</w:t>
      </w:r>
      <w:bookmarkEnd w:id="40"/>
    </w:p>
    <w:p>
      <w:pPr>
        <w:pStyle w:val="FirstParagraph"/>
      </w:pPr>
      <w:r>
        <w:t xml:space="preserve">Almost every organization has a risk register. Very few have a stated risk appetite. The consequence is that every risk decision is made in isolation and by whoever happens to be in the room.</w:t>
      </w:r>
    </w:p>
    <w:p>
      <w:pPr>
        <w:pStyle w:val="BodyText"/>
      </w:pPr>
      <w:r>
        <w:t xml:space="preserve">Without a defined appetite there is no principled basis for accepting a risk — so risks are accepted informally, by inaction, and never revisited. Ask who is permitted to accept a high-severity risk, and at what threshold it must escalate. If the answer is unclear, risk is being accepted at every level of the organization simultaneously and none of it is recorded.</w:t>
      </w:r>
    </w:p>
    <w:p>
      <w:pPr>
        <w:pStyle w:val="Heading4"/>
      </w:pPr>
      <w:bookmarkStart w:id="41" w:name="Xe393eb74bde079203ebfdf8beda4550b90473c1"/>
      <w:r>
        <w:t xml:space="preserve">2. The risk register is a compliance artifact, not a decision tool</w:t>
      </w:r>
      <w:bookmarkEnd w:id="41"/>
    </w:p>
    <w:p>
      <w:pPr>
        <w:pStyle w:val="FirstParagraph"/>
      </w:pPr>
      <w:r>
        <w:t xml:space="preserve">Registers are frequently maintained because a framework requires one. They are populated once, reviewed annually, and consulted by nobody making an actual decision.</w:t>
      </w:r>
    </w:p>
    <w:p>
      <w:pPr>
        <w:pStyle w:val="BodyText"/>
      </w:pPr>
      <w:r>
        <w:t xml:space="preserve">The diagnostic is simple: ask when a risk was last closed, and ask what caused it to close. If risks only ever get added, the register is a filing system. If the last three material decisions about security spend cannot be traced to entries in it, it is not being used for its purpose.</w:t>
      </w:r>
    </w:p>
    <w:p>
      <w:pPr>
        <w:pStyle w:val="Heading4"/>
      </w:pPr>
      <w:bookmarkStart w:id="42" w:name="policy-exists-but-is-not-enforceable"/>
      <w:r>
        <w:t xml:space="preserve">3. Policy exists but is not enforceable</w:t>
      </w:r>
      <w:bookmarkEnd w:id="42"/>
    </w:p>
    <w:p>
      <w:pPr>
        <w:pStyle w:val="FirstParagraph"/>
      </w:pPr>
      <w:r>
        <w:t xml:space="preserve">Policy sets are often extensive, well-drafted and entirely disconnected from how work is actually done. They were written to satisfy an auditor and are unknown to the people whose behaviour they purport to govern.</w:t>
      </w:r>
    </w:p>
    <w:p>
      <w:pPr>
        <w:pStyle w:val="BodyText"/>
      </w:pPr>
      <w:r>
        <w:t xml:space="preserve">The test is whether a policy has ever caused something not to happen — a project delayed, an exception refused, a tool rejected. A policy set with no history of consequence is documentation, not governance. And a policy that is routinely breached without consequence is worse than no policy, because it establishes on the record that requirements are optional.</w:t>
      </w:r>
    </w:p>
    <w:p>
      <w:pPr>
        <w:pStyle w:val="Heading4"/>
      </w:pPr>
      <w:bookmarkStart w:id="43" w:name="third-party-risk-stops-at-onboarding"/>
      <w:r>
        <w:t xml:space="preserve">4. Third-party risk stops at onboarding</w:t>
      </w:r>
      <w:bookmarkEnd w:id="43"/>
    </w:p>
    <w:p>
      <w:pPr>
        <w:pStyle w:val="FirstParagraph"/>
      </w:pPr>
      <w:r>
        <w:t xml:space="preserve">Vendors are assessed during procurement, usually via questionnaire, and then not reassessed. Meanwhile the relationship deepens, access expands and the vendor’s own supply chain changes entirely.</w:t>
      </w:r>
    </w:p>
    <w:p>
      <w:pPr>
        <w:pStyle w:val="BodyText"/>
      </w:pPr>
      <w:r>
        <w:t xml:space="preserve">Two questions expose this quickly. Which third parties currently hold privileged access to systems on your critical list? And when a vendor materially changes — acquisition, a breach of their own, a subcontractor change — what triggers a reassessment? In most organizations the honest answer to the second is</w:t>
      </w:r>
      <w:r>
        <w:t xml:space="preserve"> </w:t>
      </w:r>
      <w:r>
        <w:t xml:space="preserve">“</w:t>
      </w:r>
      <w:r>
        <w:t xml:space="preserve">nothing</w:t>
      </w:r>
      <w:r>
        <w:t xml:space="preserve">”</w:t>
      </w:r>
      <w:r>
        <w:t xml:space="preserve">, which means the assessment describes a relationship that no longer exists.</w:t>
      </w:r>
    </w:p>
    <w:p>
      <w:pPr>
        <w:pStyle w:val="Heading4"/>
      </w:pPr>
      <w:bookmarkStart w:id="44" w:name="X458aaa83a0261ed3cab250b5e0036e4bdbcbdff"/>
      <w:r>
        <w:t xml:space="preserve">5. Board reporting describes activity rather than exposure</w:t>
      </w:r>
      <w:bookmarkEnd w:id="44"/>
    </w:p>
    <w:p>
      <w:pPr>
        <w:pStyle w:val="FirstParagraph"/>
      </w:pPr>
      <w:r>
        <w:t xml:space="preserve">The final gap sits at the top. Boards receive volume: incidents handled, patches deployed, training completion, phishing click rates. These are operational metrics presented in a governance forum, and they share the property of generally improving.</w:t>
      </w:r>
    </w:p>
    <w:p>
      <w:pPr>
        <w:pStyle w:val="BodyText"/>
      </w:pPr>
      <w:r>
        <w:t xml:space="preserve">A board cannot govern from activity data. It needs to know whether exposure is increasing or decreasing, where the organization is deliberately accepting risk, what decisions are required, and what the consequences of deferring them are. Reporting that never contains bad news is not reassuring; it indicates the reporting has been designed to avoid producing any.</w:t>
      </w:r>
    </w:p>
    <w:p>
      <w:pPr>
        <w:pStyle w:val="Heading4"/>
      </w:pPr>
      <w:bookmarkStart w:id="45" w:name="the-common-thread"/>
      <w:r>
        <w:t xml:space="preserve">The common thread</w:t>
      </w:r>
      <w:bookmarkEnd w:id="45"/>
    </w:p>
    <w:p>
      <w:pPr>
        <w:pStyle w:val="FirstParagraph"/>
      </w:pPr>
      <w:r>
        <w:t xml:space="preserve">None of these gaps is technical, and none would be closed by additional tooling. Each is a failure to decide: what risk is acceptable, who decides, what happens when policy is breached, when a relationship should be reassessed, and what leadership needs to know.</w:t>
      </w:r>
    </w:p>
    <w:p>
      <w:pPr>
        <w:pStyle w:val="BodyText"/>
      </w:pPr>
      <w:r>
        <w:t xml:space="preserve">That is what distinguishes governance from control implementation. Controls answer</w:t>
      </w:r>
      <w:r>
        <w:t xml:space="preserve"> </w:t>
      </w:r>
      <w:r>
        <w:rPr>
          <w:i/>
        </w:rPr>
        <w:t xml:space="preserve">are we doing the thing correctly</w:t>
      </w:r>
      <w:r>
        <w:t xml:space="preserve">. Governance answers</w:t>
      </w:r>
      <w:r>
        <w:t xml:space="preserve"> </w:t>
      </w:r>
      <w:r>
        <w:rPr>
          <w:i/>
        </w:rPr>
        <w:t xml:space="preserve">is it the right thing, who said so, and what happens when it stops being true</w:t>
      </w:r>
      <w:r>
        <w:t xml:space="preserve">.</w:t>
      </w:r>
    </w:p>
    <w:p>
      <w:pPr>
        <w:pStyle w:val="BodyText"/>
      </w:pPr>
      <w:r>
        <w:rPr>
          <w:b/>
        </w:rPr>
        <w:t xml:space="preserve">Key takeaways</w:t>
      </w:r>
      <w:r>
        <w:t xml:space="preserve"> </w:t>
      </w:r>
      <w:r>
        <w:t xml:space="preserve">1. Certification confirms controls operate; it says little about whether the right controls were chosen.</w:t>
      </w:r>
      <w:r>
        <w:t xml:space="preserve"> </w:t>
      </w:r>
      <w:r>
        <w:t xml:space="preserve">2. Without a stated risk appetite, risk is accepted informally at every level and recorded nowhere.</w:t>
      </w:r>
      <w:r>
        <w:t xml:space="preserve"> </w:t>
      </w:r>
      <w:r>
        <w:t xml:space="preserve">3. If risks are only added and never closed, the register is a filing system rather than a decision tool.</w:t>
      </w:r>
      <w:r>
        <w:t xml:space="preserve"> </w:t>
      </w:r>
      <w:r>
        <w:t xml:space="preserve">4. A policy that has never caused something not to happen is documentation, not governance.</w:t>
      </w:r>
      <w:r>
        <w:t xml:space="preserve"> </w:t>
      </w:r>
      <w:r>
        <w:t xml:space="preserve">5. Board reporting that never contains bad news has been designed not to produce any.</w:t>
      </w:r>
      <w:r>
        <w:t xml:space="preserve"> </w:t>
      </w:r>
    </w:p>
    <w:p>
      <w:pPr>
        <w:pStyle w:val="Heading1"/>
      </w:pPr>
      <w:bookmarkStart w:id="46" w:name="article-4"/>
      <w:r>
        <w:t xml:space="preserve">ARTICLE 4</w:t>
      </w:r>
      <w:bookmarkEnd w:id="46"/>
    </w:p>
    <w:p>
      <w:pPr>
        <w:pStyle w:val="Heading2"/>
      </w:pPr>
      <w:bookmarkStart w:id="47" w:name="Xb94425a55840b103a4c0acadaed25670952c7af"/>
      <w:r>
        <w:t xml:space="preserve">Building a cybersecurity risk register that gets used</w:t>
      </w:r>
      <w:bookmarkEnd w:id="4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b/>
              </w:rPr>
              <w:t xml:space="preserve">Slug</w:t>
            </w:r>
          </w:p>
        </w:tc>
        <w:tc>
          <w:p>
            <w:pPr>
              <w:pStyle w:val="Compact"/>
              <w:jc w:val="left"/>
            </w:pPr>
            <w:r>
              <w:rPr>
                <w:rStyle w:val="VerbatimChar"/>
              </w:rPr>
              <w:t xml:space="preserve">building-a-cybersecurity-risk-register-that-gets-used</w:t>
            </w:r>
          </w:p>
        </w:tc>
      </w:tr>
      <w:tr>
        <w:tc>
          <w:p>
            <w:pPr>
              <w:pStyle w:val="Compact"/>
              <w:jc w:val="left"/>
            </w:pPr>
            <w:r>
              <w:rPr>
                <w:b/>
              </w:rPr>
              <w:t xml:space="preserve">Category</w:t>
            </w:r>
          </w:p>
        </w:tc>
        <w:tc>
          <w:p>
            <w:pPr>
              <w:pStyle w:val="Compact"/>
              <w:jc w:val="left"/>
            </w:pPr>
            <w:r>
              <w:t xml:space="preserve">GRC</w:t>
            </w:r>
          </w:p>
        </w:tc>
      </w:tr>
      <w:tr>
        <w:tc>
          <w:p>
            <w:pPr>
              <w:pStyle w:val="Compact"/>
              <w:jc w:val="left"/>
            </w:pPr>
            <w:r>
              <w:rPr>
                <w:b/>
              </w:rPr>
              <w:t xml:space="preserve">Content type</w:t>
            </w:r>
          </w:p>
        </w:tc>
        <w:tc>
          <w:p>
            <w:pPr>
              <w:pStyle w:val="Compact"/>
              <w:jc w:val="left"/>
            </w:pPr>
            <w:r>
              <w:t xml:space="preserve">Article</w:t>
            </w:r>
          </w:p>
        </w:tc>
      </w:tr>
      <w:tr>
        <w:tc>
          <w:p>
            <w:pPr>
              <w:pStyle w:val="Compact"/>
              <w:jc w:val="left"/>
            </w:pPr>
            <w:r>
              <w:rPr>
                <w:b/>
              </w:rPr>
              <w:t xml:space="preserve">Target keyword</w:t>
            </w:r>
          </w:p>
        </w:tc>
        <w:tc>
          <w:p>
            <w:pPr>
              <w:pStyle w:val="Compact"/>
              <w:jc w:val="left"/>
            </w:pPr>
            <w:r>
              <w:t xml:space="preserve">cybersecurity risk register</w:t>
            </w:r>
          </w:p>
        </w:tc>
      </w:tr>
      <w:tr>
        <w:tc>
          <w:p>
            <w:pPr>
              <w:pStyle w:val="Compact"/>
              <w:jc w:val="left"/>
            </w:pPr>
            <w:r>
              <w:rPr>
                <w:b/>
              </w:rPr>
              <w:t xml:space="preserve">SEO title</w:t>
            </w:r>
          </w:p>
        </w:tc>
        <w:tc>
          <w:p>
            <w:pPr>
              <w:pStyle w:val="Compact"/>
              <w:jc w:val="left"/>
            </w:pPr>
            <w:r>
              <w:t xml:space="preserve">Building a Cybersecurity Risk Register That Gets Used</w:t>
            </w:r>
          </w:p>
        </w:tc>
      </w:tr>
      <w:tr>
        <w:tc>
          <w:p>
            <w:pPr>
              <w:pStyle w:val="Compact"/>
              <w:jc w:val="left"/>
            </w:pPr>
            <w:r>
              <w:rPr>
                <w:b/>
              </w:rPr>
              <w:t xml:space="preserve">Meta description</w:t>
            </w:r>
          </w:p>
        </w:tc>
        <w:tc>
          <w:p>
            <w:pPr>
              <w:pStyle w:val="Compact"/>
              <w:jc w:val="left"/>
            </w:pPr>
            <w:r>
              <w:t xml:space="preserve">Most risk registers are maintained for auditors and consulted by nobody. What separates a register that drives decisions from one that files them.</w:t>
            </w:r>
          </w:p>
        </w:tc>
      </w:tr>
      <w:tr>
        <w:tc>
          <w:p>
            <w:pPr>
              <w:pStyle w:val="Compact"/>
              <w:jc w:val="left"/>
            </w:pPr>
            <w:r>
              <w:rPr>
                <w:b/>
              </w:rPr>
              <w:t xml:space="preserve">Related services</w:t>
            </w:r>
          </w:p>
        </w:tc>
        <w:tc>
          <w:p>
            <w:pPr>
              <w:pStyle w:val="Compact"/>
              <w:jc w:val="left"/>
            </w:pPr>
            <w:r>
              <w:t xml:space="preserve">GRC · IT Governance · Cybersecurity</w:t>
            </w:r>
          </w:p>
        </w:tc>
      </w:tr>
      <w:tr>
        <w:tc>
          <w:p>
            <w:pPr>
              <w:pStyle w:val="Compact"/>
              <w:jc w:val="left"/>
            </w:pPr>
            <w:r>
              <w:rPr>
                <w:b/>
              </w:rPr>
              <w:t xml:space="preserve">CTA</w:t>
            </w:r>
          </w:p>
        </w:tc>
        <w:tc>
          <w:p>
            <w:pPr>
              <w:pStyle w:val="Compact"/>
              <w:jc w:val="left"/>
            </w:pPr>
            <w:r>
              <w:t xml:space="preserve">Assess Your GRC Maturity</w:t>
            </w:r>
          </w:p>
        </w:tc>
      </w:tr>
    </w:tbl>
    <w:p>
      <w:pPr>
        <w:pStyle w:val="BodyText"/>
      </w:pPr>
      <w:r>
        <w:rPr>
          <w:b/>
        </w:rPr>
        <w:t xml:space="preserve">Excerpt</w:t>
      </w:r>
      <w:r>
        <w:t xml:space="preserve"> </w:t>
      </w:r>
      <w:r>
        <w:t xml:space="preserve">Most risk registers are written for an auditor and read by nobody. The difference between a register that files risk and one that drives decisions comes down to about six design choices.</w:t>
      </w:r>
    </w:p>
    <w:p>
      <w:pPr>
        <w:pStyle w:val="BodyText"/>
      </w:pPr>
      <w:r>
        <w:rPr>
          <w:b/>
        </w:rPr>
        <w:t xml:space="preserve">Executive summary</w:t>
      </w:r>
      <w:r>
        <w:t xml:space="preserve"> </w:t>
      </w:r>
      <w:r>
        <w:t xml:space="preserve">A risk register fails when it is built as evidence rather than as a decision instrument. Six choices — scope, ownership, quantification, the accept path, review cadence, and the closure rule — determine which kind you end up with.</w:t>
      </w:r>
    </w:p>
    <w:p>
      <w:pPr>
        <w:pStyle w:val="Heading3"/>
      </w:pPr>
      <w:bookmarkStart w:id="48" w:name="body-3"/>
      <w:r>
        <w:t xml:space="preserve">Body</w:t>
      </w:r>
      <w:bookmarkEnd w:id="48"/>
    </w:p>
    <w:p>
      <w:pPr>
        <w:pStyle w:val="FirstParagraph"/>
      </w:pPr>
      <w:r>
        <w:t xml:space="preserve">Nearly every organization subject to a security framework maintains a risk register. A much smaller number use one. The gap between those two states is not effort — failed registers are often meticulously maintained — but design intent.</w:t>
      </w:r>
    </w:p>
    <w:p>
      <w:pPr>
        <w:pStyle w:val="BodyText"/>
      </w:pPr>
      <w:r>
        <w:t xml:space="preserve">A register built to demonstrate that risks are tracked will be complete, well-formatted and inert. A register built to force decisions will be shorter, more contested, and occasionally uncomfortable to present. Six choices determine which you get.</w:t>
      </w:r>
    </w:p>
    <w:p>
      <w:pPr>
        <w:pStyle w:val="Heading4"/>
      </w:pPr>
      <w:bookmarkStart w:id="49" w:name="X5b9dfad908dc5c4afd36eebcb87e9b1caaf0cd2"/>
      <w:r>
        <w:t xml:space="preserve">1. Scope it to decisions, not to completeness</w:t>
      </w:r>
      <w:bookmarkEnd w:id="49"/>
    </w:p>
    <w:p>
      <w:pPr>
        <w:pStyle w:val="FirstParagraph"/>
      </w:pPr>
      <w:r>
        <w:t xml:space="preserve">The instinct is to capture everything. The result is a register of two hundred entries in which the fifteen that matter are indistinguishable from the rest.</w:t>
      </w:r>
    </w:p>
    <w:p>
      <w:pPr>
        <w:pStyle w:val="BodyText"/>
      </w:pPr>
      <w:r>
        <w:t xml:space="preserve">A register earns attention by being short enough to read. If it exceeds what a leadership team can review in a meeting, it will not be reviewed by a leadership team. Aggregate the routine into themed entries and reserve individual lines for risks that require a decision from someone senior. Everything else belongs in an operational issue tracker, which is a different instrument for a different purpose.</w:t>
      </w:r>
    </w:p>
    <w:p>
      <w:pPr>
        <w:pStyle w:val="Heading4"/>
      </w:pPr>
      <w:bookmarkStart w:id="50" w:name="name-a-person-not-a-function"/>
      <w:r>
        <w:t xml:space="preserve">2. Name a person, not a function</w:t>
      </w:r>
      <w:bookmarkEnd w:id="50"/>
    </w:p>
    <w:p>
      <w:pPr>
        <w:pStyle w:val="FirstParagraph"/>
      </w:pPr>
      <w:r>
        <w:t xml:space="preserve">“</w:t>
      </w:r>
      <w:r>
        <w:t xml:space="preserve">IT</w:t>
      </w:r>
      <w:r>
        <w:t xml:space="preserve">”</w:t>
      </w:r>
      <w:r>
        <w:t xml:space="preserve"> </w:t>
      </w:r>
      <w:r>
        <w:t xml:space="preserve">does not own a risk.</w:t>
      </w:r>
      <w:r>
        <w:t xml:space="preserve"> </w:t>
      </w:r>
      <w:r>
        <w:t xml:space="preserve">“</w:t>
      </w:r>
      <w:r>
        <w:t xml:space="preserve">The Security Team</w:t>
      </w:r>
      <w:r>
        <w:t xml:space="preserve">”</w:t>
      </w:r>
      <w:r>
        <w:t xml:space="preserve"> </w:t>
      </w:r>
      <w:r>
        <w:t xml:space="preserve">does not own a risk. A named individual owns it, and that individual must have the authority to do something about it or to escalate it to someone who can.</w:t>
      </w:r>
    </w:p>
    <w:p>
      <w:pPr>
        <w:pStyle w:val="BodyText"/>
      </w:pPr>
      <w:r>
        <w:t xml:space="preserve">Where ownership is assigned to a function, the risk is owned by nobody. Where it is assigned to someone without authority, the register becomes a record of things people cannot fix — which is demoralising and, worse, teaches the organization that entries do not lead to action.</w:t>
      </w:r>
    </w:p>
    <w:p>
      <w:pPr>
        <w:pStyle w:val="Heading4"/>
      </w:pPr>
      <w:bookmarkStart w:id="51" w:name="Xfa1da9c1a876090f7c3f957eb580c8e06db7590"/>
      <w:r>
        <w:t xml:space="preserve">3. Express impact in business terms, and be honest about precision</w:t>
      </w:r>
      <w:bookmarkEnd w:id="51"/>
    </w:p>
    <w:p>
      <w:pPr>
        <w:pStyle w:val="FirstParagraph"/>
      </w:pPr>
      <w:r>
        <w:t xml:space="preserve">Risk scoring generates false confidence. A 4×4 matrix producing a score of 12 implies a precision that does not exist, and organizations then argue about whether something is a 12 or a 9 rather than about what to do.</w:t>
      </w:r>
    </w:p>
    <w:p>
      <w:pPr>
        <w:pStyle w:val="BodyText"/>
      </w:pPr>
      <w:r>
        <w:t xml:space="preserve">Where quantification is possible, express impact as a range in business terms: days of disruption, revenue at risk, contractual or regulatory consequence. Where it is not possible, say so — an entry reading</w:t>
      </w:r>
      <w:r>
        <w:t xml:space="preserve"> </w:t>
      </w:r>
      <w:r>
        <w:t xml:space="preserve">“</w:t>
      </w:r>
      <w:r>
        <w:t xml:space="preserve">impact: unquantified, would prevent order fulfilment</w:t>
      </w:r>
      <w:r>
        <w:t xml:space="preserve">”</w:t>
      </w:r>
      <w:r>
        <w:t xml:space="preserve"> </w:t>
      </w:r>
      <w:r>
        <w:t xml:space="preserve">is more useful than a fabricated number, because it is honest about what is known and it points at what would need to be true to decide.</w:t>
      </w:r>
    </w:p>
    <w:p>
      <w:pPr>
        <w:pStyle w:val="Heading4"/>
      </w:pPr>
      <w:bookmarkStart w:id="52" w:name="X84d1b94e5571613c05d5a6115b408f0752e7770"/>
      <w:r>
        <w:t xml:space="preserve">4. Make acceptance an explicit, signed, expiring act</w:t>
      </w:r>
      <w:bookmarkEnd w:id="52"/>
    </w:p>
    <w:p>
      <w:pPr>
        <w:pStyle w:val="FirstParagraph"/>
      </w:pPr>
      <w:r>
        <w:t xml:space="preserve">This is the single change that most improves a register, and the one most often missing.</w:t>
      </w:r>
    </w:p>
    <w:p>
      <w:pPr>
        <w:pStyle w:val="BodyText"/>
      </w:pPr>
      <w:r>
        <w:t xml:space="preserve">Most risks are accepted. That is legitimate — no organization treats everything. The failure is accepting risk implicitly, through inaction, with no record of who decided or why.</w:t>
      </w:r>
    </w:p>
    <w:p>
      <w:pPr>
        <w:pStyle w:val="BodyText"/>
      </w:pPr>
      <w:r>
        <w:t xml:space="preserve">Acceptance should require a named accepter at a defined authority level, a stated rationale, and an expiry date. The expiry is the important part. A risk accepted in a particular commercial context should be reconsidered when that context changes, and without an expiry it never will. Registers with an explicit acceptance path shrink, because people become noticeably more reluctant to sign their name to something than to let it sit unaddressed.</w:t>
      </w:r>
    </w:p>
    <w:p>
      <w:pPr>
        <w:pStyle w:val="Heading4"/>
      </w:pPr>
      <w:bookmarkStart w:id="53" w:name="X9e7588e6d41f986908f345f0da2be2a3cf00295"/>
      <w:r>
        <w:t xml:space="preserve">5. Review on a cadence that matches decision-making</w:t>
      </w:r>
      <w:bookmarkEnd w:id="53"/>
    </w:p>
    <w:p>
      <w:pPr>
        <w:pStyle w:val="FirstParagraph"/>
      </w:pPr>
      <w:r>
        <w:t xml:space="preserve">Annual review guarantees irrelevance. The register should be reviewed at whatever rhythm the organization actually makes resourcing decisions — usually quarterly, sometimes monthly — so that it can inform those decisions rather than describe them afterwards.</w:t>
      </w:r>
    </w:p>
    <w:p>
      <w:pPr>
        <w:pStyle w:val="BodyText"/>
      </w:pPr>
      <w:r>
        <w:t xml:space="preserve">The review should also be attended by people who can commit resources. A register reviewed by a working group with no budget authority produces recommendations that go to a forum which has not read the register.</w:t>
      </w:r>
    </w:p>
    <w:p>
      <w:pPr>
        <w:pStyle w:val="Heading4"/>
      </w:pPr>
      <w:bookmarkStart w:id="54" w:name="X714d0e6de35a8cecf2b1bb43be0a373d4842d8c"/>
      <w:r>
        <w:t xml:space="preserve">6. Define what closure means before you need it</w:t>
      </w:r>
      <w:bookmarkEnd w:id="54"/>
    </w:p>
    <w:p>
      <w:pPr>
        <w:pStyle w:val="FirstParagraph"/>
      </w:pPr>
      <w:r>
        <w:t xml:space="preserve">Registers that only grow lose credibility. A risk closes when the exposure is genuinely removed, when the underlying asset or process no longer exists, or when it has been formally accepted with the record above. It does not close because a project finished, because someone left, or because it has been open long enough to feel stale.</w:t>
      </w:r>
    </w:p>
    <w:p>
      <w:pPr>
        <w:pStyle w:val="BodyText"/>
      </w:pPr>
      <w:r>
        <w:t xml:space="preserve">Stating this rule in advance prevents the slow erosion where entries quietly disappear.</w:t>
      </w:r>
    </w:p>
    <w:p>
      <w:pPr>
        <w:pStyle w:val="Heading4"/>
      </w:pPr>
      <w:bookmarkStart w:id="55" w:name="the-test"/>
      <w:r>
        <w:t xml:space="preserve">The test</w:t>
      </w:r>
      <w:bookmarkEnd w:id="55"/>
    </w:p>
    <w:p>
      <w:pPr>
        <w:pStyle w:val="FirstParagraph"/>
      </w:pPr>
      <w:r>
        <w:t xml:space="preserve">Take the last three material security decisions the organization made — a spend approval, a deferred remediation, a rejected architecture. Trace each back to the register.</w:t>
      </w:r>
    </w:p>
    <w:p>
      <w:pPr>
        <w:pStyle w:val="BodyText"/>
      </w:pPr>
      <w:r>
        <w:t xml:space="preserve">If they are there, the register is working. If they are not, then decisions are being made somewhere else, and the register is documenting a parallel reality maintained for the benefit of an auditor. That is worth knowing, because it means the actual decisions are being made without the structure that was built to inform them.</w:t>
      </w:r>
    </w:p>
    <w:p>
      <w:pPr>
        <w:pStyle w:val="BodyText"/>
      </w:pPr>
      <w:r>
        <w:rPr>
          <w:b/>
        </w:rPr>
        <w:t xml:space="preserve">Key takeaways</w:t>
      </w:r>
      <w:r>
        <w:t xml:space="preserve"> </w:t>
      </w:r>
      <w:r>
        <w:t xml:space="preserve">1. Scope the register to risks requiring a senior decision; route the rest to an operational tracker.</w:t>
      </w:r>
      <w:r>
        <w:t xml:space="preserve"> </w:t>
      </w:r>
      <w:r>
        <w:t xml:space="preserve">2. Assign ownership to a named individual with authority, never to a function.</w:t>
      </w:r>
      <w:r>
        <w:t xml:space="preserve"> </w:t>
      </w:r>
      <w:r>
        <w:t xml:space="preserve">3. Prefer an honest</w:t>
      </w:r>
      <w:r>
        <w:t xml:space="preserve"> </w:t>
      </w:r>
      <w:r>
        <w:t xml:space="preserve">“</w:t>
      </w:r>
      <w:r>
        <w:t xml:space="preserve">unquantified, would halt fulfilment</w:t>
      </w:r>
      <w:r>
        <w:t xml:space="preserve">”</w:t>
      </w:r>
      <w:r>
        <w:t xml:space="preserve"> </w:t>
      </w:r>
      <w:r>
        <w:t xml:space="preserve">to a fabricated numeric score.</w:t>
      </w:r>
      <w:r>
        <w:t xml:space="preserve"> </w:t>
      </w:r>
      <w:r>
        <w:t xml:space="preserve">4. Make risk acceptance explicit, attributed and expiring — this single change shrinks most registers.</w:t>
      </w:r>
      <w:r>
        <w:t xml:space="preserve"> </w:t>
      </w:r>
      <w:r>
        <w:t xml:space="preserve">5. Trace your last three material security decisions back to the register. If they are absent, decisions are being made elsewhere.</w:t>
      </w:r>
    </w:p>
    <w:p>
      <w:pPr>
        <w:pStyle w:val="Heading1"/>
      </w:pPr>
      <w:bookmarkStart w:id="56" w:name="article-5"/>
      <w:r>
        <w:t xml:space="preserve">ARTICLE 5</w:t>
      </w:r>
      <w:bookmarkEnd w:id="56"/>
    </w:p>
    <w:p>
      <w:pPr>
        <w:pStyle w:val="Heading2"/>
      </w:pPr>
      <w:bookmarkStart w:id="57" w:name="Xe5108648cc2d3136e968aa793ffa2b4228cd1ab"/>
      <w:r>
        <w:t xml:space="preserve">AI security and AI governance are not the same problem</w:t>
      </w:r>
      <w:bookmarkEnd w:id="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b/>
              </w:rPr>
              <w:t xml:space="preserve">Slug</w:t>
            </w:r>
          </w:p>
        </w:tc>
        <w:tc>
          <w:p>
            <w:pPr>
              <w:pStyle w:val="Compact"/>
              <w:jc w:val="left"/>
            </w:pPr>
            <w:r>
              <w:rPr>
                <w:rStyle w:val="VerbatimChar"/>
              </w:rPr>
              <w:t xml:space="preserve">ai-security-and-ai-governance-are-not-the-same-problem</w:t>
            </w:r>
          </w:p>
        </w:tc>
      </w:tr>
      <w:tr>
        <w:tc>
          <w:p>
            <w:pPr>
              <w:pStyle w:val="Compact"/>
              <w:jc w:val="left"/>
            </w:pPr>
            <w:r>
              <w:rPr>
                <w:b/>
              </w:rPr>
              <w:t xml:space="preserve">Category</w:t>
            </w:r>
          </w:p>
        </w:tc>
        <w:tc>
          <w:p>
            <w:pPr>
              <w:pStyle w:val="Compact"/>
              <w:jc w:val="left"/>
            </w:pPr>
            <w:r>
              <w:t xml:space="preserve">AI Governance</w:t>
            </w:r>
          </w:p>
        </w:tc>
      </w:tr>
      <w:tr>
        <w:tc>
          <w:p>
            <w:pPr>
              <w:pStyle w:val="Compact"/>
              <w:jc w:val="left"/>
            </w:pPr>
            <w:r>
              <w:rPr>
                <w:b/>
              </w:rPr>
              <w:t xml:space="preserve">Content type</w:t>
            </w:r>
          </w:p>
        </w:tc>
        <w:tc>
          <w:p>
            <w:pPr>
              <w:pStyle w:val="Compact"/>
              <w:jc w:val="left"/>
            </w:pPr>
            <w:r>
              <w:t xml:space="preserve">Article</w:t>
            </w:r>
          </w:p>
        </w:tc>
      </w:tr>
      <w:tr>
        <w:tc>
          <w:p>
            <w:pPr>
              <w:pStyle w:val="Compact"/>
              <w:jc w:val="left"/>
            </w:pPr>
            <w:r>
              <w:rPr>
                <w:b/>
              </w:rPr>
              <w:t xml:space="preserve">Target keyword</w:t>
            </w:r>
          </w:p>
        </w:tc>
        <w:tc>
          <w:p>
            <w:pPr>
              <w:pStyle w:val="Compact"/>
              <w:jc w:val="left"/>
            </w:pPr>
            <w:r>
              <w:t xml:space="preserve">AI security vs AI governance</w:t>
            </w:r>
          </w:p>
        </w:tc>
      </w:tr>
      <w:tr>
        <w:tc>
          <w:p>
            <w:pPr>
              <w:pStyle w:val="Compact"/>
              <w:jc w:val="left"/>
            </w:pPr>
            <w:r>
              <w:rPr>
                <w:b/>
              </w:rPr>
              <w:t xml:space="preserve">SEO title</w:t>
            </w:r>
          </w:p>
        </w:tc>
        <w:tc>
          <w:p>
            <w:pPr>
              <w:pStyle w:val="Compact"/>
              <w:jc w:val="left"/>
            </w:pPr>
            <w:r>
              <w:t xml:space="preserve">AI Security and AI Governance Are Not the Same Problem</w:t>
            </w:r>
          </w:p>
        </w:tc>
      </w:tr>
      <w:tr>
        <w:tc>
          <w:p>
            <w:pPr>
              <w:pStyle w:val="Compact"/>
              <w:jc w:val="left"/>
            </w:pPr>
            <w:r>
              <w:rPr>
                <w:b/>
              </w:rPr>
              <w:t xml:space="preserve">Meta description</w:t>
            </w:r>
          </w:p>
        </w:tc>
        <w:tc>
          <w:p>
            <w:pPr>
              <w:pStyle w:val="Compact"/>
              <w:jc w:val="left"/>
            </w:pPr>
            <w:r>
              <w:t xml:space="preserve">Security asks whether the AI system can be trusted to operate safely. Governance asks whether it should exist at all. Conflating them leaves a gap.</w:t>
            </w:r>
          </w:p>
        </w:tc>
      </w:tr>
      <w:tr>
        <w:tc>
          <w:p>
            <w:pPr>
              <w:pStyle w:val="Compact"/>
              <w:jc w:val="left"/>
            </w:pPr>
            <w:r>
              <w:rPr>
                <w:b/>
              </w:rPr>
              <w:t xml:space="preserve">Related services</w:t>
            </w:r>
          </w:p>
        </w:tc>
        <w:tc>
          <w:p>
            <w:pPr>
              <w:pStyle w:val="Compact"/>
              <w:jc w:val="left"/>
            </w:pPr>
            <w:r>
              <w:t xml:space="preserve">AI Governance · Cybersecurity · GRC</w:t>
            </w:r>
          </w:p>
        </w:tc>
      </w:tr>
      <w:tr>
        <w:tc>
          <w:p>
            <w:pPr>
              <w:pStyle w:val="Compact"/>
              <w:jc w:val="left"/>
            </w:pPr>
            <w:r>
              <w:rPr>
                <w:b/>
              </w:rPr>
              <w:t xml:space="preserve">CTA</w:t>
            </w:r>
          </w:p>
        </w:tc>
        <w:tc>
          <w:p>
            <w:pPr>
              <w:pStyle w:val="Compact"/>
              <w:jc w:val="left"/>
            </w:pPr>
            <w:r>
              <w:t xml:space="preserve">Assess Your AI Governance Readiness</w:t>
            </w:r>
          </w:p>
        </w:tc>
      </w:tr>
    </w:tbl>
    <w:p>
      <w:pPr>
        <w:pStyle w:val="BodyText"/>
      </w:pPr>
      <w:r>
        <w:rPr>
          <w:b/>
        </w:rPr>
        <w:t xml:space="preserve">Excerpt</w:t>
      </w:r>
      <w:r>
        <w:t xml:space="preserve"> </w:t>
      </w:r>
      <w:r>
        <w:t xml:space="preserve">One asks whether the system can be attacked. The other asks whether the system should exist, who authorised it, and who answers for what it decides. Organizations routinely fund the first and assume it covers the second.</w:t>
      </w:r>
    </w:p>
    <w:p>
      <w:pPr>
        <w:pStyle w:val="BodyText"/>
      </w:pPr>
      <w:r>
        <w:rPr>
          <w:b/>
        </w:rPr>
        <w:t xml:space="preserve">Executive summary</w:t>
      </w:r>
      <w:r>
        <w:t xml:space="preserve"> </w:t>
      </w:r>
      <w:r>
        <w:t xml:space="preserve">AI security protects the system. AI governance decides whether the system should operate, under what constraints, and who is accountable for its outputs. They have different owners, different failure modes, and different evidence — and an organization can be strong at one while carrying serious exposure in the other.</w:t>
      </w:r>
    </w:p>
    <w:p>
      <w:pPr>
        <w:pStyle w:val="Heading3"/>
      </w:pPr>
      <w:bookmarkStart w:id="58" w:name="body-4"/>
      <w:r>
        <w:t xml:space="preserve">Body</w:t>
      </w:r>
      <w:bookmarkEnd w:id="58"/>
    </w:p>
    <w:p>
      <w:pPr>
        <w:pStyle w:val="FirstParagraph"/>
      </w:pPr>
      <w:r>
        <w:t xml:space="preserve">When AI governance reaches the executive agenda, responsibility is frequently assigned to the security function on the reasonable-sounding basis that it is a technology risk. Security then does what security does well: threat models the system, reviews the data flows, assesses the vendor, tests the integration.</w:t>
      </w:r>
    </w:p>
    <w:p>
      <w:pPr>
        <w:pStyle w:val="BodyText"/>
      </w:pPr>
      <w:r>
        <w:t xml:space="preserve">All of that is necessary. None of it answers whether the system should have been deployed.</w:t>
      </w:r>
    </w:p>
    <w:p>
      <w:pPr>
        <w:pStyle w:val="Heading4"/>
      </w:pPr>
      <w:bookmarkStart w:id="59" w:name="the-two-questions"/>
      <w:r>
        <w:t xml:space="preserve">The two questions</w:t>
      </w:r>
      <w:bookmarkEnd w:id="59"/>
    </w:p>
    <w:p>
      <w:pPr>
        <w:pStyle w:val="FirstParagraph"/>
      </w:pPr>
      <w:r>
        <w:rPr>
          <w:b/>
        </w:rPr>
        <w:t xml:space="preserve">AI security</w:t>
      </w:r>
      <w:r>
        <w:t xml:space="preserve"> </w:t>
      </w:r>
      <w:r>
        <w:t xml:space="preserve">asks whether the system can be attacked or misused. Can the model be manipulated through crafted input? Can training or reference data be poisoned? Can the model be induced to disclose data it holds? Is the integration authenticated and rate-limited? Does the vendor’s platform meet your standards? Where does data go, and what is retained?</w:t>
      </w:r>
    </w:p>
    <w:p>
      <w:pPr>
        <w:pStyle w:val="BodyText"/>
      </w:pPr>
      <w:r>
        <w:t xml:space="preserve">These are recognisable questions. They extend existing application, data and third-party security practice, and existing capability substantially transfers.</w:t>
      </w:r>
    </w:p>
    <w:p>
      <w:pPr>
        <w:pStyle w:val="BodyText"/>
      </w:pPr>
      <w:r>
        <w:rPr>
          <w:b/>
        </w:rPr>
        <w:t xml:space="preserve">AI governance</w:t>
      </w:r>
      <w:r>
        <w:t xml:space="preserve"> </w:t>
      </w:r>
      <w:r>
        <w:t xml:space="preserve">asks a different set. Should this system be making this decision at all? Who authorised it, against what criteria? Whose outcomes does it affect, and do they know? If it is wrong, who is accountable — and can we detect that it is wrong? Can we explain a decision to a customer, a regulator or a court? Under what conditions do we switch it off, and who has that authority? What happens when the vendor changes the model beneath us?</w:t>
      </w:r>
    </w:p>
    <w:p>
      <w:pPr>
        <w:pStyle w:val="BodyText"/>
      </w:pPr>
      <w:r>
        <w:t xml:space="preserve">These are not security questions. They are questions about decision rights, accountability and the limits of delegation to a system.</w:t>
      </w:r>
    </w:p>
    <w:p>
      <w:pPr>
        <w:pStyle w:val="Heading4"/>
      </w:pPr>
      <w:bookmarkStart w:id="60" w:name="X414810f8bfc6ce73e7b3deb57f97b04c896e0f3"/>
      <w:r>
        <w:t xml:space="preserve">Why the distinction has practical consequences</w:t>
      </w:r>
      <w:bookmarkEnd w:id="60"/>
    </w:p>
    <w:p>
      <w:pPr>
        <w:pStyle w:val="FirstParagraph"/>
      </w:pPr>
      <w:r>
        <w:t xml:space="preserve">A system can be entirely secure and completely ungoverned. Consider a well-secured model, properly authenticated, no data leakage, a reputable vendor — which is quietly deciding which job applications a human ever sees, using criteria nobody has examined, with no record of who approved that use and no mechanism to detect drift in its behaviour.</w:t>
      </w:r>
    </w:p>
    <w:p>
      <w:pPr>
        <w:pStyle w:val="BodyText"/>
      </w:pPr>
      <w:r>
        <w:t xml:space="preserve">Security has done its job. The organization has an unmanaged and potentially serious exposure — legal, regulatory and reputational — and no control has failed, because no control was ever designed to catch it.</w:t>
      </w:r>
    </w:p>
    <w:p>
      <w:pPr>
        <w:pStyle w:val="BodyText"/>
      </w:pPr>
      <w:r>
        <w:t xml:space="preserve">The inverse also occurs, if less often: a use case carefully governed with documented approval, defined human oversight and monitored outcomes, running on an integration with an unrotated API key and unrestricted data egress.</w:t>
      </w:r>
    </w:p>
    <w:p>
      <w:pPr>
        <w:pStyle w:val="Heading4"/>
      </w:pPr>
      <w:bookmarkStart w:id="61" w:name="different-owners-different-evidence"/>
      <w:r>
        <w:t xml:space="preserve">Different owners, different evidence</w:t>
      </w:r>
      <w:bookmarkEnd w:id="61"/>
    </w:p>
    <w:p>
      <w:pPr>
        <w:pStyle w:val="FirstParagraph"/>
      </w:pPr>
      <w:r>
        <w:t xml:space="preserve">The two functions produce different artifacts and answer to different people.</w:t>
      </w:r>
    </w:p>
    <w:p>
      <w:pPr>
        <w:pStyle w:val="BodyText"/>
      </w:pPr>
      <w:r>
        <w:t xml:space="preserve">Security produces threat models, test results, vendor assessments and monitoring. Its counterparty is a security committee or a CISO.</w:t>
      </w:r>
    </w:p>
    <w:p>
      <w:pPr>
        <w:pStyle w:val="BodyText"/>
      </w:pPr>
      <w:r>
        <w:t xml:space="preserve">Governance produces an AI inventory, use-case approval records, an accountability matrix, human-oversight definitions, and outcome monitoring against defined criteria. Its counterparty is a risk committee, a board, general counsel — and increasingly a regulator.</w:t>
      </w:r>
    </w:p>
    <w:p>
      <w:pPr>
        <w:pStyle w:val="BodyText"/>
      </w:pPr>
      <w:r>
        <w:t xml:space="preserve">Assigning both to security typically produces good security artifacts and an assumption that governance is covered. The gap is invisible until something goes wrong, at which point the question asked is never</w:t>
      </w:r>
      <w:r>
        <w:t xml:space="preserve"> </w:t>
      </w:r>
      <w:r>
        <w:t xml:space="preserve">“</w:t>
      </w:r>
      <w:r>
        <w:t xml:space="preserve">was the endpoint secured</w:t>
      </w:r>
      <w:r>
        <w:t xml:space="preserve">”</w:t>
      </w:r>
      <w:r>
        <w:t xml:space="preserve">.</w:t>
      </w:r>
    </w:p>
    <w:p>
      <w:pPr>
        <w:pStyle w:val="Heading4"/>
      </w:pPr>
      <w:bookmarkStart w:id="62" w:name="how-to-structure-it"/>
      <w:r>
        <w:t xml:space="preserve">How to structure it</w:t>
      </w:r>
      <w:bookmarkEnd w:id="62"/>
    </w:p>
    <w:p>
      <w:pPr>
        <w:pStyle w:val="FirstParagraph"/>
      </w:pPr>
      <w:r>
        <w:t xml:space="preserve">Keep them separate and connected. Security owns protection of AI systems and reports through the existing security governance route. A cross-functional body — risk, legal, the business owner, security, data — owns the decision about whether a use case proceeds and under what constraints.</w:t>
      </w:r>
    </w:p>
    <w:p>
      <w:pPr>
        <w:pStyle w:val="BodyText"/>
      </w:pPr>
      <w:r>
        <w:t xml:space="preserve">Both draw on a single AI inventory. That inventory is the shared foundation, which is why building it precedes almost everything else: security cannot protect systems it has not enumerated, and governance cannot approve uses it does not know exist.</w:t>
      </w:r>
    </w:p>
    <w:p>
      <w:pPr>
        <w:pStyle w:val="BodyText"/>
      </w:pPr>
      <w:r>
        <w:t xml:space="preserve">The NIST AI Risk Management Framework is a reasonable structure for the governance side and maps cleanly onto existing NIST CSF-based security practice, which makes it a practical choice for organizations that already use CSF.</w:t>
      </w:r>
    </w:p>
    <w:p>
      <w:pPr>
        <w:pStyle w:val="BodyText"/>
      </w:pPr>
      <w:r>
        <w:rPr>
          <w:b/>
        </w:rPr>
        <w:t xml:space="preserve">Key takeaways</w:t>
      </w:r>
      <w:r>
        <w:t xml:space="preserve"> </w:t>
      </w:r>
      <w:r>
        <w:t xml:space="preserve">1. Security asks whether the system can be attacked; governance asks whether it should be operating and who answers for it.</w:t>
      </w:r>
      <w:r>
        <w:t xml:space="preserve"> </w:t>
      </w:r>
      <w:r>
        <w:t xml:space="preserve">2. A system can be fully secure and entirely ungoverned — no control fails, because none was designed to catch it.</w:t>
      </w:r>
      <w:r>
        <w:t xml:space="preserve"> </w:t>
      </w:r>
      <w:r>
        <w:t xml:space="preserve">3. The two produce different evidence for different forums: security committees versus risk committees, boards and counsel.</w:t>
      </w:r>
      <w:r>
        <w:t xml:space="preserve"> </w:t>
      </w:r>
      <w:r>
        <w:t xml:space="preserve">4. Assigning both to the security function typically yields strong security artifacts and an unexamined governance assumption.</w:t>
      </w:r>
      <w:r>
        <w:t xml:space="preserve"> </w:t>
      </w:r>
      <w:r>
        <w:t xml:space="preserve">5. Both depend on a single AI inventory, which is why enumeration precedes framework and policy work.</w:t>
      </w:r>
    </w:p>
    <w:p>
      <w:pPr>
        <w:pStyle w:val="Heading1"/>
      </w:pPr>
      <w:bookmarkStart w:id="63" w:name="article-6"/>
      <w:r>
        <w:t xml:space="preserve">ARTICLE 6</w:t>
      </w:r>
      <w:bookmarkEnd w:id="63"/>
    </w:p>
    <w:p>
      <w:pPr>
        <w:pStyle w:val="Heading2"/>
      </w:pPr>
      <w:bookmarkStart w:id="64" w:name="why-digital-transformation-programs-fail"/>
      <w:r>
        <w:t xml:space="preserve">Why digital transformation programs fail</w:t>
      </w:r>
      <w:bookmarkEnd w:id="6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b/>
              </w:rPr>
              <w:t xml:space="preserve">Slug</w:t>
            </w:r>
          </w:p>
        </w:tc>
        <w:tc>
          <w:p>
            <w:pPr>
              <w:pStyle w:val="Compact"/>
              <w:jc w:val="left"/>
            </w:pPr>
            <w:r>
              <w:rPr>
                <w:rStyle w:val="VerbatimChar"/>
              </w:rPr>
              <w:t xml:space="preserve">why-digital-transformation-programs-fail</w:t>
            </w:r>
          </w:p>
        </w:tc>
      </w:tr>
      <w:tr>
        <w:tc>
          <w:p>
            <w:pPr>
              <w:pStyle w:val="Compact"/>
              <w:jc w:val="left"/>
            </w:pPr>
            <w:r>
              <w:rPr>
                <w:b/>
              </w:rPr>
              <w:t xml:space="preserve">Category</w:t>
            </w:r>
          </w:p>
        </w:tc>
        <w:tc>
          <w:p>
            <w:pPr>
              <w:pStyle w:val="Compact"/>
              <w:jc w:val="left"/>
            </w:pPr>
            <w:r>
              <w:t xml:space="preserve">Digital Transformation</w:t>
            </w:r>
          </w:p>
        </w:tc>
      </w:tr>
      <w:tr>
        <w:tc>
          <w:p>
            <w:pPr>
              <w:pStyle w:val="Compact"/>
              <w:jc w:val="left"/>
            </w:pPr>
            <w:r>
              <w:rPr>
                <w:b/>
              </w:rPr>
              <w:t xml:space="preserve">Content type</w:t>
            </w:r>
          </w:p>
        </w:tc>
        <w:tc>
          <w:p>
            <w:pPr>
              <w:pStyle w:val="Compact"/>
              <w:jc w:val="left"/>
            </w:pPr>
            <w:r>
              <w:t xml:space="preserve">Article</w:t>
            </w:r>
          </w:p>
        </w:tc>
      </w:tr>
      <w:tr>
        <w:tc>
          <w:p>
            <w:pPr>
              <w:pStyle w:val="Compact"/>
              <w:jc w:val="left"/>
            </w:pPr>
            <w:r>
              <w:rPr>
                <w:b/>
              </w:rPr>
              <w:t xml:space="preserve">Target keyword</w:t>
            </w:r>
          </w:p>
        </w:tc>
        <w:tc>
          <w:p>
            <w:pPr>
              <w:pStyle w:val="Compact"/>
              <w:jc w:val="left"/>
            </w:pPr>
            <w:r>
              <w:t xml:space="preserve">why digital transformation fails</w:t>
            </w:r>
          </w:p>
        </w:tc>
      </w:tr>
      <w:tr>
        <w:tc>
          <w:p>
            <w:pPr>
              <w:pStyle w:val="Compact"/>
              <w:jc w:val="left"/>
            </w:pPr>
            <w:r>
              <w:rPr>
                <w:b/>
              </w:rPr>
              <w:t xml:space="preserve">SEO title</w:t>
            </w:r>
          </w:p>
        </w:tc>
        <w:tc>
          <w:p>
            <w:pPr>
              <w:pStyle w:val="Compact"/>
              <w:jc w:val="left"/>
            </w:pPr>
            <w:r>
              <w:t xml:space="preserve">Why Digital Transformation Programs Fail | CISOG</w:t>
            </w:r>
          </w:p>
        </w:tc>
      </w:tr>
      <w:tr>
        <w:tc>
          <w:p>
            <w:pPr>
              <w:pStyle w:val="Compact"/>
              <w:jc w:val="left"/>
            </w:pPr>
            <w:r>
              <w:rPr>
                <w:b/>
              </w:rPr>
              <w:t xml:space="preserve">Meta description</w:t>
            </w:r>
          </w:p>
        </w:tc>
        <w:tc>
          <w:p>
            <w:pPr>
              <w:pStyle w:val="Compact"/>
              <w:jc w:val="left"/>
            </w:pPr>
            <w:r>
              <w:t xml:space="preserve">Transformation programs rarely fail on technology. They fail on how they were scoped, governed and measured — usually decided before delivery began.</w:t>
            </w:r>
          </w:p>
        </w:tc>
      </w:tr>
      <w:tr>
        <w:tc>
          <w:p>
            <w:pPr>
              <w:pStyle w:val="Compact"/>
              <w:jc w:val="left"/>
            </w:pPr>
            <w:r>
              <w:rPr>
                <w:b/>
              </w:rPr>
              <w:t xml:space="preserve">Related services</w:t>
            </w:r>
          </w:p>
        </w:tc>
        <w:tc>
          <w:p>
            <w:pPr>
              <w:pStyle w:val="Compact"/>
              <w:jc w:val="left"/>
            </w:pPr>
            <w:r>
              <w:t xml:space="preserve">Digital Transformation · Technology Advisory · IT Governance</w:t>
            </w:r>
          </w:p>
        </w:tc>
      </w:tr>
      <w:tr>
        <w:tc>
          <w:p>
            <w:pPr>
              <w:pStyle w:val="Compact"/>
              <w:jc w:val="left"/>
            </w:pPr>
            <w:r>
              <w:rPr>
                <w:b/>
              </w:rPr>
              <w:t xml:space="preserve">CTA</w:t>
            </w:r>
          </w:p>
        </w:tc>
        <w:tc>
          <w:p>
            <w:pPr>
              <w:pStyle w:val="Compact"/>
              <w:jc w:val="left"/>
            </w:pPr>
            <w:r>
              <w:t xml:space="preserve">Discuss Your Transformation Roadmap</w:t>
            </w:r>
          </w:p>
        </w:tc>
      </w:tr>
    </w:tbl>
    <w:p>
      <w:pPr>
        <w:pStyle w:val="BodyText"/>
      </w:pPr>
      <w:r>
        <w:rPr>
          <w:b/>
        </w:rPr>
        <w:t xml:space="preserve">Excerpt</w:t>
      </w:r>
      <w:r>
        <w:t xml:space="preserve"> </w:t>
      </w:r>
      <w:r>
        <w:t xml:space="preserve">Transformation programs are rarely defeated by technology. They are defeated by decisions made before delivery started — how the work was scoped, who was allowed to decide, and what success was defined as.</w:t>
      </w:r>
    </w:p>
    <w:p>
      <w:pPr>
        <w:pStyle w:val="BodyText"/>
      </w:pPr>
      <w:r>
        <w:rPr>
          <w:b/>
        </w:rPr>
        <w:t xml:space="preserve">Executive summary</w:t>
      </w:r>
      <w:r>
        <w:t xml:space="preserve"> </w:t>
      </w:r>
      <w:r>
        <w:t xml:space="preserve">Four structural causes account for most transformation failure: pricing an operating-model change as a technology project, leaving decision rights undefined, measuring delivery instead of outcome, and sequencing by system architecture rather than business dependency.</w:t>
      </w:r>
    </w:p>
    <w:p>
      <w:pPr>
        <w:pStyle w:val="Heading3"/>
      </w:pPr>
      <w:bookmarkStart w:id="65" w:name="body-5"/>
      <w:r>
        <w:t xml:space="preserve">Body</w:t>
      </w:r>
      <w:bookmarkEnd w:id="65"/>
    </w:p>
    <w:p>
      <w:pPr>
        <w:pStyle w:val="FirstParagraph"/>
      </w:pPr>
      <w:r>
        <w:t xml:space="preserve">Post-mortems on failed transformation programs tend to produce the same explanations: insufficient executive sponsorship, underestimated change management, poor vendor performance. These are real, and they are mostly symptoms.</w:t>
      </w:r>
    </w:p>
    <w:p>
      <w:pPr>
        <w:pStyle w:val="BodyText"/>
      </w:pPr>
      <w:r>
        <w:t xml:space="preserve">The structural causes are decided earlier, usually during business-case development, and they are largely fixed by the time anyone is delivering anything.</w:t>
      </w:r>
    </w:p>
    <w:p>
      <w:pPr>
        <w:pStyle w:val="Heading4"/>
      </w:pPr>
      <w:bookmarkStart w:id="66" w:name="X84ece6bb34108cdc5f7309b9a9ba654ebf2a1df"/>
      <w:r>
        <w:t xml:space="preserve">1. An operating-model change was priced as a technology project</w:t>
      </w:r>
      <w:bookmarkEnd w:id="66"/>
    </w:p>
    <w:p>
      <w:pPr>
        <w:pStyle w:val="FirstParagraph"/>
      </w:pPr>
      <w:r>
        <w:t xml:space="preserve">This is the most consequential error and the hardest to correct once made.</w:t>
      </w:r>
    </w:p>
    <w:p>
      <w:pPr>
        <w:pStyle w:val="BodyText"/>
      </w:pPr>
      <w:r>
        <w:t xml:space="preserve">A business case is built around a platform: licence costs, implementation, integration, migration, training. It is approved on that basis. But the value in the case does not come from the platform — it comes from working differently, which means changed processes, changed roles, changed decision rights and often changed reporting lines.</w:t>
      </w:r>
    </w:p>
    <w:p>
      <w:pPr>
        <w:pStyle w:val="BodyText"/>
      </w:pPr>
      <w:r>
        <w:t xml:space="preserve">None of that is in the budget, because none of it looked like technology. Delivery then proceeds correctly and the organization arrives at the intended future state technically while continuing to operate in the previous one. The system goes live; the benefit does not.</w:t>
      </w:r>
    </w:p>
    <w:p>
      <w:pPr>
        <w:pStyle w:val="BodyText"/>
      </w:pPr>
      <w:r>
        <w:t xml:space="preserve">The tell is a business case in which the largest line items are all vendor-facing. If organizational change is not a material proportion of the cost, either the programme is not transformational or the case is incomplete.</w:t>
      </w:r>
    </w:p>
    <w:p>
      <w:pPr>
        <w:pStyle w:val="Heading4"/>
      </w:pPr>
      <w:bookmarkStart w:id="67" w:name="X954bdc62f5c26c96a9540ea4865db5ba3f35f9c"/>
      <w:r>
        <w:t xml:space="preserve">2. Nobody can decide anything quickly enough</w:t>
      </w:r>
      <w:bookmarkEnd w:id="67"/>
    </w:p>
    <w:p>
      <w:pPr>
        <w:pStyle w:val="FirstParagraph"/>
      </w:pPr>
      <w:r>
        <w:t xml:space="preserve">Transformation programs generate a continuous stream of decisions that cross organizational boundaries: whose process wins where two business units differ, whether to configure or change practice, which exceptions survive.</w:t>
      </w:r>
    </w:p>
    <w:p>
      <w:pPr>
        <w:pStyle w:val="BodyText"/>
      </w:pPr>
      <w:r>
        <w:t xml:space="preserve">These decisions arrive weekly. Where authority is unclear, each one escalates to a steering committee meeting monthly. The programme accumulates a backlog of blocked decisions, and the practical response is to defer them — usually by preserving existing practice through configuration, which is precisely the outcome the programme was meant to avoid.</w:t>
      </w:r>
    </w:p>
    <w:p>
      <w:pPr>
        <w:pStyle w:val="BodyText"/>
      </w:pPr>
      <w:r>
        <w:t xml:space="preserve">The remedy is unglamorous: name the decision-makers by domain before delivery starts, give them explicit authority within defined limits, and reserve the steering committee for decisions that genuinely exceed those limits.</w:t>
      </w:r>
    </w:p>
    <w:p>
      <w:pPr>
        <w:pStyle w:val="Heading4"/>
      </w:pPr>
      <w:bookmarkStart w:id="68" w:name="success-was-defined-as-delivery"/>
      <w:r>
        <w:t xml:space="preserve">3. Success was defined as delivery</w:t>
      </w:r>
      <w:bookmarkEnd w:id="68"/>
    </w:p>
    <w:p>
      <w:pPr>
        <w:pStyle w:val="FirstParagraph"/>
      </w:pPr>
      <w:r>
        <w:t xml:space="preserve">Programs are measured on scope, schedule and budget because those are measurable early and attributable to the programme team. Business outcomes are slower, noisier and partly outside the team’s control.</w:t>
      </w:r>
    </w:p>
    <w:p>
      <w:pPr>
        <w:pStyle w:val="BodyText"/>
      </w:pPr>
      <w:r>
        <w:t xml:space="preserve">So the programme optimises for what it is measured on. Scope is protected, dates are held, and the harder question — whether the organization now works differently — is deferred to a benefits realisation exercise that frequently does not happen, or happens after the team has dispersed.</w:t>
      </w:r>
    </w:p>
    <w:p>
      <w:pPr>
        <w:pStyle w:val="BodyText"/>
      </w:pPr>
      <w:r>
        <w:t xml:space="preserve">A programme that delivered on time and changed nothing is recorded as a success. This is why organizations sometimes complete several transformation programmes and remain untransformed.</w:t>
      </w:r>
    </w:p>
    <w:p>
      <w:pPr>
        <w:pStyle w:val="Heading4"/>
      </w:pPr>
      <w:bookmarkStart w:id="69" w:name="Xd258d6f45e0cec20e54fb8dddf79a103d3fcc77"/>
      <w:r>
        <w:t xml:space="preserve">4. Sequencing followed the architecture rather than the business</w:t>
      </w:r>
      <w:bookmarkEnd w:id="69"/>
    </w:p>
    <w:p>
      <w:pPr>
        <w:pStyle w:val="FirstParagraph"/>
      </w:pPr>
      <w:r>
        <w:t xml:space="preserve">Programs are commonly sequenced by technical dependency: foundation first, then core platforms, then the customer-facing layer where most of the visible value sits.</w:t>
      </w:r>
    </w:p>
    <w:p>
      <w:pPr>
        <w:pStyle w:val="BodyText"/>
      </w:pPr>
      <w:r>
        <w:t xml:space="preserve">This is defensible engineering and poor programme strategy. Eighteen months of foundational work produces no observable business change, which erodes sponsorship exactly when the difficult organizational decisions arrive. By the time the valuable phase begins, the political capital has been spent and the programme is defending its existence rather than driving change.</w:t>
      </w:r>
    </w:p>
    <w:p>
      <w:pPr>
        <w:pStyle w:val="BodyText"/>
      </w:pPr>
      <w:r>
        <w:t xml:space="preserve">Sequencing by business dependency — finding the smallest slice that produces a visible outcome, even if technically less elegant — buys the credibility required to sustain the rest.</w:t>
      </w:r>
    </w:p>
    <w:p>
      <w:pPr>
        <w:pStyle w:val="Heading4"/>
      </w:pPr>
      <w:bookmarkStart w:id="70" w:name="what-the-successful-ones-do-differently"/>
      <w:r>
        <w:t xml:space="preserve">What the successful ones do differently</w:t>
      </w:r>
      <w:bookmarkEnd w:id="70"/>
    </w:p>
    <w:p>
      <w:pPr>
        <w:pStyle w:val="FirstParagraph"/>
      </w:pPr>
      <w:r>
        <w:t xml:space="preserve">They treat technology as the smaller half of the work. They name decision-makers before delivery begins. They measure whether the organization operates differently, not whether the project completed. And they deliberately buy early credibility with a visible outcome, accepting some architectural inefficiency to do it.</w:t>
      </w:r>
    </w:p>
    <w:p>
      <w:pPr>
        <w:pStyle w:val="BodyText"/>
      </w:pPr>
      <w:r>
        <w:t xml:space="preserve">None of this is novel, and all of it is decided at business-case stage — which is the practical argument for spending considerably more time there than most organizations do.</w:t>
      </w:r>
    </w:p>
    <w:p>
      <w:pPr>
        <w:pStyle w:val="BodyText"/>
      </w:pPr>
      <w:r>
        <w:rPr>
          <w:b/>
        </w:rPr>
        <w:t xml:space="preserve">Key takeaways</w:t>
      </w:r>
      <w:r>
        <w:t xml:space="preserve"> </w:t>
      </w:r>
      <w:r>
        <w:t xml:space="preserve">1. If organizational change is not a material budget line, either the programme is not transformational or the case is incomplete.</w:t>
      </w:r>
      <w:r>
        <w:t xml:space="preserve"> </w:t>
      </w:r>
      <w:r>
        <w:t xml:space="preserve">2. Name decision-makers by domain with explicit authority before delivery starts; monthly steering cannot absorb weekly decisions.</w:t>
      </w:r>
      <w:r>
        <w:t xml:space="preserve"> </w:t>
      </w:r>
      <w:r>
        <w:t xml:space="preserve">3. Measuring delivery rather than outcome produces programs that finish on time and change nothing.</w:t>
      </w:r>
      <w:r>
        <w:t xml:space="preserve"> </w:t>
      </w:r>
      <w:r>
        <w:t xml:space="preserve">4. Sequencing by technical dependency spends sponsorship before it produces visible value.</w:t>
      </w:r>
      <w:r>
        <w:t xml:space="preserve"> </w:t>
      </w:r>
      <w:r>
        <w:t xml:space="preserve">5. These are business-case decisions, not delivery decisions — which is where the time should be spent.</w:t>
      </w:r>
      <w:r>
        <w:t xml:space="preserve"> </w:t>
      </w:r>
    </w:p>
    <w:p>
      <w:pPr>
        <w:pStyle w:val="Heading1"/>
      </w:pPr>
      <w:bookmarkStart w:id="71" w:name="article-7"/>
      <w:r>
        <w:t xml:space="preserve">ARTICLE 7</w:t>
      </w:r>
      <w:bookmarkEnd w:id="71"/>
    </w:p>
    <w:p>
      <w:pPr>
        <w:pStyle w:val="Heading2"/>
      </w:pPr>
      <w:bookmarkStart w:id="72" w:name="cybersecurity-versus-cyber-resilience"/>
      <w:r>
        <w:t xml:space="preserve">Cybersecurity versus cyber resilience</w:t>
      </w:r>
      <w:bookmarkEnd w:id="7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b/>
              </w:rPr>
              <w:t xml:space="preserve">Slug</w:t>
            </w:r>
          </w:p>
        </w:tc>
        <w:tc>
          <w:p>
            <w:pPr>
              <w:pStyle w:val="Compact"/>
              <w:jc w:val="left"/>
            </w:pPr>
            <w:r>
              <w:rPr>
                <w:rStyle w:val="VerbatimChar"/>
              </w:rPr>
              <w:t xml:space="preserve">cybersecurity-versus-cyber-resilience</w:t>
            </w:r>
          </w:p>
        </w:tc>
      </w:tr>
      <w:tr>
        <w:tc>
          <w:p>
            <w:pPr>
              <w:pStyle w:val="Compact"/>
              <w:jc w:val="left"/>
            </w:pPr>
            <w:r>
              <w:rPr>
                <w:b/>
              </w:rPr>
              <w:t xml:space="preserve">Category</w:t>
            </w:r>
          </w:p>
        </w:tc>
        <w:tc>
          <w:p>
            <w:pPr>
              <w:pStyle w:val="Compact"/>
              <w:jc w:val="left"/>
            </w:pPr>
            <w:r>
              <w:t xml:space="preserve">Executive Briefings</w:t>
            </w:r>
          </w:p>
        </w:tc>
      </w:tr>
      <w:tr>
        <w:tc>
          <w:p>
            <w:pPr>
              <w:pStyle w:val="Compact"/>
              <w:jc w:val="left"/>
            </w:pPr>
            <w:r>
              <w:rPr>
                <w:b/>
              </w:rPr>
              <w:t xml:space="preserve">Content type</w:t>
            </w:r>
          </w:p>
        </w:tc>
        <w:tc>
          <w:p>
            <w:pPr>
              <w:pStyle w:val="Compact"/>
              <w:jc w:val="left"/>
            </w:pPr>
            <w:r>
              <w:t xml:space="preserve">Executive Brief</w:t>
            </w:r>
          </w:p>
        </w:tc>
      </w:tr>
      <w:tr>
        <w:tc>
          <w:p>
            <w:pPr>
              <w:pStyle w:val="Compact"/>
              <w:jc w:val="left"/>
            </w:pPr>
            <w:r>
              <w:rPr>
                <w:b/>
              </w:rPr>
              <w:t xml:space="preserve">Target keyword</w:t>
            </w:r>
          </w:p>
        </w:tc>
        <w:tc>
          <w:p>
            <w:pPr>
              <w:pStyle w:val="Compact"/>
              <w:jc w:val="left"/>
            </w:pPr>
            <w:r>
              <w:t xml:space="preserve">cybersecurity vs cyber resilience</w:t>
            </w:r>
          </w:p>
        </w:tc>
      </w:tr>
      <w:tr>
        <w:tc>
          <w:p>
            <w:pPr>
              <w:pStyle w:val="Compact"/>
              <w:jc w:val="left"/>
            </w:pPr>
            <w:r>
              <w:rPr>
                <w:b/>
              </w:rPr>
              <w:t xml:space="preserve">SEO title</w:t>
            </w:r>
          </w:p>
        </w:tc>
        <w:tc>
          <w:p>
            <w:pPr>
              <w:pStyle w:val="Compact"/>
              <w:jc w:val="left"/>
            </w:pPr>
            <w:r>
              <w:t xml:space="preserve">Cybersecurity Versus Cyber Resilience | CISOG</w:t>
            </w:r>
          </w:p>
        </w:tc>
      </w:tr>
      <w:tr>
        <w:tc>
          <w:p>
            <w:pPr>
              <w:pStyle w:val="Compact"/>
              <w:jc w:val="left"/>
            </w:pPr>
            <w:r>
              <w:rPr>
                <w:b/>
              </w:rPr>
              <w:t xml:space="preserve">Meta description</w:t>
            </w:r>
          </w:p>
        </w:tc>
        <w:tc>
          <w:p>
            <w:pPr>
              <w:pStyle w:val="Compact"/>
              <w:jc w:val="left"/>
            </w:pPr>
            <w:r>
              <w:t xml:space="preserve">Security asks whether you can prevent an incident. Resilience asks what the organization does at hour six. Both matter; only one is usually funded.</w:t>
            </w:r>
          </w:p>
        </w:tc>
      </w:tr>
      <w:tr>
        <w:tc>
          <w:p>
            <w:pPr>
              <w:pStyle w:val="Compact"/>
              <w:jc w:val="left"/>
            </w:pPr>
            <w:r>
              <w:rPr>
                <w:b/>
              </w:rPr>
              <w:t xml:space="preserve">Related services</w:t>
            </w:r>
          </w:p>
        </w:tc>
        <w:tc>
          <w:p>
            <w:pPr>
              <w:pStyle w:val="Compact"/>
              <w:jc w:val="left"/>
            </w:pPr>
            <w:r>
              <w:t xml:space="preserve">Cybersecurity · CyberSecure 360 · Technology Advisory</w:t>
            </w:r>
          </w:p>
        </w:tc>
      </w:tr>
      <w:tr>
        <w:tc>
          <w:p>
            <w:pPr>
              <w:pStyle w:val="Compact"/>
              <w:jc w:val="left"/>
            </w:pPr>
            <w:r>
              <w:rPr>
                <w:b/>
              </w:rPr>
              <w:t xml:space="preserve">CTA</w:t>
            </w:r>
          </w:p>
        </w:tc>
        <w:tc>
          <w:p>
            <w:pPr>
              <w:pStyle w:val="Compact"/>
              <w:jc w:val="left"/>
            </w:pPr>
            <w:r>
              <w:t xml:space="preserve">Take the Cybersecurity Readiness Assessment</w:t>
            </w:r>
          </w:p>
        </w:tc>
      </w:tr>
    </w:tbl>
    <w:p>
      <w:pPr>
        <w:pStyle w:val="BodyText"/>
      </w:pPr>
      <w:r>
        <w:rPr>
          <w:b/>
        </w:rPr>
        <w:t xml:space="preserve">Excerpt</w:t>
      </w:r>
      <w:r>
        <w:t xml:space="preserve"> </w:t>
      </w:r>
      <w:r>
        <w:t xml:space="preserve">Security investment assumes prevention. Resilience assumes prevention will eventually fail and asks what the organization does next. Most programmes are heavily weighted toward the first.</w:t>
      </w:r>
    </w:p>
    <w:p>
      <w:pPr>
        <w:pStyle w:val="BodyText"/>
      </w:pPr>
      <w:r>
        <w:rPr>
          <w:b/>
        </w:rPr>
        <w:t xml:space="preserve">Executive summary</w:t>
      </w:r>
      <w:r>
        <w:t xml:space="preserve"> </w:t>
      </w:r>
      <w:r>
        <w:t xml:space="preserve">The two disciplines answer different questions and are budgeted very differently. Resilience is more often tested for the wrong scenario — recovering data rather than continuing to operate — and the distinction becomes expensive at exactly the wrong moment.</w:t>
      </w:r>
    </w:p>
    <w:p>
      <w:pPr>
        <w:pStyle w:val="Heading3"/>
      </w:pPr>
      <w:bookmarkStart w:id="73" w:name="body-6"/>
      <w:r>
        <w:t xml:space="preserve">Body</w:t>
      </w:r>
      <w:bookmarkEnd w:id="73"/>
    </w:p>
    <w:p>
      <w:pPr>
        <w:pStyle w:val="FirstParagraph"/>
      </w:pPr>
      <w:r>
        <w:t xml:space="preserve">The two terms are used interchangeably in most board papers. They describe different things, and the difference determines what an organization actually experiences during a bad week.</w:t>
      </w:r>
    </w:p>
    <w:p>
      <w:pPr>
        <w:pStyle w:val="BodyText"/>
      </w:pPr>
      <w:r>
        <w:rPr>
          <w:b/>
        </w:rPr>
        <w:t xml:space="preserve">Cybersecurity</w:t>
      </w:r>
      <w:r>
        <w:t xml:space="preserve"> </w:t>
      </w:r>
      <w:r>
        <w:t xml:space="preserve">is concerned with preventing and detecting compromise: controls, monitoring, hardening, access, awareness. Its implicit success condition is that nothing happens.</w:t>
      </w:r>
    </w:p>
    <w:p>
      <w:pPr>
        <w:pStyle w:val="BodyText"/>
      </w:pPr>
      <w:r>
        <w:rPr>
          <w:b/>
        </w:rPr>
        <w:t xml:space="preserve">Cyber resilience</w:t>
      </w:r>
      <w:r>
        <w:t xml:space="preserve"> </w:t>
      </w:r>
      <w:r>
        <w:t xml:space="preserve">assumes something will happen and is concerned with what follows: how quickly the organization detects it, how much it can continue to do while degraded, how long recovery takes, and what it costs in the interim.</w:t>
      </w:r>
    </w:p>
    <w:p>
      <w:pPr>
        <w:pStyle w:val="Heading4"/>
      </w:pPr>
      <w:bookmarkStart w:id="74" w:name="why-the-distinction-is-not-academic"/>
      <w:r>
        <w:t xml:space="preserve">Why the distinction is not academic</w:t>
      </w:r>
      <w:bookmarkEnd w:id="74"/>
    </w:p>
    <w:p>
      <w:pPr>
        <w:pStyle w:val="FirstParagraph"/>
      </w:pPr>
      <w:r>
        <w:t xml:space="preserve">Security programmes are easier to fund. They map to products, produce visible artifacts and align with audit expectations. Resilience is harder to sell because it requires an organization to plan explicitly for its own failure, which is culturally uncomfortable and produces nothing to demonstrate until it is needed.</w:t>
      </w:r>
    </w:p>
    <w:p>
      <w:pPr>
        <w:pStyle w:val="BodyText"/>
      </w:pPr>
      <w:r>
        <w:t xml:space="preserve">The result is a common asymmetry: substantial preventive investment alongside a business continuity plan that has never been tested against a realistic scenario.</w:t>
      </w:r>
    </w:p>
    <w:p>
      <w:pPr>
        <w:pStyle w:val="Heading4"/>
      </w:pPr>
      <w:bookmarkStart w:id="75" w:name="three-questions-that-separate-the-two"/>
      <w:r>
        <w:t xml:space="preserve">Three questions that separate the two</w:t>
      </w:r>
      <w:bookmarkEnd w:id="75"/>
    </w:p>
    <w:p>
      <w:pPr>
        <w:pStyle w:val="FirstParagraph"/>
      </w:pPr>
      <w:r>
        <w:rPr>
          <w:b/>
        </w:rPr>
        <w:t xml:space="preserve">How long can you operate without your critical systems, and how do you know?</w:t>
      </w:r>
      <w:r>
        <w:t xml:space="preserve"> </w:t>
      </w:r>
      <w:r>
        <w:t xml:space="preserve">Not the stated recovery time objective — the tested one. RTOs are frequently set by aspiration and never validated. An organization that has never attempted recovery under realistic conditions does not have a recovery time; it has a target.</w:t>
      </w:r>
    </w:p>
    <w:p>
      <w:pPr>
        <w:pStyle w:val="BodyText"/>
      </w:pPr>
      <w:r>
        <w:rPr>
          <w:b/>
        </w:rPr>
        <w:t xml:space="preserve">What can you continue doing while degraded?</w:t>
      </w:r>
      <w:r>
        <w:t xml:space="preserve"> </w:t>
      </w:r>
      <w:r>
        <w:t xml:space="preserve">This is the question resilience answers and security does not. If order processing is unavailable, can orders be taken another way? Can customers be told anything useful? Manual fallbacks are unfashionable and frequently the difference between a disruption and a crisis.</w:t>
      </w:r>
    </w:p>
    <w:p>
      <w:pPr>
        <w:pStyle w:val="BodyText"/>
      </w:pPr>
      <w:r>
        <w:rPr>
          <w:b/>
        </w:rPr>
        <w:t xml:space="preserve">Have you tested the right scenario?</w:t>
      </w:r>
      <w:r>
        <w:t xml:space="preserve"> </w:t>
      </w:r>
      <w:r>
        <w:t xml:space="preserve">Most continuity testing assumes a data-loss event: restore from backup, resume. Ransomware behaves differently — the environment is untrusted, restoration may reintroduce the intrusion, and the constraint is not backup availability but the time required to rebuild with confidence. Organizations that have tested only for data loss are often surprised by how little that rehearsal helps.</w:t>
      </w:r>
    </w:p>
    <w:p>
      <w:pPr>
        <w:pStyle w:val="Heading4"/>
      </w:pPr>
      <w:bookmarkStart w:id="76" w:name="the-board-framing"/>
      <w:r>
        <w:t xml:space="preserve">The board framing</w:t>
      </w:r>
      <w:bookmarkEnd w:id="76"/>
    </w:p>
    <w:p>
      <w:pPr>
        <w:pStyle w:val="FirstParagraph"/>
      </w:pPr>
      <w:r>
        <w:t xml:space="preserve">The useful shift is from</w:t>
      </w:r>
      <w:r>
        <w:t xml:space="preserve"> </w:t>
      </w:r>
      <w:r>
        <w:t xml:space="preserve">“</w:t>
      </w:r>
      <w:r>
        <w:t xml:space="preserve">are we secure</w:t>
      </w:r>
      <w:r>
        <w:t xml:space="preserve">”</w:t>
      </w:r>
      <w:r>
        <w:t xml:space="preserve"> </w:t>
      </w:r>
      <w:r>
        <w:t xml:space="preserve">— a question with no honest answer — to a set that can be answered:</w:t>
      </w:r>
    </w:p>
    <w:p>
      <w:pPr>
        <w:numPr>
          <w:ilvl w:val="0"/>
          <w:numId w:val="1002"/>
        </w:numPr>
        <w:pStyle w:val="Compact"/>
      </w:pPr>
      <w:r>
        <w:t xml:space="preserve">What can we not operate without?</w:t>
      </w:r>
    </w:p>
    <w:p>
      <w:pPr>
        <w:numPr>
          <w:ilvl w:val="0"/>
          <w:numId w:val="1002"/>
        </w:numPr>
        <w:pStyle w:val="Compact"/>
      </w:pPr>
      <w:r>
        <w:t xml:space="preserve">How long can we survive without it, tested rather than assumed?</w:t>
      </w:r>
    </w:p>
    <w:p>
      <w:pPr>
        <w:numPr>
          <w:ilvl w:val="0"/>
          <w:numId w:val="1002"/>
        </w:numPr>
        <w:pStyle w:val="Compact"/>
      </w:pPr>
      <w:r>
        <w:t xml:space="preserve">What do we do in the meantime?</w:t>
      </w:r>
    </w:p>
    <w:p>
      <w:pPr>
        <w:numPr>
          <w:ilvl w:val="0"/>
          <w:numId w:val="1002"/>
        </w:numPr>
        <w:pStyle w:val="Compact"/>
      </w:pPr>
      <w:r>
        <w:t xml:space="preserve">Who decides, and how fast?</w:t>
      </w:r>
    </w:p>
    <w:p>
      <w:pPr>
        <w:pStyle w:val="FirstParagraph"/>
      </w:pPr>
      <w:r>
        <w:t xml:space="preserve">An organization that can answer those four is in materially better shape than one with a larger security budget and no answers, because the first set describes what will actually happen and the second describes what was purchased.</w:t>
      </w:r>
    </w:p>
    <w:p>
      <w:pPr>
        <w:pStyle w:val="BodyText"/>
      </w:pPr>
      <w:r>
        <w:rPr>
          <w:b/>
        </w:rPr>
        <w:t xml:space="preserve">Key takeaways</w:t>
      </w:r>
      <w:r>
        <w:t xml:space="preserve"> </w:t>
      </w:r>
      <w:r>
        <w:t xml:space="preserve">1. Security aims for nothing happening; resilience assumes something will and asks what follows.</w:t>
      </w:r>
      <w:r>
        <w:t xml:space="preserve"> </w:t>
      </w:r>
      <w:r>
        <w:t xml:space="preserve">2. Preventive investment is easier to fund and produces visible artifacts, which creates a predictable asymmetry.</w:t>
      </w:r>
      <w:r>
        <w:t xml:space="preserve"> </w:t>
      </w:r>
      <w:r>
        <w:t xml:space="preserve">3. An untested recovery time objective is a target, not a capability.</w:t>
      </w:r>
      <w:r>
        <w:t xml:space="preserve"> </w:t>
      </w:r>
      <w:r>
        <w:t xml:space="preserve">4. Most continuity testing assumes data loss; ransomware presents a rebuild-with-confidence problem instead.</w:t>
      </w:r>
      <w:r>
        <w:t xml:space="preserve"> </w:t>
      </w:r>
      <w:r>
        <w:t xml:space="preserve">5. Replace</w:t>
      </w:r>
      <w:r>
        <w:t xml:space="preserve"> </w:t>
      </w:r>
      <w:r>
        <w:t xml:space="preserve">“</w:t>
      </w:r>
      <w:r>
        <w:t xml:space="preserve">are we secure</w:t>
      </w:r>
      <w:r>
        <w:t xml:space="preserve">”</w:t>
      </w:r>
      <w:r>
        <w:t xml:space="preserve"> </w:t>
      </w:r>
      <w:r>
        <w:t xml:space="preserve">with four answerable questions about dependency, tolerance, degraded operation and decision speed.</w:t>
      </w:r>
    </w:p>
    <w:p>
      <w:pPr>
        <w:pStyle w:val="Heading1"/>
      </w:pPr>
      <w:bookmarkStart w:id="77" w:name="article-8"/>
      <w:r>
        <w:t xml:space="preserve">ARTICLE 8</w:t>
      </w:r>
      <w:bookmarkEnd w:id="77"/>
    </w:p>
    <w:p>
      <w:pPr>
        <w:pStyle w:val="Heading2"/>
      </w:pPr>
      <w:bookmarkStart w:id="78" w:name="X372f007ea918dd5a221a14fe32012f20ce5a76c"/>
      <w:r>
        <w:t xml:space="preserve">Building a board-level cybersecurity dashboard</w:t>
      </w:r>
      <w:bookmarkEnd w:id="78"/>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Value</w:t>
            </w:r>
          </w:p>
        </w:tc>
      </w:tr>
      <w:tr>
        <w:tc>
          <w:p>
            <w:pPr>
              <w:pStyle w:val="Compact"/>
              <w:jc w:val="left"/>
            </w:pPr>
            <w:r>
              <w:rPr>
                <w:b/>
              </w:rPr>
              <w:t xml:space="preserve">Slug</w:t>
            </w:r>
          </w:p>
        </w:tc>
        <w:tc>
          <w:p>
            <w:pPr>
              <w:pStyle w:val="Compact"/>
              <w:jc w:val="left"/>
            </w:pPr>
            <w:r>
              <w:rPr>
                <w:rStyle w:val="VerbatimChar"/>
              </w:rPr>
              <w:t xml:space="preserve">building-a-board-level-cybersecurity-dashboard</w:t>
            </w:r>
          </w:p>
        </w:tc>
      </w:tr>
      <w:tr>
        <w:tc>
          <w:p>
            <w:pPr>
              <w:pStyle w:val="Compact"/>
              <w:jc w:val="left"/>
            </w:pPr>
            <w:r>
              <w:rPr>
                <w:b/>
              </w:rPr>
              <w:t xml:space="preserve">Category</w:t>
            </w:r>
          </w:p>
        </w:tc>
        <w:tc>
          <w:p>
            <w:pPr>
              <w:pStyle w:val="Compact"/>
              <w:jc w:val="left"/>
            </w:pPr>
            <w:r>
              <w:t xml:space="preserve">Executive Briefings</w:t>
            </w:r>
          </w:p>
        </w:tc>
      </w:tr>
      <w:tr>
        <w:tc>
          <w:p>
            <w:pPr>
              <w:pStyle w:val="Compact"/>
              <w:jc w:val="left"/>
            </w:pPr>
            <w:r>
              <w:rPr>
                <w:b/>
              </w:rPr>
              <w:t xml:space="preserve">Content type</w:t>
            </w:r>
          </w:p>
        </w:tc>
        <w:tc>
          <w:p>
            <w:pPr>
              <w:pStyle w:val="Compact"/>
              <w:jc w:val="left"/>
            </w:pPr>
            <w:r>
              <w:t xml:space="preserve">Executive Brief</w:t>
            </w:r>
          </w:p>
        </w:tc>
      </w:tr>
      <w:tr>
        <w:tc>
          <w:p>
            <w:pPr>
              <w:pStyle w:val="Compact"/>
              <w:jc w:val="left"/>
            </w:pPr>
            <w:r>
              <w:rPr>
                <w:b/>
              </w:rPr>
              <w:t xml:space="preserve">Target keyword</w:t>
            </w:r>
          </w:p>
        </w:tc>
        <w:tc>
          <w:p>
            <w:pPr>
              <w:pStyle w:val="Compact"/>
              <w:jc w:val="left"/>
            </w:pPr>
            <w:r>
              <w:t xml:space="preserve">board cybersecurity dashboard</w:t>
            </w:r>
          </w:p>
        </w:tc>
      </w:tr>
      <w:tr>
        <w:tc>
          <w:p>
            <w:pPr>
              <w:pStyle w:val="Compact"/>
              <w:jc w:val="left"/>
            </w:pPr>
            <w:r>
              <w:rPr>
                <w:b/>
              </w:rPr>
              <w:t xml:space="preserve">SEO title</w:t>
            </w:r>
          </w:p>
        </w:tc>
        <w:tc>
          <w:p>
            <w:pPr>
              <w:pStyle w:val="Compact"/>
              <w:jc w:val="left"/>
            </w:pPr>
            <w:r>
              <w:t xml:space="preserve">Building a Board-Level Cybersecurity Dashboard</w:t>
            </w:r>
          </w:p>
        </w:tc>
      </w:tr>
      <w:tr>
        <w:tc>
          <w:p>
            <w:pPr>
              <w:pStyle w:val="Compact"/>
              <w:jc w:val="left"/>
            </w:pPr>
            <w:r>
              <w:rPr>
                <w:b/>
              </w:rPr>
              <w:t xml:space="preserve">Meta description</w:t>
            </w:r>
          </w:p>
        </w:tc>
        <w:tc>
          <w:p>
            <w:pPr>
              <w:pStyle w:val="Compact"/>
              <w:jc w:val="left"/>
            </w:pPr>
            <w:r>
              <w:t xml:space="preserve">What belongs on one page for a board — and why most security dashboards report activity that only ever improves.</w:t>
            </w:r>
          </w:p>
        </w:tc>
      </w:tr>
      <w:tr>
        <w:tc>
          <w:p>
            <w:pPr>
              <w:pStyle w:val="Compact"/>
              <w:jc w:val="left"/>
            </w:pPr>
            <w:r>
              <w:rPr>
                <w:b/>
              </w:rPr>
              <w:t xml:space="preserve">Related services</w:t>
            </w:r>
          </w:p>
        </w:tc>
        <w:tc>
          <w:p>
            <w:pPr>
              <w:pStyle w:val="Compact"/>
              <w:jc w:val="left"/>
            </w:pPr>
            <w:r>
              <w:t xml:space="preserve">vCISO · GRC · Board Cybersecurity &amp; AI Advisory</w:t>
            </w:r>
          </w:p>
        </w:tc>
      </w:tr>
      <w:tr>
        <w:tc>
          <w:p>
            <w:pPr>
              <w:pStyle w:val="Compact"/>
              <w:jc w:val="left"/>
            </w:pPr>
            <w:r>
              <w:rPr>
                <w:b/>
              </w:rPr>
              <w:t xml:space="preserve">CTA</w:t>
            </w:r>
          </w:p>
        </w:tc>
        <w:tc>
          <w:p>
            <w:pPr>
              <w:pStyle w:val="Compact"/>
              <w:jc w:val="left"/>
            </w:pPr>
            <w:r>
              <w:t xml:space="preserve">Request an Executive Technology Briefing</w:t>
            </w:r>
          </w:p>
        </w:tc>
      </w:tr>
    </w:tbl>
    <w:p>
      <w:pPr>
        <w:pStyle w:val="BodyText"/>
      </w:pPr>
      <w:r>
        <w:rPr>
          <w:b/>
        </w:rPr>
        <w:t xml:space="preserve">Excerpt</w:t>
      </w:r>
      <w:r>
        <w:t xml:space="preserve"> </w:t>
      </w:r>
      <w:r>
        <w:t xml:space="preserve">Most security dashboards report effort. Boards need exposure, direction of travel, and the decisions being asked of them. That fits on one page.</w:t>
      </w:r>
    </w:p>
    <w:p>
      <w:pPr>
        <w:pStyle w:val="BodyText"/>
      </w:pPr>
      <w:r>
        <w:rPr>
          <w:b/>
        </w:rPr>
        <w:t xml:space="preserve">Executive summary</w:t>
      </w:r>
      <w:r>
        <w:t xml:space="preserve"> </w:t>
      </w:r>
      <w:r>
        <w:t xml:space="preserve">A board dashboard should support governance, not demonstrate diligence. Six elements cover it — and the most important design rule is that every measure must be capable of getting worse.</w:t>
      </w:r>
    </w:p>
    <w:p>
      <w:pPr>
        <w:pStyle w:val="Heading3"/>
      </w:pPr>
      <w:bookmarkStart w:id="79" w:name="body-7"/>
      <w:r>
        <w:t xml:space="preserve">Body</w:t>
      </w:r>
      <w:bookmarkEnd w:id="79"/>
    </w:p>
    <w:p>
      <w:pPr>
        <w:pStyle w:val="FirstParagraph"/>
      </w:pPr>
      <w:r>
        <w:t xml:space="preserve">Board security reporting has a characteristic failure: it demonstrates that the security function is busy. Patches deployed, tickets closed, training completion, phishing click rate trending down. All accurate, all improving, and none of it usable for governance.</w:t>
      </w:r>
    </w:p>
    <w:p>
      <w:pPr>
        <w:pStyle w:val="BodyText"/>
      </w:pPr>
      <w:r>
        <w:t xml:space="preserve">A board is not there to supervise the security function. It is there to satisfy itself that material risk is understood, that someone competent owns it, and that decisions requiring board authority reach the board. A dashboard should serve that purpose and can do so on a single page.</w:t>
      </w:r>
    </w:p>
    <w:p>
      <w:pPr>
        <w:pStyle w:val="Heading4"/>
      </w:pPr>
      <w:bookmarkStart w:id="80" w:name="what-belongs-on-it"/>
      <w:r>
        <w:t xml:space="preserve">What belongs on it</w:t>
      </w:r>
      <w:bookmarkEnd w:id="80"/>
    </w:p>
    <w:p>
      <w:pPr>
        <w:pStyle w:val="FirstParagraph"/>
      </w:pPr>
      <w:r>
        <w:rPr>
          <w:b/>
        </w:rPr>
        <w:t xml:space="preserve">1 · Exposure on the systems that matter.</w:t>
      </w:r>
      <w:r>
        <w:t xml:space="preserve"> </w:t>
      </w:r>
      <w:r>
        <w:t xml:space="preserve">Not enterprise-wide averages. Take the small set of systems whose loss would halt the business and report their current position: open high-severity findings, age of the oldest, direction since last report. Concentration is what makes this useful — a board can hold four or five things in mind.</w:t>
      </w:r>
    </w:p>
    <w:p>
      <w:pPr>
        <w:pStyle w:val="BodyText"/>
      </w:pPr>
      <w:r>
        <w:rPr>
          <w:b/>
        </w:rPr>
        <w:t xml:space="preserve">2 · Direction of travel, not a snapshot.</w:t>
      </w:r>
      <w:r>
        <w:t xml:space="preserve"> </w:t>
      </w:r>
      <w:r>
        <w:t xml:space="preserve">A single figure is uninterpretable. Four periods of history lets a board see whether things are improving, and at what rate. A number that has been flat for a year says something a point-in-time score cannot.</w:t>
      </w:r>
    </w:p>
    <w:p>
      <w:pPr>
        <w:pStyle w:val="BodyText"/>
      </w:pPr>
      <w:r>
        <w:rPr>
          <w:b/>
        </w:rPr>
        <w:t xml:space="preserve">3 · Risks currently being accepted, and by whom.</w:t>
      </w:r>
      <w:r>
        <w:t xml:space="preserve"> </w:t>
      </w:r>
      <w:r>
        <w:t xml:space="preserve">This is the element most often missing and the one with the clearest governance value. Which material risks has the organization decided not to treat, who accepted them, on what rationale, and when does that acceptance expire? A board that does not know what is being accepted on its behalf is not governing risk.</w:t>
      </w:r>
    </w:p>
    <w:p>
      <w:pPr>
        <w:pStyle w:val="BodyText"/>
      </w:pPr>
      <w:r>
        <w:rPr>
          <w:b/>
        </w:rPr>
        <w:t xml:space="preserve">4 · Third-party concentration.</w:t>
      </w:r>
      <w:r>
        <w:t xml:space="preserve"> </w:t>
      </w:r>
      <w:r>
        <w:t xml:space="preserve">Which external parties hold privileged access to critical systems, and which single vendor failures would be material. Supply-chain exposure is where boards are most often surprised, because it accumulates through operational decisions no individual one of which warranted escalation.</w:t>
      </w:r>
    </w:p>
    <w:p>
      <w:pPr>
        <w:pStyle w:val="BodyText"/>
      </w:pPr>
      <w:r>
        <w:rPr>
          <w:b/>
        </w:rPr>
        <w:t xml:space="preserve">5 · Tested recovery position.</w:t>
      </w:r>
      <w:r>
        <w:t xml:space="preserve"> </w:t>
      </w:r>
      <w:r>
        <w:t xml:space="preserve">For each critical system: when recovery was last tested, what the tested time actually was, and how that compares to the stated objective. Where testing has not occurred, that is the entry. A blank is more informative than an aspiration.</w:t>
      </w:r>
    </w:p>
    <w:p>
      <w:pPr>
        <w:pStyle w:val="BodyText"/>
      </w:pPr>
      <w:r>
        <w:rPr>
          <w:b/>
        </w:rPr>
        <w:t xml:space="preserve">6 · Decisions requested.</w:t>
      </w:r>
      <w:r>
        <w:t xml:space="preserve"> </w:t>
      </w:r>
      <w:r>
        <w:t xml:space="preserve">Every report should end with what the board is being asked to decide, what happens if it defers, and by when. Reporting with no decision request is briefing rather than governance, and it trains the board to receive security as information rather than as an accountability.</w:t>
      </w:r>
    </w:p>
    <w:p>
      <w:pPr>
        <w:pStyle w:val="Heading4"/>
      </w:pPr>
      <w:bookmarkStart w:id="81" w:name="what-to-leave-off"/>
      <w:r>
        <w:t xml:space="preserve">What to leave off</w:t>
      </w:r>
      <w:bookmarkEnd w:id="81"/>
    </w:p>
    <w:p>
      <w:pPr>
        <w:pStyle w:val="FirstParagraph"/>
      </w:pPr>
      <w:r>
        <w:t xml:space="preserve">Patch counts, ticket volumes, training completion, blocked email statistics, incident counts without severity, and any composite maturity score presented without its components. These belong in operational reporting. On a board page they crowd out material that supports decisions, and they create an impression of control that the underlying data does not support.</w:t>
      </w:r>
    </w:p>
    <w:p>
      <w:pPr>
        <w:pStyle w:val="Heading4"/>
      </w:pPr>
      <w:bookmarkStart w:id="82" w:name="the-design-rule"/>
      <w:r>
        <w:t xml:space="preserve">The design rule</w:t>
      </w:r>
      <w:bookmarkEnd w:id="82"/>
    </w:p>
    <w:p>
      <w:pPr>
        <w:pStyle w:val="FirstParagraph"/>
      </w:pPr>
      <w:r>
        <w:t xml:space="preserve">Every measure on the page must be capable of deteriorating.</w:t>
      </w:r>
    </w:p>
    <w:p>
      <w:pPr>
        <w:pStyle w:val="BodyText"/>
      </w:pPr>
      <w:r>
        <w:t xml:space="preserve">This sounds obvious and it eliminates most conventional security metrics immediately. Metrics that only improve have been selected for that property, whether or not anyone intended it. A dashboard on which nothing can worsen will never prompt a question, which means it will never do the job it exists to do.</w:t>
      </w:r>
    </w:p>
    <w:p>
      <w:pPr>
        <w:pStyle w:val="BodyText"/>
      </w:pPr>
      <w:r>
        <w:t xml:space="preserve">The corollary is cultural rather than technical: the security function must be able to present deterioration without it being treated as personal failure. Where that is not safe, reporting will drift back toward activity regardless of how the template is designed — and the template is not the thing that needs fixing.</w:t>
      </w:r>
    </w:p>
    <w:p>
      <w:pPr>
        <w:pStyle w:val="BodyText"/>
      </w:pPr>
      <w:r>
        <w:rPr>
          <w:b/>
        </w:rPr>
        <w:t xml:space="preserve">Key takeaways</w:t>
      </w:r>
      <w:r>
        <w:t xml:space="preserve"> </w:t>
      </w:r>
      <w:r>
        <w:t xml:space="preserve">1. A board dashboard supports governance decisions; it does not demonstrate that the security function is busy.</w:t>
      </w:r>
      <w:r>
        <w:t xml:space="preserve"> </w:t>
      </w:r>
      <w:r>
        <w:t xml:space="preserve">2. Concentrate on the few systems whose loss would halt the business, with four periods of trend.</w:t>
      </w:r>
      <w:r>
        <w:t xml:space="preserve"> </w:t>
      </w:r>
      <w:r>
        <w:t xml:space="preserve">3. Report which risks are being accepted, by whom, and when that acceptance expires.</w:t>
      </w:r>
      <w:r>
        <w:t xml:space="preserve"> </w:t>
      </w:r>
      <w:r>
        <w:t xml:space="preserve">4. Include tested recovery times — a blank where testing has not occurred is more informative than a stated objective.</w:t>
      </w:r>
      <w:r>
        <w:t xml:space="preserve"> </w:t>
      </w:r>
      <w:r>
        <w:t xml:space="preserve">5. Every measure must be capable of getting worse; metrics that only improve were selected for that property.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CISOG USA — Insights Content Pack</dc:title>
  <dc:creator/>
  <dc:language>en-US</dc:language>
  <cp:keywords/>
  <dcterms:created xsi:type="dcterms:W3CDTF">2026-08-09T09:14:30Z</dcterms:created>
  <dcterms:modified xsi:type="dcterms:W3CDTF">2026-08-09T09:14:30Z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2026</vt:lpwstr>
  </property>
  <property fmtid="{D5CDD505-2E9C-101B-9397-08002B2CF9AE}" pid="3" name="subtitle">
    <vt:lpwstr>Eight launch articles · Phase 1 · Version 1.0</vt:lpwstr>
  </property>
</Properties>
</file>