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distance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Twelve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in the “Great Creator” - 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from depression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twelve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Gywn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73"/>
        <w:gridCol w:w="2885"/>
        <w:gridCol w:w="2056"/>
        <w:gridCol w:w="1444"/>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85"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6"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44"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85"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6"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3"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6"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8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6"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44"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The Less I Know The Better” – Tame Impala</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6"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6" w:type="dxa"/>
            <w:vMerge w:val="continue"/>
            <w:tcBorders>
              <w:left w:val="single" w:sz="4" w:space="0" w:color="000000"/>
              <w:bottom w:val="single" w:sz="4" w:space="0" w:color="000000"/>
            </w:tcBorders>
          </w:tcPr>
          <w:p>
            <w:pPr>
              <w:pStyle w:val="Normal"/>
              <w:bidi w:val="0"/>
              <w:jc w:val="left"/>
              <w:rPr/>
            </w:pPr>
            <w:r>
              <w:rPr/>
            </w:r>
          </w:p>
        </w:tc>
        <w:tc>
          <w:tcPr>
            <w:tcW w:w="1444"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85"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HandClap” – Fitz and the Tantrums</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Song” – Sara Barielles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Accidentally in Love” -</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Levitating”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85"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5"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6"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4"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 xml:space="preserve">Demons” – </w:t>
            </w:r>
            <w:r>
              <w:rPr>
                <w:rFonts w:ascii="Times New Roman" w:hAnsi="Times New Roman"/>
                <w:b/>
                <w:bCs/>
                <w:sz w:val="20"/>
                <w:szCs w:val="20"/>
              </w:rPr>
              <w:t>Imagine Dragons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LibreOffice/6.4.3.2$Linux_X86_64 LibreOffice_project/40$Build-2</Application>
  <Pages>14</Pages>
  <Words>8318</Words>
  <Characters>40469</Characters>
  <CharactersWithSpaces>48529</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2020-06-11T01:11:59Z</dcterms:modified>
  <cp:revision>38</cp:revision>
  <dc:subject/>
  <dc:title/>
</cp:coreProperties>
</file>