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2975AE" w14:textId="2A4037AE" w:rsidR="00D77447" w:rsidRDefault="00D77447" w:rsidP="00D77447">
      <w:pPr>
        <w:pStyle w:val="TableCaption"/>
      </w:pPr>
      <w:r>
        <w:rPr>
          <w:rFonts w:ascii="Times New Roman" w:hAnsi="Times New Roman" w:cs="Times New Roman"/>
          <w:b/>
          <w:sz w:val="20"/>
          <w:szCs w:val="18"/>
        </w:rPr>
        <w:t xml:space="preserve">Link: </w:t>
      </w:r>
      <w:hyperlink r:id="rId4" w:history="1">
        <w:r w:rsidR="00AE68A8" w:rsidRPr="00F00333">
          <w:rPr>
            <w:rStyle w:val="Hyperlink"/>
          </w:rPr>
          <w:t>https://solar-power-tech.com/e-posters/dsc_eposter_09/</w:t>
        </w:r>
      </w:hyperlink>
    </w:p>
    <w:p w14:paraId="79533185" w14:textId="77777777" w:rsidR="00AE68A8" w:rsidRDefault="00AE68A8" w:rsidP="00D77447">
      <w:pPr>
        <w:pStyle w:val="TableCaption"/>
        <w:rPr>
          <w:rFonts w:ascii="Times New Roman" w:hAnsi="Times New Roman" w:cs="Times New Roman"/>
          <w:b/>
          <w:sz w:val="20"/>
          <w:szCs w:val="18"/>
        </w:rPr>
      </w:pPr>
      <w:bookmarkStart w:id="0" w:name="_GoBack"/>
      <w:bookmarkEnd w:id="0"/>
    </w:p>
    <w:p w14:paraId="0AA017EA" w14:textId="3906BB99" w:rsidR="00D77447" w:rsidRPr="00841B5A" w:rsidRDefault="00D77447" w:rsidP="00D77447">
      <w:pPr>
        <w:pStyle w:val="TableCaption"/>
        <w:rPr>
          <w:rFonts w:ascii="Times New Roman" w:hAnsi="Times New Roman" w:cs="Times New Roman"/>
          <w:b/>
          <w:sz w:val="20"/>
          <w:szCs w:val="18"/>
        </w:rPr>
      </w:pPr>
      <w:r w:rsidRPr="00841B5A">
        <w:rPr>
          <w:rFonts w:ascii="Times New Roman" w:hAnsi="Times New Roman" w:cs="Times New Roman"/>
          <w:b/>
          <w:sz w:val="20"/>
          <w:szCs w:val="18"/>
        </w:rPr>
        <w:t>Abstract</w:t>
      </w:r>
    </w:p>
    <w:p w14:paraId="3AC22A59" w14:textId="77777777" w:rsidR="00D77447" w:rsidRDefault="00D77447" w:rsidP="00D77447">
      <w:pPr>
        <w:spacing w:after="0"/>
        <w:jc w:val="both"/>
        <w:rPr>
          <w:rFonts w:ascii="Times New Roman" w:eastAsia="Calibri" w:hAnsi="Times New Roman" w:cs="Times New Roman"/>
          <w:sz w:val="20"/>
          <w:szCs w:val="20"/>
          <w:lang w:val="en-GB"/>
        </w:rPr>
      </w:pPr>
    </w:p>
    <w:p w14:paraId="5CFCA53D" w14:textId="77777777" w:rsidR="00A12A07" w:rsidRPr="001F7672" w:rsidRDefault="00A12A07" w:rsidP="00A12A07">
      <w:pPr>
        <w:pStyle w:val="TableCaption"/>
        <w:rPr>
          <w:rFonts w:asciiTheme="majorBidi" w:hAnsiTheme="majorBidi" w:cstheme="majorBidi"/>
          <w:noProof/>
          <w:sz w:val="20"/>
        </w:rPr>
      </w:pPr>
      <w:r w:rsidRPr="003F6DC2">
        <w:rPr>
          <w:rFonts w:asciiTheme="majorBidi" w:hAnsiTheme="majorBidi" w:cstheme="majorBidi"/>
          <w:noProof/>
          <w:sz w:val="20"/>
        </w:rPr>
        <w:t>Nanostructure dye sensitized solar cells (DSSCs) based on indigo dyes exhibit medium to great power conversion efficiency [1]. Such organic dye molecules are easily undergone for aggregation. Aggregation in dye molecules lead to reduce electron transfer process in dye-sensitized solar cell. Therefore, anti-aggregation agents are commonly added to organic solution in DSSCs [2]. In this work, Spectrophotometric evaluations of the indigo dye on a TiO</w:t>
      </w:r>
      <w:r w:rsidRPr="003F6DC2">
        <w:rPr>
          <w:rFonts w:asciiTheme="majorBidi" w:hAnsiTheme="majorBidi" w:cstheme="majorBidi"/>
          <w:noProof/>
          <w:sz w:val="20"/>
          <w:vertAlign w:val="subscript"/>
        </w:rPr>
        <w:t>2</w:t>
      </w:r>
      <w:r w:rsidRPr="003F6DC2">
        <w:rPr>
          <w:rFonts w:asciiTheme="majorBidi" w:hAnsiTheme="majorBidi" w:cstheme="majorBidi"/>
          <w:noProof/>
          <w:sz w:val="20"/>
        </w:rPr>
        <w:t xml:space="preserve"> substrate in the presence and absence of an anti-aggregation agent were carried out in order to assess changes in the status of the dyes. Therefore, an anti-aggregation agent such as chenodeoxy cholic acid (CDCA) is used with organic dyes. The λ</w:t>
      </w:r>
      <w:r w:rsidRPr="003F6DC2">
        <w:rPr>
          <w:rFonts w:asciiTheme="majorBidi" w:hAnsiTheme="majorBidi" w:cstheme="majorBidi"/>
          <w:noProof/>
          <w:sz w:val="20"/>
          <w:vertAlign w:val="subscript"/>
        </w:rPr>
        <w:t>max</w:t>
      </w:r>
      <w:r w:rsidRPr="003F6DC2">
        <w:rPr>
          <w:rFonts w:asciiTheme="majorBidi" w:hAnsiTheme="majorBidi" w:cstheme="majorBidi"/>
          <w:noProof/>
          <w:sz w:val="20"/>
        </w:rPr>
        <w:t xml:space="preserve"> of dye adsorbed on a TiO</w:t>
      </w:r>
      <w:r w:rsidRPr="003F6DC2">
        <w:rPr>
          <w:rFonts w:asciiTheme="majorBidi" w:hAnsiTheme="majorBidi" w:cstheme="majorBidi"/>
          <w:noProof/>
          <w:sz w:val="20"/>
          <w:vertAlign w:val="subscript"/>
        </w:rPr>
        <w:t>2</w:t>
      </w:r>
      <w:r w:rsidRPr="003F6DC2">
        <w:rPr>
          <w:rFonts w:asciiTheme="majorBidi" w:hAnsiTheme="majorBidi" w:cstheme="majorBidi"/>
          <w:noProof/>
          <w:sz w:val="20"/>
        </w:rPr>
        <w:t xml:space="preserve"> film in the absence of CDCA and in the presence of CDCA are 595 nm and 580 nm, respectively. Upon dye adsorption on to a TiO</w:t>
      </w:r>
      <w:r w:rsidRPr="003F6DC2">
        <w:rPr>
          <w:rFonts w:asciiTheme="majorBidi" w:hAnsiTheme="majorBidi" w:cstheme="majorBidi"/>
          <w:noProof/>
          <w:sz w:val="20"/>
          <w:vertAlign w:val="subscript"/>
        </w:rPr>
        <w:t>2</w:t>
      </w:r>
      <w:r w:rsidRPr="003F6DC2">
        <w:rPr>
          <w:rFonts w:asciiTheme="majorBidi" w:hAnsiTheme="majorBidi" w:cstheme="majorBidi"/>
          <w:noProof/>
          <w:sz w:val="20"/>
        </w:rPr>
        <w:t xml:space="preserve"> surface in the absence of CDCA, the wavelength of maximum absorption is bathochromically shifted by 46.5 as compared to the corresponding spectra in solution, implying that dye adsorbed on to TiO</w:t>
      </w:r>
      <w:r w:rsidRPr="003F6DC2">
        <w:rPr>
          <w:rFonts w:asciiTheme="majorBidi" w:hAnsiTheme="majorBidi" w:cstheme="majorBidi"/>
          <w:noProof/>
          <w:sz w:val="20"/>
          <w:vertAlign w:val="subscript"/>
        </w:rPr>
        <w:t>2</w:t>
      </w:r>
      <w:r w:rsidRPr="003F6DC2">
        <w:rPr>
          <w:rFonts w:asciiTheme="majorBidi" w:hAnsiTheme="majorBidi" w:cstheme="majorBidi"/>
          <w:noProof/>
          <w:sz w:val="20"/>
        </w:rPr>
        <w:t xml:space="preserve"> surface contain partial J-type aggregates [3] but the wavelength of maximum absorption is bathochromically shifted by 31.5 in the presence of CDCA as compared to the corresponding spectra in solution. Therefore, the officious aggregations were reduced in the presence of an anti-aggregation agent. The oxidation potential (E</w:t>
      </w:r>
      <w:r w:rsidRPr="003F6DC2">
        <w:rPr>
          <w:rFonts w:asciiTheme="majorBidi" w:hAnsiTheme="majorBidi" w:cstheme="majorBidi"/>
          <w:noProof/>
          <w:sz w:val="20"/>
          <w:vertAlign w:val="subscript"/>
        </w:rPr>
        <w:t>ox</w:t>
      </w:r>
      <w:r w:rsidRPr="003F6DC2">
        <w:rPr>
          <w:rFonts w:asciiTheme="majorBidi" w:hAnsiTheme="majorBidi" w:cstheme="majorBidi"/>
          <w:noProof/>
          <w:sz w:val="20"/>
        </w:rPr>
        <w:t>) of organic dye was measured in acetonitrile by cyclic voltammetry [3]. There are two distinct redox waves observed in the voltammogram. The first oxidative wave (I) was due to the oxidation of the internal standard of ferrocene, whereas the second wave (II) was due to the electrochemical oxidation of the dye. The oxidation peak potential (E</w:t>
      </w:r>
      <w:r w:rsidRPr="003F6DC2">
        <w:rPr>
          <w:rFonts w:asciiTheme="majorBidi" w:hAnsiTheme="majorBidi" w:cstheme="majorBidi"/>
          <w:noProof/>
          <w:sz w:val="20"/>
          <w:vertAlign w:val="subscript"/>
        </w:rPr>
        <w:t>ox</w:t>
      </w:r>
      <w:r w:rsidRPr="003F6DC2">
        <w:rPr>
          <w:rFonts w:asciiTheme="majorBidi" w:hAnsiTheme="majorBidi" w:cstheme="majorBidi"/>
          <w:noProof/>
          <w:sz w:val="20"/>
        </w:rPr>
        <w:t>) for synthesized dye can therefore be calculated to be 0.57 vs Fc/Fc</w:t>
      </w:r>
      <w:r w:rsidRPr="003F6DC2">
        <w:rPr>
          <w:rFonts w:asciiTheme="majorBidi" w:hAnsiTheme="majorBidi" w:cstheme="majorBidi"/>
          <w:noProof/>
          <w:sz w:val="20"/>
          <w:vertAlign w:val="superscript"/>
        </w:rPr>
        <w:t>+</w:t>
      </w:r>
      <w:r w:rsidRPr="003F6DC2">
        <w:rPr>
          <w:rFonts w:asciiTheme="majorBidi" w:hAnsiTheme="majorBidi" w:cstheme="majorBidi"/>
          <w:noProof/>
          <w:sz w:val="20"/>
        </w:rPr>
        <w:t xml:space="preserve"> in acetonitrile. The E</w:t>
      </w:r>
      <w:r w:rsidRPr="003F6DC2">
        <w:rPr>
          <w:rFonts w:asciiTheme="majorBidi" w:hAnsiTheme="majorBidi" w:cstheme="majorBidi"/>
          <w:noProof/>
          <w:sz w:val="20"/>
          <w:vertAlign w:val="subscript"/>
        </w:rPr>
        <w:t>0-0</w:t>
      </w:r>
      <w:r w:rsidRPr="003F6DC2">
        <w:rPr>
          <w:rFonts w:asciiTheme="majorBidi" w:hAnsiTheme="majorBidi" w:cstheme="majorBidi"/>
          <w:noProof/>
          <w:sz w:val="20"/>
        </w:rPr>
        <w:t xml:space="preserve"> of dye was calculated to be 1.88 V, therefore, the E</w:t>
      </w:r>
      <w:r w:rsidRPr="003F6DC2">
        <w:rPr>
          <w:rFonts w:asciiTheme="majorBidi" w:hAnsiTheme="majorBidi" w:cstheme="majorBidi"/>
          <w:noProof/>
          <w:sz w:val="20"/>
          <w:vertAlign w:val="subscript"/>
        </w:rPr>
        <w:t>ox</w:t>
      </w:r>
      <w:r w:rsidRPr="003F6DC2">
        <w:rPr>
          <w:rFonts w:asciiTheme="majorBidi" w:hAnsiTheme="majorBidi" w:cstheme="majorBidi"/>
          <w:noProof/>
          <w:sz w:val="20"/>
        </w:rPr>
        <w:t>-E</w:t>
      </w:r>
      <w:r w:rsidRPr="003F6DC2">
        <w:rPr>
          <w:rFonts w:asciiTheme="majorBidi" w:hAnsiTheme="majorBidi" w:cstheme="majorBidi"/>
          <w:noProof/>
          <w:sz w:val="20"/>
          <w:vertAlign w:val="subscript"/>
        </w:rPr>
        <w:t>0-0</w:t>
      </w:r>
      <w:r w:rsidRPr="003F6DC2">
        <w:rPr>
          <w:rFonts w:asciiTheme="majorBidi" w:hAnsiTheme="majorBidi" w:cstheme="majorBidi"/>
          <w:noProof/>
          <w:sz w:val="20"/>
        </w:rPr>
        <w:t xml:space="preserve"> level of dye is estimated to be –1.31 V vs Fc/Fc</w:t>
      </w:r>
      <w:r w:rsidRPr="00343276">
        <w:rPr>
          <w:rFonts w:asciiTheme="majorBidi" w:hAnsiTheme="majorBidi" w:cstheme="majorBidi"/>
          <w:noProof/>
          <w:sz w:val="20"/>
          <w:vertAlign w:val="superscript"/>
        </w:rPr>
        <w:t>+</w:t>
      </w:r>
      <w:r w:rsidRPr="003F6DC2">
        <w:rPr>
          <w:rFonts w:asciiTheme="majorBidi" w:hAnsiTheme="majorBidi" w:cstheme="majorBidi"/>
          <w:noProof/>
          <w:sz w:val="20"/>
        </w:rPr>
        <w:t xml:space="preserve"> in acetonitrile. Finally, dye sensitized solar cells were fabricated in order to determine the photovoltaic properties and influence anti-aggregation agents on their performance. </w:t>
      </w:r>
      <w:r>
        <w:rPr>
          <w:rFonts w:asciiTheme="majorBidi" w:hAnsiTheme="majorBidi" w:cstheme="majorBidi"/>
          <w:noProof/>
          <w:sz w:val="20"/>
        </w:rPr>
        <w:t xml:space="preserve">The </w:t>
      </w:r>
      <w:r>
        <w:rPr>
          <w:rFonts w:asciiTheme="majorBidi" w:hAnsiTheme="majorBidi" w:cstheme="majorBidi"/>
          <w:sz w:val="20"/>
        </w:rPr>
        <w:t>s</w:t>
      </w:r>
      <w:r w:rsidRPr="001F7672">
        <w:rPr>
          <w:rFonts w:asciiTheme="majorBidi" w:hAnsiTheme="majorBidi" w:cstheme="majorBidi"/>
          <w:sz w:val="20"/>
        </w:rPr>
        <w:t>hort-circuit current (J</w:t>
      </w:r>
      <w:r w:rsidRPr="001F7672">
        <w:rPr>
          <w:rFonts w:asciiTheme="majorBidi" w:hAnsiTheme="majorBidi" w:cstheme="majorBidi"/>
          <w:sz w:val="20"/>
          <w:vertAlign w:val="subscript"/>
        </w:rPr>
        <w:t>sc</w:t>
      </w:r>
      <w:r w:rsidRPr="001F7672">
        <w:rPr>
          <w:rFonts w:asciiTheme="majorBidi" w:hAnsiTheme="majorBidi" w:cstheme="majorBidi"/>
          <w:sz w:val="20"/>
        </w:rPr>
        <w:t>) (mA/cm</w:t>
      </w:r>
      <w:r w:rsidRPr="001F7672">
        <w:rPr>
          <w:rFonts w:asciiTheme="majorBidi" w:hAnsiTheme="majorBidi" w:cstheme="majorBidi"/>
          <w:sz w:val="20"/>
          <w:vertAlign w:val="superscript"/>
        </w:rPr>
        <w:t>2</w:t>
      </w:r>
      <w:r w:rsidRPr="001F7672">
        <w:rPr>
          <w:rFonts w:asciiTheme="majorBidi" w:hAnsiTheme="majorBidi" w:cstheme="majorBidi"/>
          <w:sz w:val="20"/>
        </w:rPr>
        <w:t>)</w:t>
      </w:r>
      <w:r w:rsidRPr="001F7672">
        <w:rPr>
          <w:rFonts w:asciiTheme="majorBidi" w:hAnsiTheme="majorBidi" w:cstheme="majorBidi"/>
          <w:noProof/>
          <w:sz w:val="20"/>
        </w:rPr>
        <w:t xml:space="preserve">, </w:t>
      </w:r>
      <w:r>
        <w:rPr>
          <w:rFonts w:asciiTheme="majorBidi" w:hAnsiTheme="majorBidi" w:cstheme="majorBidi"/>
          <w:sz w:val="20"/>
        </w:rPr>
        <w:t>o</w:t>
      </w:r>
      <w:r w:rsidRPr="001F7672">
        <w:rPr>
          <w:rFonts w:asciiTheme="majorBidi" w:hAnsiTheme="majorBidi" w:cstheme="majorBidi"/>
          <w:sz w:val="20"/>
        </w:rPr>
        <w:t>pen-circuit voltage (V</w:t>
      </w:r>
      <w:r w:rsidRPr="001F7672">
        <w:rPr>
          <w:rFonts w:asciiTheme="majorBidi" w:hAnsiTheme="majorBidi" w:cstheme="majorBidi"/>
          <w:sz w:val="20"/>
          <w:vertAlign w:val="subscript"/>
        </w:rPr>
        <w:t>oc</w:t>
      </w:r>
      <w:r w:rsidRPr="001F7672">
        <w:rPr>
          <w:rFonts w:asciiTheme="majorBidi" w:hAnsiTheme="majorBidi" w:cstheme="majorBidi"/>
          <w:sz w:val="20"/>
        </w:rPr>
        <w:t>) (V)</w:t>
      </w:r>
      <w:r w:rsidRPr="001F7672">
        <w:rPr>
          <w:rFonts w:asciiTheme="majorBidi" w:hAnsiTheme="majorBidi" w:cstheme="majorBidi"/>
          <w:noProof/>
          <w:sz w:val="20"/>
        </w:rPr>
        <w:t xml:space="preserve">, </w:t>
      </w:r>
      <w:r>
        <w:rPr>
          <w:rFonts w:asciiTheme="majorBidi" w:hAnsiTheme="majorBidi" w:cstheme="majorBidi"/>
          <w:sz w:val="20"/>
        </w:rPr>
        <w:t>f</w:t>
      </w:r>
      <w:r w:rsidRPr="001F7672">
        <w:rPr>
          <w:rFonts w:asciiTheme="majorBidi" w:hAnsiTheme="majorBidi" w:cstheme="majorBidi"/>
          <w:sz w:val="20"/>
        </w:rPr>
        <w:t>ill factor (FF)</w:t>
      </w:r>
      <w:r w:rsidRPr="001F7672">
        <w:rPr>
          <w:rFonts w:asciiTheme="majorBidi" w:hAnsiTheme="majorBidi" w:cstheme="majorBidi"/>
          <w:noProof/>
          <w:sz w:val="20"/>
        </w:rPr>
        <w:t xml:space="preserve"> and </w:t>
      </w:r>
      <w:r>
        <w:rPr>
          <w:rFonts w:asciiTheme="majorBidi" w:hAnsiTheme="majorBidi" w:cstheme="majorBidi"/>
          <w:sz w:val="20"/>
        </w:rPr>
        <w:t>e</w:t>
      </w:r>
      <w:r w:rsidRPr="001F7672">
        <w:rPr>
          <w:rFonts w:asciiTheme="majorBidi" w:hAnsiTheme="majorBidi" w:cstheme="majorBidi"/>
          <w:sz w:val="20"/>
        </w:rPr>
        <w:t>fficiency (%)</w:t>
      </w:r>
      <w:r w:rsidRPr="001F7672">
        <w:rPr>
          <w:rFonts w:asciiTheme="majorBidi" w:hAnsiTheme="majorBidi" w:cstheme="majorBidi"/>
          <w:noProof/>
          <w:sz w:val="20"/>
        </w:rPr>
        <w:t xml:space="preserve"> of DSSCs in the </w:t>
      </w:r>
      <w:r w:rsidRPr="001F7672">
        <w:rPr>
          <w:rFonts w:asciiTheme="majorBidi" w:hAnsiTheme="majorBidi" w:cstheme="majorBidi"/>
          <w:sz w:val="20"/>
        </w:rPr>
        <w:t>absence of CDCA</w:t>
      </w:r>
      <w:r>
        <w:rPr>
          <w:rFonts w:asciiTheme="majorBidi" w:hAnsiTheme="majorBidi" w:cstheme="majorBidi"/>
          <w:noProof/>
          <w:sz w:val="20"/>
        </w:rPr>
        <w:t xml:space="preserve"> are 7.47, 0.64, 0.65 and 3.11, repectively. The </w:t>
      </w:r>
      <w:r>
        <w:rPr>
          <w:rFonts w:asciiTheme="majorBidi" w:hAnsiTheme="majorBidi" w:cstheme="majorBidi"/>
          <w:sz w:val="20"/>
        </w:rPr>
        <w:t>s</w:t>
      </w:r>
      <w:r w:rsidRPr="001F7672">
        <w:rPr>
          <w:rFonts w:asciiTheme="majorBidi" w:hAnsiTheme="majorBidi" w:cstheme="majorBidi"/>
          <w:sz w:val="20"/>
        </w:rPr>
        <w:t>hort-circuit current (J</w:t>
      </w:r>
      <w:r w:rsidRPr="001F7672">
        <w:rPr>
          <w:rFonts w:asciiTheme="majorBidi" w:hAnsiTheme="majorBidi" w:cstheme="majorBidi"/>
          <w:sz w:val="20"/>
          <w:vertAlign w:val="subscript"/>
        </w:rPr>
        <w:t>sc</w:t>
      </w:r>
      <w:r w:rsidRPr="001F7672">
        <w:rPr>
          <w:rFonts w:asciiTheme="majorBidi" w:hAnsiTheme="majorBidi" w:cstheme="majorBidi"/>
          <w:sz w:val="20"/>
        </w:rPr>
        <w:t>) (mA/cm</w:t>
      </w:r>
      <w:r w:rsidRPr="001F7672">
        <w:rPr>
          <w:rFonts w:asciiTheme="majorBidi" w:hAnsiTheme="majorBidi" w:cstheme="majorBidi"/>
          <w:sz w:val="20"/>
          <w:vertAlign w:val="superscript"/>
        </w:rPr>
        <w:t>2</w:t>
      </w:r>
      <w:r w:rsidRPr="001F7672">
        <w:rPr>
          <w:rFonts w:asciiTheme="majorBidi" w:hAnsiTheme="majorBidi" w:cstheme="majorBidi"/>
          <w:sz w:val="20"/>
        </w:rPr>
        <w:t>)</w:t>
      </w:r>
      <w:r w:rsidRPr="001F7672">
        <w:rPr>
          <w:rFonts w:asciiTheme="majorBidi" w:hAnsiTheme="majorBidi" w:cstheme="majorBidi"/>
          <w:noProof/>
          <w:sz w:val="20"/>
        </w:rPr>
        <w:t xml:space="preserve">, </w:t>
      </w:r>
      <w:r>
        <w:rPr>
          <w:rFonts w:asciiTheme="majorBidi" w:hAnsiTheme="majorBidi" w:cstheme="majorBidi"/>
          <w:sz w:val="20"/>
        </w:rPr>
        <w:t>o</w:t>
      </w:r>
      <w:r w:rsidRPr="001F7672">
        <w:rPr>
          <w:rFonts w:asciiTheme="majorBidi" w:hAnsiTheme="majorBidi" w:cstheme="majorBidi"/>
          <w:sz w:val="20"/>
        </w:rPr>
        <w:t>pen-circuit voltage (V</w:t>
      </w:r>
      <w:r w:rsidRPr="001F7672">
        <w:rPr>
          <w:rFonts w:asciiTheme="majorBidi" w:hAnsiTheme="majorBidi" w:cstheme="majorBidi"/>
          <w:sz w:val="20"/>
          <w:vertAlign w:val="subscript"/>
        </w:rPr>
        <w:t>oc</w:t>
      </w:r>
      <w:r w:rsidRPr="001F7672">
        <w:rPr>
          <w:rFonts w:asciiTheme="majorBidi" w:hAnsiTheme="majorBidi" w:cstheme="majorBidi"/>
          <w:sz w:val="20"/>
        </w:rPr>
        <w:t>) (V)</w:t>
      </w:r>
      <w:r w:rsidRPr="001F7672">
        <w:rPr>
          <w:rFonts w:asciiTheme="majorBidi" w:hAnsiTheme="majorBidi" w:cstheme="majorBidi"/>
          <w:noProof/>
          <w:sz w:val="20"/>
        </w:rPr>
        <w:t xml:space="preserve">, </w:t>
      </w:r>
      <w:r>
        <w:rPr>
          <w:rFonts w:asciiTheme="majorBidi" w:hAnsiTheme="majorBidi" w:cstheme="majorBidi"/>
          <w:sz w:val="20"/>
        </w:rPr>
        <w:t>f</w:t>
      </w:r>
      <w:r w:rsidRPr="001F7672">
        <w:rPr>
          <w:rFonts w:asciiTheme="majorBidi" w:hAnsiTheme="majorBidi" w:cstheme="majorBidi"/>
          <w:sz w:val="20"/>
        </w:rPr>
        <w:t>ill factor (FF)</w:t>
      </w:r>
      <w:r w:rsidRPr="001F7672">
        <w:rPr>
          <w:rFonts w:asciiTheme="majorBidi" w:hAnsiTheme="majorBidi" w:cstheme="majorBidi"/>
          <w:noProof/>
          <w:sz w:val="20"/>
        </w:rPr>
        <w:t xml:space="preserve"> and </w:t>
      </w:r>
      <w:r>
        <w:rPr>
          <w:rFonts w:asciiTheme="majorBidi" w:hAnsiTheme="majorBidi" w:cstheme="majorBidi"/>
          <w:sz w:val="20"/>
        </w:rPr>
        <w:t>e</w:t>
      </w:r>
      <w:r w:rsidRPr="001F7672">
        <w:rPr>
          <w:rFonts w:asciiTheme="majorBidi" w:hAnsiTheme="majorBidi" w:cstheme="majorBidi"/>
          <w:sz w:val="20"/>
        </w:rPr>
        <w:t>fficiency (%)</w:t>
      </w:r>
      <w:r w:rsidRPr="001F7672">
        <w:rPr>
          <w:rFonts w:asciiTheme="majorBidi" w:hAnsiTheme="majorBidi" w:cstheme="majorBidi"/>
          <w:noProof/>
          <w:sz w:val="20"/>
        </w:rPr>
        <w:t xml:space="preserve"> of DSSCs in the</w:t>
      </w:r>
      <w:r>
        <w:rPr>
          <w:rFonts w:asciiTheme="majorBidi" w:hAnsiTheme="majorBidi" w:cstheme="majorBidi"/>
          <w:noProof/>
          <w:sz w:val="20"/>
        </w:rPr>
        <w:t xml:space="preserve"> presence of </w:t>
      </w:r>
      <w:r w:rsidRPr="001F7672">
        <w:rPr>
          <w:rFonts w:asciiTheme="majorBidi" w:hAnsiTheme="majorBidi" w:cstheme="majorBidi"/>
          <w:sz w:val="20"/>
        </w:rPr>
        <w:t>CDCA</w:t>
      </w:r>
      <w:r>
        <w:rPr>
          <w:rFonts w:asciiTheme="majorBidi" w:hAnsiTheme="majorBidi" w:cstheme="majorBidi"/>
          <w:noProof/>
          <w:sz w:val="20"/>
        </w:rPr>
        <w:t xml:space="preserve"> are 8.75, 0.64, 0.66 and 3.7, respectively. </w:t>
      </w:r>
    </w:p>
    <w:p w14:paraId="326A6423" w14:textId="77777777" w:rsidR="00CE6FAA" w:rsidRDefault="00CE6FAA"/>
    <w:sectPr w:rsidR="00CE6FAA" w:rsidSect="00AC02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47"/>
    <w:rsid w:val="002F5850"/>
    <w:rsid w:val="0044538A"/>
    <w:rsid w:val="004F027E"/>
    <w:rsid w:val="00A12A07"/>
    <w:rsid w:val="00AC0222"/>
    <w:rsid w:val="00AE68A8"/>
    <w:rsid w:val="00B132B6"/>
    <w:rsid w:val="00C36962"/>
    <w:rsid w:val="00CE6FAA"/>
    <w:rsid w:val="00D77447"/>
    <w:rsid w:val="00D92199"/>
    <w:rsid w:val="00F82066"/>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25E91"/>
  <w15:chartTrackingRefBased/>
  <w15:docId w15:val="{8EED111A-68AB-4A7B-A323-2530156B3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aption">
    <w:name w:val="Table Caption"/>
    <w:basedOn w:val="Normal"/>
    <w:link w:val="TableCaptionChar"/>
    <w:qFormat/>
    <w:rsid w:val="00D77447"/>
    <w:pPr>
      <w:spacing w:before="80" w:after="0"/>
      <w:contextualSpacing/>
      <w:jc w:val="both"/>
    </w:pPr>
    <w:rPr>
      <w:rFonts w:asciiTheme="majorHAnsi" w:hAnsiTheme="majorHAnsi" w:cstheme="majorHAnsi"/>
      <w:sz w:val="18"/>
      <w:szCs w:val="20"/>
    </w:rPr>
  </w:style>
  <w:style w:type="character" w:customStyle="1" w:styleId="TableCaptionChar">
    <w:name w:val="Table Caption Char"/>
    <w:basedOn w:val="DefaultParagraphFont"/>
    <w:link w:val="TableCaption"/>
    <w:rsid w:val="00D77447"/>
    <w:rPr>
      <w:rFonts w:asciiTheme="majorHAnsi" w:hAnsiTheme="majorHAnsi" w:cstheme="majorHAnsi"/>
      <w:sz w:val="18"/>
      <w:szCs w:val="20"/>
    </w:rPr>
  </w:style>
  <w:style w:type="character" w:styleId="Hyperlink">
    <w:name w:val="Hyperlink"/>
    <w:basedOn w:val="DefaultParagraphFont"/>
    <w:uiPriority w:val="99"/>
    <w:unhideWhenUsed/>
    <w:rsid w:val="00D77447"/>
    <w:rPr>
      <w:color w:val="0563C1" w:themeColor="hyperlink"/>
      <w:u w:val="single"/>
    </w:rPr>
  </w:style>
  <w:style w:type="character" w:customStyle="1" w:styleId="UnresolvedMention">
    <w:name w:val="Unresolved Mention"/>
    <w:basedOn w:val="DefaultParagraphFont"/>
    <w:uiPriority w:val="99"/>
    <w:semiHidden/>
    <w:unhideWhenUsed/>
    <w:rsid w:val="00D774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olar-power-tech.com/e-posters/dsc_eposter_09/"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392</Words>
  <Characters>2235</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Martins</dc:creator>
  <cp:keywords/>
  <dc:description/>
  <cp:lastModifiedBy>Jorge Martins</cp:lastModifiedBy>
  <cp:revision>3</cp:revision>
  <dcterms:created xsi:type="dcterms:W3CDTF">2021-06-30T09:10:00Z</dcterms:created>
  <dcterms:modified xsi:type="dcterms:W3CDTF">2021-06-30T16:20:00Z</dcterms:modified>
</cp:coreProperties>
</file>