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2975AE" w14:textId="176D29C8" w:rsidR="00D77447" w:rsidRDefault="00D77447" w:rsidP="00D77447">
      <w:pPr>
        <w:pStyle w:val="TableCaption"/>
      </w:pPr>
      <w:r>
        <w:rPr>
          <w:rFonts w:ascii="Times New Roman" w:hAnsi="Times New Roman" w:cs="Times New Roman"/>
          <w:b/>
          <w:sz w:val="20"/>
          <w:szCs w:val="18"/>
        </w:rPr>
        <w:t xml:space="preserve">Link: </w:t>
      </w:r>
      <w:hyperlink r:id="rId4" w:history="1">
        <w:r w:rsidR="00045D98" w:rsidRPr="00F72EDD">
          <w:rPr>
            <w:rStyle w:val="Hyperlink"/>
          </w:rPr>
          <w:t>https://solar-power-tech.com/e-posters/psc_eposter_15/</w:t>
        </w:r>
      </w:hyperlink>
    </w:p>
    <w:p w14:paraId="0DBCC785" w14:textId="77777777" w:rsidR="00045D98" w:rsidRDefault="00045D98" w:rsidP="00D77447">
      <w:pPr>
        <w:pStyle w:val="TableCaption"/>
        <w:rPr>
          <w:rFonts w:ascii="Times New Roman" w:hAnsi="Times New Roman" w:cs="Times New Roman"/>
          <w:b/>
          <w:sz w:val="20"/>
          <w:szCs w:val="18"/>
        </w:rPr>
      </w:pPr>
      <w:bookmarkStart w:id="0" w:name="_GoBack"/>
      <w:bookmarkEnd w:id="0"/>
    </w:p>
    <w:p w14:paraId="0AA017EA" w14:textId="3906BB99" w:rsidR="00D77447" w:rsidRPr="00841B5A" w:rsidRDefault="00D77447" w:rsidP="00D77447">
      <w:pPr>
        <w:pStyle w:val="TableCaption"/>
        <w:rPr>
          <w:rFonts w:ascii="Times New Roman" w:hAnsi="Times New Roman" w:cs="Times New Roman"/>
          <w:b/>
          <w:sz w:val="20"/>
          <w:szCs w:val="18"/>
        </w:rPr>
      </w:pPr>
      <w:r w:rsidRPr="00841B5A">
        <w:rPr>
          <w:rFonts w:ascii="Times New Roman" w:hAnsi="Times New Roman" w:cs="Times New Roman"/>
          <w:b/>
          <w:sz w:val="20"/>
          <w:szCs w:val="18"/>
        </w:rPr>
        <w:t>Abstract</w:t>
      </w:r>
    </w:p>
    <w:p w14:paraId="3AC22A59" w14:textId="77777777" w:rsidR="00D77447" w:rsidRDefault="00D77447" w:rsidP="00D77447">
      <w:pPr>
        <w:spacing w:after="0"/>
        <w:jc w:val="both"/>
        <w:rPr>
          <w:rFonts w:ascii="Times New Roman" w:eastAsia="Calibri" w:hAnsi="Times New Roman" w:cs="Times New Roman"/>
          <w:sz w:val="20"/>
          <w:szCs w:val="20"/>
          <w:lang w:val="en-GB"/>
        </w:rPr>
      </w:pPr>
    </w:p>
    <w:p w14:paraId="2D767C9C" w14:textId="77777777" w:rsidR="00CA4480" w:rsidRDefault="00CA4480" w:rsidP="00CA4480">
      <w:pPr>
        <w:spacing w:after="0"/>
        <w:jc w:val="both"/>
        <w:rPr>
          <w:rFonts w:ascii="Times New Roman" w:hAnsi="Times New Roman" w:cs="Times New Roman"/>
          <w:sz w:val="20"/>
        </w:rPr>
      </w:pPr>
      <w:r w:rsidRPr="007A71E0">
        <w:rPr>
          <w:rFonts w:ascii="Times New Roman" w:hAnsi="Times New Roman" w:cs="Times New Roman"/>
          <w:sz w:val="20"/>
        </w:rPr>
        <w:t>Despite the outstanding role of the mesoscopic structure on the efficiency and stability of perovskite solar cells (PSCs) in the regular (n–i–p) architecture, mesoscopic PSCs in inverted (p–i–n) architecture have rarely been reported. Although previous researc</w:t>
      </w:r>
      <w:r>
        <w:rPr>
          <w:rFonts w:ascii="Times New Roman" w:hAnsi="Times New Roman" w:cs="Times New Roman"/>
          <w:sz w:val="20"/>
        </w:rPr>
        <w:t>h efforts on mesoscopic NiO</w:t>
      </w:r>
      <w:r w:rsidRPr="00CA4974">
        <w:rPr>
          <w:rFonts w:ascii="Times New Roman" w:hAnsi="Times New Roman" w:cs="Times New Roman"/>
          <w:i/>
          <w:iCs/>
          <w:sz w:val="20"/>
          <w:vertAlign w:val="subscript"/>
        </w:rPr>
        <w:t>x</w:t>
      </w:r>
      <w:r>
        <w:rPr>
          <w:rFonts w:ascii="Times New Roman" w:hAnsi="Times New Roman" w:cs="Times New Roman"/>
          <w:sz w:val="20"/>
        </w:rPr>
        <w:t xml:space="preserve"> (mp</w:t>
      </w:r>
      <w:r>
        <w:rPr>
          <w:rFonts w:ascii="Times New Roman" w:hAnsi="Times New Roman" w:cs="Times New Roman" w:hint="cs"/>
          <w:sz w:val="20"/>
          <w:rtl/>
        </w:rPr>
        <w:t>-</w:t>
      </w:r>
      <w:r w:rsidRPr="007A71E0">
        <w:rPr>
          <w:rFonts w:ascii="Times New Roman" w:hAnsi="Times New Roman" w:cs="Times New Roman"/>
          <w:sz w:val="20"/>
        </w:rPr>
        <w:t>NiO</w:t>
      </w:r>
      <w:r w:rsidRPr="00CA4974">
        <w:rPr>
          <w:rFonts w:ascii="Times New Roman" w:hAnsi="Times New Roman" w:cs="Times New Roman"/>
          <w:sz w:val="20"/>
          <w:vertAlign w:val="subscript"/>
        </w:rPr>
        <w:t>x</w:t>
      </w:r>
      <w:r>
        <w:rPr>
          <w:rFonts w:ascii="Times New Roman" w:hAnsi="Times New Roman" w:cs="Times New Roman"/>
          <w:sz w:val="20"/>
        </w:rPr>
        <w:t>)-</w:t>
      </w:r>
      <w:r w:rsidRPr="007A71E0">
        <w:rPr>
          <w:rFonts w:ascii="Times New Roman" w:hAnsi="Times New Roman" w:cs="Times New Roman"/>
          <w:sz w:val="20"/>
        </w:rPr>
        <w:t>based inverted PSCs reveal the critical impact of the morphology of the NiO</w:t>
      </w:r>
      <w:r w:rsidRPr="00CA4974">
        <w:rPr>
          <w:rFonts w:ascii="Times New Roman" w:hAnsi="Times New Roman" w:cs="Times New Roman"/>
          <w:i/>
          <w:iCs/>
          <w:sz w:val="20"/>
          <w:vertAlign w:val="subscript"/>
        </w:rPr>
        <w:t>x</w:t>
      </w:r>
      <w:r w:rsidRPr="007A71E0">
        <w:rPr>
          <w:rFonts w:ascii="Times New Roman" w:hAnsi="Times New Roman" w:cs="Times New Roman"/>
          <w:sz w:val="20"/>
        </w:rPr>
        <w:t xml:space="preserve"> hole transport layer (HTL) on the charge transfer and interfacial properties in </w:t>
      </w:r>
      <w:r>
        <w:rPr>
          <w:rFonts w:ascii="Times New Roman" w:hAnsi="Times New Roman" w:cs="Times New Roman"/>
          <w:sz w:val="20"/>
        </w:rPr>
        <w:t>PSCs, the requirement of vacuum</w:t>
      </w:r>
      <w:r>
        <w:rPr>
          <w:rFonts w:ascii="Times New Roman" w:hAnsi="Times New Roman" w:cs="Times New Roman" w:hint="cs"/>
          <w:sz w:val="20"/>
          <w:rtl/>
        </w:rPr>
        <w:t>-</w:t>
      </w:r>
      <w:r w:rsidRPr="007A71E0">
        <w:rPr>
          <w:rFonts w:ascii="Times New Roman" w:hAnsi="Times New Roman" w:cs="Times New Roman"/>
          <w:sz w:val="20"/>
        </w:rPr>
        <w:t>p</w:t>
      </w:r>
      <w:r>
        <w:rPr>
          <w:rFonts w:ascii="Times New Roman" w:hAnsi="Times New Roman" w:cs="Times New Roman"/>
          <w:sz w:val="20"/>
        </w:rPr>
        <w:t>rocessing and complicated multi</w:t>
      </w:r>
      <w:r>
        <w:rPr>
          <w:rFonts w:ascii="Times New Roman" w:hAnsi="Times New Roman" w:cs="Times New Roman" w:hint="cs"/>
          <w:sz w:val="20"/>
          <w:rtl/>
        </w:rPr>
        <w:t>-</w:t>
      </w:r>
      <w:r>
        <w:rPr>
          <w:rFonts w:ascii="Times New Roman" w:hAnsi="Times New Roman" w:cs="Times New Roman"/>
          <w:sz w:val="20"/>
        </w:rPr>
        <w:t>step procedures to fabricate mp-</w:t>
      </w:r>
      <w:r w:rsidRPr="007A71E0">
        <w:rPr>
          <w:rFonts w:ascii="Times New Roman" w:hAnsi="Times New Roman" w:cs="Times New Roman"/>
          <w:sz w:val="20"/>
        </w:rPr>
        <w:t>NiO</w:t>
      </w:r>
      <w:r w:rsidRPr="00CA4974">
        <w:rPr>
          <w:rFonts w:ascii="Times New Roman" w:hAnsi="Times New Roman" w:cs="Times New Roman"/>
          <w:i/>
          <w:iCs/>
          <w:sz w:val="20"/>
          <w:vertAlign w:val="subscript"/>
        </w:rPr>
        <w:t>x</w:t>
      </w:r>
      <w:r w:rsidRPr="007A71E0">
        <w:rPr>
          <w:rFonts w:ascii="Times New Roman" w:hAnsi="Times New Roman" w:cs="Times New Roman"/>
          <w:sz w:val="20"/>
        </w:rPr>
        <w:t xml:space="preserve"> pose a challenge to meet the requirement towards a commercialization of this technology. Herein, we em</w:t>
      </w:r>
      <w:r>
        <w:rPr>
          <w:rFonts w:ascii="Times New Roman" w:hAnsi="Times New Roman" w:cs="Times New Roman"/>
          <w:sz w:val="20"/>
        </w:rPr>
        <w:t>ploy an efficient and stable mp</w:t>
      </w:r>
      <w:r>
        <w:rPr>
          <w:rFonts w:ascii="Times New Roman" w:hAnsi="Times New Roman" w:cs="Times New Roman" w:hint="cs"/>
          <w:sz w:val="20"/>
          <w:rtl/>
        </w:rPr>
        <w:t>-</w:t>
      </w:r>
      <w:r w:rsidRPr="007A71E0">
        <w:rPr>
          <w:rFonts w:ascii="Times New Roman" w:hAnsi="Times New Roman" w:cs="Times New Roman"/>
          <w:sz w:val="20"/>
        </w:rPr>
        <w:t>NiO</w:t>
      </w:r>
      <w:r w:rsidRPr="00CA4974">
        <w:rPr>
          <w:rFonts w:ascii="Times New Roman" w:hAnsi="Times New Roman" w:cs="Times New Roman"/>
          <w:i/>
          <w:iCs/>
          <w:sz w:val="20"/>
          <w:vertAlign w:val="subscript"/>
        </w:rPr>
        <w:t>x</w:t>
      </w:r>
      <w:r w:rsidRPr="007A71E0">
        <w:rPr>
          <w:rFonts w:ascii="Times New Roman" w:hAnsi="Times New Roman" w:cs="Times New Roman"/>
          <w:sz w:val="20"/>
        </w:rPr>
        <w:t xml:space="preserve"> scaff</w:t>
      </w:r>
      <w:r>
        <w:rPr>
          <w:rFonts w:ascii="Times New Roman" w:hAnsi="Times New Roman" w:cs="Times New Roman"/>
          <w:sz w:val="20"/>
        </w:rPr>
        <w:t>old formed via a simple and low</w:t>
      </w:r>
      <w:r>
        <w:rPr>
          <w:rFonts w:ascii="Times New Roman" w:hAnsi="Times New Roman" w:cs="Times New Roman" w:hint="cs"/>
          <w:sz w:val="20"/>
          <w:rtl/>
        </w:rPr>
        <w:t>-</w:t>
      </w:r>
      <w:r w:rsidRPr="007A71E0">
        <w:rPr>
          <w:rFonts w:ascii="Times New Roman" w:hAnsi="Times New Roman" w:cs="Times New Roman"/>
          <w:sz w:val="20"/>
        </w:rPr>
        <w:t>c</w:t>
      </w:r>
      <w:r>
        <w:rPr>
          <w:rFonts w:ascii="Times New Roman" w:hAnsi="Times New Roman" w:cs="Times New Roman"/>
          <w:sz w:val="20"/>
        </w:rPr>
        <w:t>ost triblock copolymer template</w:t>
      </w:r>
      <w:r>
        <w:rPr>
          <w:rFonts w:ascii="Times New Roman" w:hAnsi="Times New Roman" w:cs="Times New Roman" w:hint="cs"/>
          <w:sz w:val="20"/>
          <w:rtl/>
        </w:rPr>
        <w:t>-</w:t>
      </w:r>
      <w:r w:rsidRPr="007A71E0">
        <w:rPr>
          <w:rFonts w:ascii="Times New Roman" w:hAnsi="Times New Roman" w:cs="Times New Roman"/>
          <w:sz w:val="20"/>
        </w:rPr>
        <w:t>assisted strategy</w:t>
      </w:r>
      <w:r w:rsidRPr="00CA4974">
        <w:t xml:space="preserve"> </w:t>
      </w:r>
      <w:r w:rsidRPr="00CA4974">
        <w:rPr>
          <w:rFonts w:ascii="Times New Roman" w:hAnsi="Times New Roman" w:cs="Times New Roman"/>
          <w:sz w:val="20"/>
        </w:rPr>
        <w:t>and utilize this mp-NiO</w:t>
      </w:r>
      <w:r w:rsidRPr="00CA4974">
        <w:rPr>
          <w:rFonts w:ascii="Times New Roman" w:hAnsi="Times New Roman" w:cs="Times New Roman"/>
          <w:i/>
          <w:iCs/>
          <w:sz w:val="20"/>
          <w:vertAlign w:val="subscript"/>
        </w:rPr>
        <w:t>x</w:t>
      </w:r>
      <w:r w:rsidRPr="00CA4974">
        <w:rPr>
          <w:rFonts w:ascii="Times New Roman" w:hAnsi="Times New Roman" w:cs="Times New Roman"/>
          <w:sz w:val="20"/>
        </w:rPr>
        <w:t xml:space="preserve"> film as HTL in the</w:t>
      </w:r>
      <w:r>
        <w:rPr>
          <w:rFonts w:ascii="Times New Roman" w:hAnsi="Times New Roman" w:cs="Times New Roman" w:hint="cs"/>
          <w:sz w:val="20"/>
          <w:rtl/>
        </w:rPr>
        <w:t xml:space="preserve"> </w:t>
      </w:r>
      <w:r w:rsidRPr="00CA4974">
        <w:rPr>
          <w:rFonts w:ascii="Times New Roman" w:hAnsi="Times New Roman" w:cs="Times New Roman"/>
          <w:sz w:val="20"/>
        </w:rPr>
        <w:t>PSCs, for the first time.</w:t>
      </w:r>
      <w:r w:rsidRPr="007A71E0">
        <w:rPr>
          <w:rFonts w:ascii="Times New Roman" w:hAnsi="Times New Roman" w:cs="Times New Roman"/>
          <w:sz w:val="20"/>
        </w:rPr>
        <w:t xml:space="preserve"> Promisingly, this approach allows the f</w:t>
      </w:r>
      <w:r>
        <w:rPr>
          <w:rFonts w:ascii="Times New Roman" w:hAnsi="Times New Roman" w:cs="Times New Roman"/>
          <w:sz w:val="20"/>
        </w:rPr>
        <w:t>abrication of homogenous, crack-</w:t>
      </w:r>
      <w:r w:rsidRPr="007A71E0">
        <w:rPr>
          <w:rFonts w:ascii="Times New Roman" w:hAnsi="Times New Roman" w:cs="Times New Roman"/>
          <w:sz w:val="20"/>
        </w:rPr>
        <w:t>f</w:t>
      </w:r>
      <w:r>
        <w:rPr>
          <w:rFonts w:ascii="Times New Roman" w:hAnsi="Times New Roman" w:cs="Times New Roman"/>
          <w:sz w:val="20"/>
        </w:rPr>
        <w:t>ree, and robust 150 nm thick mp-</w:t>
      </w:r>
      <w:r w:rsidRPr="007A71E0">
        <w:rPr>
          <w:rFonts w:ascii="Times New Roman" w:hAnsi="Times New Roman" w:cs="Times New Roman"/>
          <w:sz w:val="20"/>
        </w:rPr>
        <w:t>NiO</w:t>
      </w:r>
      <w:r w:rsidRPr="00CA4974">
        <w:rPr>
          <w:rFonts w:ascii="Times New Roman" w:hAnsi="Times New Roman" w:cs="Times New Roman"/>
          <w:i/>
          <w:iCs/>
          <w:sz w:val="20"/>
          <w:vertAlign w:val="subscript"/>
        </w:rPr>
        <w:t>x</w:t>
      </w:r>
      <w:r w:rsidRPr="007A71E0">
        <w:rPr>
          <w:rFonts w:ascii="Times New Roman" w:hAnsi="Times New Roman" w:cs="Times New Roman"/>
          <w:sz w:val="20"/>
        </w:rPr>
        <w:t xml:space="preserve"> films through a facile chemical approach. S</w:t>
      </w:r>
      <w:r>
        <w:rPr>
          <w:rFonts w:ascii="Times New Roman" w:hAnsi="Times New Roman" w:cs="Times New Roman"/>
          <w:sz w:val="20"/>
        </w:rPr>
        <w:t>uch a high quality templated mp-</w:t>
      </w:r>
      <w:r w:rsidRPr="007A71E0">
        <w:rPr>
          <w:rFonts w:ascii="Times New Roman" w:hAnsi="Times New Roman" w:cs="Times New Roman"/>
          <w:sz w:val="20"/>
        </w:rPr>
        <w:t>NiO</w:t>
      </w:r>
      <w:r w:rsidRPr="00CA4974">
        <w:rPr>
          <w:rFonts w:ascii="Times New Roman" w:hAnsi="Times New Roman" w:cs="Times New Roman"/>
          <w:i/>
          <w:iCs/>
          <w:sz w:val="20"/>
          <w:vertAlign w:val="subscript"/>
        </w:rPr>
        <w:t>x</w:t>
      </w:r>
      <w:r w:rsidRPr="007A71E0">
        <w:rPr>
          <w:rFonts w:ascii="Times New Roman" w:hAnsi="Times New Roman" w:cs="Times New Roman"/>
          <w:sz w:val="20"/>
        </w:rPr>
        <w:t xml:space="preserve"> structure promotes the growth of the perovskite film yielding better surface coverage and enlarged grains. These desired structural and morphological features effectively translate into improved charge extraction, accelerated charge transportation, and suppressed trap</w:t>
      </w:r>
      <w:r w:rsidRPr="007A71E0">
        <w:rPr>
          <w:rFonts w:ascii="Times New Roman" w:hAnsi="Times New Roman" w:cs="Times New Roman"/>
          <w:sz w:val="20"/>
          <w:cs/>
        </w:rPr>
        <w:t>‎</w:t>
      </w:r>
      <w:r>
        <w:rPr>
          <w:rFonts w:ascii="Times New Roman" w:hAnsi="Times New Roman" w:cs="Times New Roman"/>
          <w:sz w:val="20"/>
        </w:rPr>
        <w:t>-</w:t>
      </w:r>
      <w:r w:rsidRPr="007A71E0">
        <w:rPr>
          <w:rFonts w:ascii="Times New Roman" w:hAnsi="Times New Roman" w:cs="Times New Roman"/>
          <w:sz w:val="20"/>
        </w:rPr>
        <w:t>assisted recombination. As a result, a considerable efficiency of 20.2% is achieved with negligible hysteresis</w:t>
      </w:r>
      <w:r>
        <w:rPr>
          <w:rFonts w:ascii="Times New Roman" w:hAnsi="Times New Roman" w:cs="Times New Roman"/>
          <w:sz w:val="20"/>
        </w:rPr>
        <w:t>.</w:t>
      </w:r>
      <w:r w:rsidRPr="007A71E0">
        <w:rPr>
          <w:rFonts w:ascii="Times New Roman" w:hAnsi="Times New Roman" w:cs="Times New Roman"/>
          <w:sz w:val="20"/>
        </w:rPr>
        <w:t xml:space="preserve"> </w:t>
      </w:r>
      <w:r w:rsidRPr="007B16CC">
        <w:rPr>
          <w:rFonts w:ascii="Times New Roman" w:hAnsi="Times New Roman" w:cs="Times New Roman"/>
          <w:sz w:val="20"/>
        </w:rPr>
        <w:t>Notably, the</w:t>
      </w:r>
      <w:r>
        <w:rPr>
          <w:rFonts w:ascii="Times New Roman" w:hAnsi="Times New Roman" w:cs="Times New Roman"/>
          <w:sz w:val="20"/>
        </w:rPr>
        <w:t xml:space="preserve"> </w:t>
      </w:r>
      <w:r w:rsidRPr="007B16CC">
        <w:rPr>
          <w:rFonts w:ascii="Times New Roman" w:hAnsi="Times New Roman" w:cs="Times New Roman"/>
          <w:sz w:val="20"/>
        </w:rPr>
        <w:t>high performance obtained for our mesoscopic devices was</w:t>
      </w:r>
      <w:r>
        <w:rPr>
          <w:rFonts w:ascii="Times New Roman" w:hAnsi="Times New Roman" w:cs="Times New Roman"/>
          <w:sz w:val="20"/>
        </w:rPr>
        <w:t xml:space="preserve"> achieved without </w:t>
      </w:r>
      <w:r w:rsidRPr="007B16CC">
        <w:rPr>
          <w:rFonts w:ascii="Times New Roman" w:hAnsi="Times New Roman" w:cs="Times New Roman"/>
          <w:sz w:val="20"/>
        </w:rPr>
        <w:t>interface p</w:t>
      </w:r>
      <w:r>
        <w:rPr>
          <w:rFonts w:ascii="Times New Roman" w:hAnsi="Times New Roman" w:cs="Times New Roman"/>
          <w:sz w:val="20"/>
        </w:rPr>
        <w:t xml:space="preserve">assivation or doping strategies </w:t>
      </w:r>
      <w:r w:rsidRPr="007B16CC">
        <w:rPr>
          <w:rFonts w:ascii="Times New Roman" w:hAnsi="Times New Roman" w:cs="Times New Roman"/>
          <w:sz w:val="20"/>
        </w:rPr>
        <w:t>and it is among the highest efficiencies for mp-NiO</w:t>
      </w:r>
      <w:r w:rsidRPr="007B16CC">
        <w:rPr>
          <w:rFonts w:ascii="Times New Roman" w:hAnsi="Times New Roman" w:cs="Times New Roman"/>
          <w:i/>
          <w:iCs/>
          <w:sz w:val="20"/>
          <w:vertAlign w:val="subscript"/>
        </w:rPr>
        <w:t>x</w:t>
      </w:r>
      <w:r w:rsidRPr="007B16CC">
        <w:rPr>
          <w:rFonts w:ascii="Times New Roman" w:hAnsi="Times New Roman" w:cs="Times New Roman"/>
          <w:sz w:val="20"/>
        </w:rPr>
        <w:t>-based</w:t>
      </w:r>
      <w:r>
        <w:rPr>
          <w:rFonts w:ascii="Times New Roman" w:hAnsi="Times New Roman" w:cs="Times New Roman"/>
          <w:sz w:val="20"/>
        </w:rPr>
        <w:t xml:space="preserve"> inverted PSCs </w:t>
      </w:r>
      <w:r w:rsidRPr="007B16CC">
        <w:rPr>
          <w:rFonts w:ascii="Times New Roman" w:hAnsi="Times New Roman" w:cs="Times New Roman"/>
          <w:sz w:val="20"/>
        </w:rPr>
        <w:t>reported to this date. Moreover, it is also important</w:t>
      </w:r>
      <w:r>
        <w:rPr>
          <w:rFonts w:ascii="Times New Roman" w:hAnsi="Times New Roman" w:cs="Times New Roman"/>
          <w:sz w:val="20"/>
        </w:rPr>
        <w:t xml:space="preserve"> </w:t>
      </w:r>
      <w:r w:rsidRPr="007B16CC">
        <w:rPr>
          <w:rFonts w:ascii="Times New Roman" w:hAnsi="Times New Roman" w:cs="Times New Roman"/>
          <w:sz w:val="20"/>
        </w:rPr>
        <w:t>to highlight that the absorber and the charge transport</w:t>
      </w:r>
      <w:r>
        <w:rPr>
          <w:rFonts w:ascii="Times New Roman" w:hAnsi="Times New Roman" w:cs="Times New Roman"/>
          <w:sz w:val="20"/>
        </w:rPr>
        <w:t xml:space="preserve"> layers were </w:t>
      </w:r>
      <w:r w:rsidRPr="007B16CC">
        <w:rPr>
          <w:rFonts w:ascii="Times New Roman" w:hAnsi="Times New Roman" w:cs="Times New Roman"/>
          <w:sz w:val="20"/>
        </w:rPr>
        <w:t>prepared through solution processing, paving the</w:t>
      </w:r>
      <w:r>
        <w:rPr>
          <w:rFonts w:ascii="Times New Roman" w:hAnsi="Times New Roman" w:cs="Times New Roman"/>
          <w:sz w:val="20"/>
        </w:rPr>
        <w:t xml:space="preserve"> </w:t>
      </w:r>
      <w:r w:rsidRPr="007B16CC">
        <w:rPr>
          <w:rFonts w:ascii="Times New Roman" w:hAnsi="Times New Roman" w:cs="Times New Roman"/>
          <w:sz w:val="20"/>
        </w:rPr>
        <w:t>way for a highly efficient, low-cost, and scalable PV technology.</w:t>
      </w:r>
      <w:r>
        <w:rPr>
          <w:rFonts w:ascii="Times New Roman" w:hAnsi="Times New Roman" w:cs="Times New Roman"/>
          <w:sz w:val="20"/>
        </w:rPr>
        <w:t xml:space="preserve"> </w:t>
      </w:r>
      <w:r w:rsidRPr="007A71E0">
        <w:rPr>
          <w:rFonts w:ascii="Times New Roman" w:hAnsi="Times New Roman" w:cs="Times New Roman"/>
          <w:sz w:val="20"/>
        </w:rPr>
        <w:t>Moreover, mesoscopic devices indicate higher long-term stability under ambient conditions compared to planar devices. Overall, the new results obtained in our study set new benchmarks in terms of performance for mesoscopic inver</w:t>
      </w:r>
      <w:r>
        <w:rPr>
          <w:rFonts w:ascii="Times New Roman" w:hAnsi="Times New Roman" w:cs="Times New Roman"/>
          <w:sz w:val="20"/>
        </w:rPr>
        <w:t>ted PSCs employing templated mp-</w:t>
      </w:r>
      <w:r w:rsidRPr="007A71E0">
        <w:rPr>
          <w:rFonts w:ascii="Times New Roman" w:hAnsi="Times New Roman" w:cs="Times New Roman"/>
          <w:sz w:val="20"/>
        </w:rPr>
        <w:t>NiO</w:t>
      </w:r>
      <w:r w:rsidRPr="00CA4974">
        <w:rPr>
          <w:rFonts w:ascii="Times New Roman" w:hAnsi="Times New Roman" w:cs="Times New Roman"/>
          <w:i/>
          <w:iCs/>
          <w:sz w:val="20"/>
          <w:vertAlign w:val="subscript"/>
        </w:rPr>
        <w:t>x</w:t>
      </w:r>
      <w:r w:rsidRPr="007A71E0">
        <w:rPr>
          <w:rFonts w:ascii="Times New Roman" w:hAnsi="Times New Roman" w:cs="Times New Roman"/>
          <w:sz w:val="20"/>
        </w:rPr>
        <w:t xml:space="preserve"> films as highly efficient, stable, and easy fabricated HTLs.</w:t>
      </w:r>
    </w:p>
    <w:p w14:paraId="0489B1C1" w14:textId="77777777" w:rsidR="00D77447" w:rsidRPr="003F6AE5" w:rsidRDefault="00D77447" w:rsidP="00D77447">
      <w:pPr>
        <w:spacing w:after="0"/>
        <w:jc w:val="both"/>
        <w:rPr>
          <w:rFonts w:ascii="Times New Roman" w:hAnsi="Times New Roman" w:cs="Times New Roman"/>
          <w:sz w:val="20"/>
        </w:rPr>
      </w:pPr>
    </w:p>
    <w:p w14:paraId="326A6423" w14:textId="77777777" w:rsidR="00CE6FAA" w:rsidRDefault="00CE6FAA"/>
    <w:sectPr w:rsidR="00CE6FAA" w:rsidSect="00AC022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447"/>
    <w:rsid w:val="000132DE"/>
    <w:rsid w:val="00035758"/>
    <w:rsid w:val="00045D98"/>
    <w:rsid w:val="00114026"/>
    <w:rsid w:val="002D07EE"/>
    <w:rsid w:val="003D7629"/>
    <w:rsid w:val="003F6AE5"/>
    <w:rsid w:val="004D3531"/>
    <w:rsid w:val="005E2508"/>
    <w:rsid w:val="00643ACF"/>
    <w:rsid w:val="00746E91"/>
    <w:rsid w:val="00772028"/>
    <w:rsid w:val="007B4CA2"/>
    <w:rsid w:val="008206F0"/>
    <w:rsid w:val="0083181E"/>
    <w:rsid w:val="008A1BE5"/>
    <w:rsid w:val="009C0726"/>
    <w:rsid w:val="009C3B93"/>
    <w:rsid w:val="00AC0222"/>
    <w:rsid w:val="00B16147"/>
    <w:rsid w:val="00CA4480"/>
    <w:rsid w:val="00CE221C"/>
    <w:rsid w:val="00CE6FAA"/>
    <w:rsid w:val="00D4144B"/>
    <w:rsid w:val="00D77447"/>
    <w:rsid w:val="00E51292"/>
    <w:rsid w:val="00E90B77"/>
    <w:rsid w:val="00EF06DA"/>
    <w:rsid w:val="00F57A3B"/>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25E91"/>
  <w15:chartTrackingRefBased/>
  <w15:docId w15:val="{8EED111A-68AB-4A7B-A323-2530156B3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74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aption">
    <w:name w:val="Table Caption"/>
    <w:basedOn w:val="Normal"/>
    <w:link w:val="TableCaptionChar"/>
    <w:qFormat/>
    <w:rsid w:val="00D77447"/>
    <w:pPr>
      <w:spacing w:before="80" w:after="0"/>
      <w:contextualSpacing/>
      <w:jc w:val="both"/>
    </w:pPr>
    <w:rPr>
      <w:rFonts w:asciiTheme="majorHAnsi" w:hAnsiTheme="majorHAnsi" w:cstheme="majorHAnsi"/>
      <w:sz w:val="18"/>
      <w:szCs w:val="20"/>
    </w:rPr>
  </w:style>
  <w:style w:type="character" w:customStyle="1" w:styleId="TableCaptionChar">
    <w:name w:val="Table Caption Char"/>
    <w:basedOn w:val="DefaultParagraphFont"/>
    <w:link w:val="TableCaption"/>
    <w:rsid w:val="00D77447"/>
    <w:rPr>
      <w:rFonts w:asciiTheme="majorHAnsi" w:hAnsiTheme="majorHAnsi" w:cstheme="majorHAnsi"/>
      <w:sz w:val="18"/>
      <w:szCs w:val="20"/>
    </w:rPr>
  </w:style>
  <w:style w:type="character" w:styleId="Hyperlink">
    <w:name w:val="Hyperlink"/>
    <w:basedOn w:val="DefaultParagraphFont"/>
    <w:uiPriority w:val="99"/>
    <w:unhideWhenUsed/>
    <w:rsid w:val="00D77447"/>
    <w:rPr>
      <w:color w:val="0563C1" w:themeColor="hyperlink"/>
      <w:u w:val="single"/>
    </w:rPr>
  </w:style>
  <w:style w:type="character" w:customStyle="1" w:styleId="UnresolvedMention">
    <w:name w:val="Unresolved Mention"/>
    <w:basedOn w:val="DefaultParagraphFont"/>
    <w:uiPriority w:val="99"/>
    <w:semiHidden/>
    <w:unhideWhenUsed/>
    <w:rsid w:val="00D77447"/>
    <w:rPr>
      <w:color w:val="605E5C"/>
      <w:shd w:val="clear" w:color="auto" w:fill="E1DFDD"/>
    </w:rPr>
  </w:style>
  <w:style w:type="character" w:styleId="FollowedHyperlink">
    <w:name w:val="FollowedHyperlink"/>
    <w:basedOn w:val="DefaultParagraphFont"/>
    <w:uiPriority w:val="99"/>
    <w:semiHidden/>
    <w:unhideWhenUsed/>
    <w:rsid w:val="008A1BE5"/>
    <w:rPr>
      <w:color w:val="954F72" w:themeColor="followedHyperlink"/>
      <w:u w:val="single"/>
    </w:rPr>
  </w:style>
  <w:style w:type="table" w:styleId="TableGrid">
    <w:name w:val="Table Grid"/>
    <w:basedOn w:val="TableNormal"/>
    <w:uiPriority w:val="59"/>
    <w:rsid w:val="00B16147"/>
    <w:pPr>
      <w:spacing w:after="0" w:line="240" w:lineRule="auto"/>
    </w:pPr>
    <w:rPr>
      <w:lang w:val="pt-P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y2iqfc">
    <w:name w:val="y2iqfc"/>
    <w:basedOn w:val="DefaultParagraphFont"/>
    <w:rsid w:val="001140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olar-power-tech.com/e-posters/psc_eposter_15/"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348</Words>
  <Characters>1989</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Martins</dc:creator>
  <cp:keywords/>
  <dc:description/>
  <cp:lastModifiedBy>Jorge Martins</cp:lastModifiedBy>
  <cp:revision>3</cp:revision>
  <dcterms:created xsi:type="dcterms:W3CDTF">2021-06-30T09:42:00Z</dcterms:created>
  <dcterms:modified xsi:type="dcterms:W3CDTF">2021-06-30T16:27:00Z</dcterms:modified>
</cp:coreProperties>
</file>