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49051CF9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5709F8" w:rsidRPr="00F46F42">
          <w:rPr>
            <w:rStyle w:val="Hyperlink"/>
          </w:rPr>
          <w:t>https://solar-power-t</w:t>
        </w:r>
        <w:r w:rsidR="005709F8">
          <w:rPr>
            <w:rStyle w:val="Hyperlink"/>
          </w:rPr>
          <w:t>ech.com/e-posters/sfs_eposter_08</w:t>
        </w:r>
        <w:bookmarkStart w:id="0" w:name="_GoBack"/>
        <w:bookmarkEnd w:id="0"/>
        <w:r w:rsidR="005709F8" w:rsidRPr="00F46F42">
          <w:rPr>
            <w:rStyle w:val="Hyperlink"/>
          </w:rPr>
          <w:t>/</w:t>
        </w:r>
      </w:hyperlink>
    </w:p>
    <w:p w14:paraId="17A8B3FB" w14:textId="77777777" w:rsidR="005709F8" w:rsidRDefault="005709F8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7C0F61F8" w14:textId="77777777" w:rsidR="00CE221C" w:rsidRPr="00A509CE" w:rsidRDefault="00CE221C" w:rsidP="00CE221C">
      <w:pPr>
        <w:spacing w:after="0"/>
        <w:jc w:val="both"/>
        <w:rPr>
          <w:rFonts w:ascii="Times New Roman" w:hAnsi="Times New Roman" w:cs="Times New Roman"/>
          <w:sz w:val="20"/>
        </w:rPr>
      </w:pPr>
      <w:r w:rsidRPr="00A509CE">
        <w:rPr>
          <w:rFonts w:ascii="Times New Roman" w:hAnsi="Times New Roman" w:cs="Times New Roman"/>
          <w:sz w:val="20"/>
        </w:rPr>
        <w:t>Barium stannate (BaSnO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>) crystallizes as the cubic perovskite-type structure (Pm3m) and typically exhibits a wide bandgap of &gt;3.0 eV, thus rarely considered as a</w:t>
      </w:r>
      <w:r>
        <w:rPr>
          <w:rFonts w:ascii="Times New Roman" w:hAnsi="Times New Roman" w:cs="Times New Roman"/>
          <w:sz w:val="20"/>
        </w:rPr>
        <w:t xml:space="preserve"> viable</w:t>
      </w:r>
      <w:r w:rsidRPr="00A509CE">
        <w:rPr>
          <w:rFonts w:ascii="Times New Roman" w:hAnsi="Times New Roman" w:cs="Times New Roman"/>
          <w:sz w:val="20"/>
        </w:rPr>
        <w:t xml:space="preserve"> photo-absorber material for </w:t>
      </w:r>
      <w:r>
        <w:rPr>
          <w:rFonts w:ascii="Times New Roman" w:hAnsi="Times New Roman" w:cs="Times New Roman"/>
          <w:sz w:val="20"/>
        </w:rPr>
        <w:t xml:space="preserve">efficient </w:t>
      </w:r>
      <w:r w:rsidRPr="00A509CE">
        <w:rPr>
          <w:rFonts w:ascii="Times New Roman" w:hAnsi="Times New Roman" w:cs="Times New Roman"/>
          <w:sz w:val="20"/>
        </w:rPr>
        <w:t>solar energy conversion.</w:t>
      </w:r>
      <w:r w:rsidRPr="00A509CE">
        <w:rPr>
          <w:rFonts w:ascii="Times New Roman" w:hAnsi="Times New Roman" w:cs="Times New Roman"/>
          <w:sz w:val="20"/>
          <w:vertAlign w:val="superscript"/>
        </w:rPr>
        <w:t>1</w:t>
      </w:r>
      <w:r w:rsidRPr="00A509CE">
        <w:rPr>
          <w:rFonts w:ascii="Times New Roman" w:hAnsi="Times New Roman" w:cs="Times New Roman"/>
          <w:sz w:val="20"/>
        </w:rPr>
        <w:t xml:space="preserve"> In this study we optimized a spray pyrolysis method to fabricate phase pure 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 xml:space="preserve"> photoanodes. By annealing these 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 xml:space="preserve"> photoanodes in </w:t>
      </w:r>
      <w:r>
        <w:rPr>
          <w:rFonts w:ascii="Times New Roman" w:hAnsi="Times New Roman" w:cs="Times New Roman"/>
          <w:sz w:val="20"/>
        </w:rPr>
        <w:t>10</w:t>
      </w:r>
      <w:r w:rsidRPr="00A509CE">
        <w:rPr>
          <w:rFonts w:ascii="Times New Roman" w:hAnsi="Times New Roman" w:cs="Times New Roman"/>
          <w:sz w:val="20"/>
        </w:rPr>
        <w:t>% H</w:t>
      </w:r>
      <w:r w:rsidRPr="00A509CE">
        <w:rPr>
          <w:rFonts w:ascii="Times New Roman" w:hAnsi="Times New Roman" w:cs="Times New Roman"/>
          <w:sz w:val="20"/>
          <w:vertAlign w:val="subscript"/>
        </w:rPr>
        <w:t>2</w:t>
      </w:r>
      <w:r w:rsidRPr="00A509C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/ 90% N</w:t>
      </w:r>
      <w:r w:rsidRPr="007559F4">
        <w:rPr>
          <w:rFonts w:ascii="Times New Roman" w:hAnsi="Times New Roman" w:cs="Times New Roman"/>
          <w:sz w:val="20"/>
          <w:vertAlign w:val="subscript"/>
        </w:rPr>
        <w:t>2</w:t>
      </w:r>
      <w:r>
        <w:rPr>
          <w:rFonts w:ascii="Times New Roman" w:hAnsi="Times New Roman" w:cs="Times New Roman"/>
          <w:sz w:val="20"/>
        </w:rPr>
        <w:t xml:space="preserve"> </w:t>
      </w:r>
      <w:r w:rsidRPr="00A509CE">
        <w:rPr>
          <w:rFonts w:ascii="Times New Roman" w:hAnsi="Times New Roman" w:cs="Times New Roman"/>
          <w:sz w:val="20"/>
        </w:rPr>
        <w:t xml:space="preserve">gas at 350 </w:t>
      </w:r>
      <w:r w:rsidRPr="00A509CE">
        <w:rPr>
          <w:rFonts w:ascii="Times New Roman" w:hAnsi="Times New Roman" w:cs="Times New Roman"/>
          <w:sz w:val="20"/>
          <w:vertAlign w:val="superscript"/>
        </w:rPr>
        <w:t>o</w:t>
      </w:r>
      <w:r w:rsidRPr="00A509CE">
        <w:rPr>
          <w:rFonts w:ascii="Times New Roman" w:hAnsi="Times New Roman" w:cs="Times New Roman"/>
          <w:sz w:val="20"/>
        </w:rPr>
        <w:t>C, we observe a decrease in the effective band</w:t>
      </w:r>
      <w:r>
        <w:rPr>
          <w:rFonts w:ascii="Times New Roman" w:hAnsi="Times New Roman" w:cs="Times New Roman"/>
          <w:sz w:val="20"/>
        </w:rPr>
        <w:t xml:space="preserve"> </w:t>
      </w:r>
      <w:r w:rsidRPr="00A509CE">
        <w:rPr>
          <w:rFonts w:ascii="Times New Roman" w:hAnsi="Times New Roman" w:cs="Times New Roman"/>
          <w:sz w:val="20"/>
        </w:rPr>
        <w:t>gap</w:t>
      </w:r>
      <w:r>
        <w:rPr>
          <w:rFonts w:ascii="Times New Roman" w:hAnsi="Times New Roman" w:cs="Times New Roman"/>
          <w:sz w:val="20"/>
        </w:rPr>
        <w:t xml:space="preserve"> </w:t>
      </w:r>
      <w:r w:rsidRPr="00A509CE">
        <w:rPr>
          <w:rFonts w:ascii="Times New Roman" w:hAnsi="Times New Roman" w:cs="Times New Roman"/>
          <w:sz w:val="20"/>
        </w:rPr>
        <w:t>to ~</w:t>
      </w:r>
      <w:r>
        <w:rPr>
          <w:rFonts w:ascii="Times New Roman" w:hAnsi="Times New Roman" w:cs="Times New Roman"/>
          <w:sz w:val="20"/>
        </w:rPr>
        <w:t>1.5</w:t>
      </w:r>
      <w:r w:rsidRPr="00A509CE">
        <w:rPr>
          <w:rFonts w:ascii="Times New Roman" w:hAnsi="Times New Roman" w:cs="Times New Roman"/>
          <w:sz w:val="20"/>
        </w:rPr>
        <w:t xml:space="preserve"> eV, and an enhanced photoelectrochemical performance; with a ~5-fold improvement in the photocurrent density reaching ~0.5 mAcm</w:t>
      </w:r>
      <w:r w:rsidRPr="00A509CE">
        <w:rPr>
          <w:rFonts w:ascii="Times New Roman" w:hAnsi="Times New Roman" w:cs="Times New Roman"/>
          <w:sz w:val="20"/>
          <w:vertAlign w:val="superscript"/>
        </w:rPr>
        <w:t>-2</w:t>
      </w:r>
      <w:r w:rsidRPr="00A509CE">
        <w:rPr>
          <w:rFonts w:ascii="Times New Roman" w:hAnsi="Times New Roman" w:cs="Times New Roman"/>
          <w:sz w:val="20"/>
        </w:rPr>
        <w:t xml:space="preserve"> at 1.23 V</w:t>
      </w:r>
      <w:r w:rsidRPr="00A509CE">
        <w:rPr>
          <w:rFonts w:ascii="Times New Roman" w:hAnsi="Times New Roman" w:cs="Times New Roman"/>
          <w:sz w:val="20"/>
          <w:vertAlign w:val="subscript"/>
        </w:rPr>
        <w:t>RHE</w:t>
      </w:r>
      <w:r w:rsidRPr="00A509CE">
        <w:rPr>
          <w:rFonts w:ascii="Times New Roman" w:hAnsi="Times New Roman" w:cs="Times New Roman"/>
          <w:sz w:val="20"/>
        </w:rPr>
        <w:t xml:space="preserve"> and an improved onset potential of ~0 V</w:t>
      </w:r>
      <w:r w:rsidRPr="00A509CE">
        <w:rPr>
          <w:rFonts w:ascii="Times New Roman" w:hAnsi="Times New Roman" w:cs="Times New Roman"/>
          <w:sz w:val="20"/>
          <w:vertAlign w:val="subscript"/>
        </w:rPr>
        <w:t>RHE</w:t>
      </w:r>
      <w:r w:rsidRPr="00A509CE">
        <w:rPr>
          <w:rFonts w:ascii="Times New Roman" w:hAnsi="Times New Roman" w:cs="Times New Roman"/>
          <w:sz w:val="20"/>
        </w:rPr>
        <w:t xml:space="preserve">. We have used a set of complimentary spectroscopy techniques, including </w:t>
      </w:r>
      <w:r>
        <w:rPr>
          <w:rFonts w:ascii="Times New Roman" w:hAnsi="Times New Roman" w:cs="Times New Roman"/>
          <w:sz w:val="20"/>
        </w:rPr>
        <w:t>IPCE</w:t>
      </w:r>
      <w:r w:rsidRPr="00A509C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measurements</w:t>
      </w:r>
      <w:r w:rsidRPr="00A509CE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PL analysis</w:t>
      </w:r>
      <w:r w:rsidRPr="00A509CE">
        <w:rPr>
          <w:rFonts w:ascii="Times New Roman" w:hAnsi="Times New Roman" w:cs="Times New Roman"/>
          <w:sz w:val="20"/>
        </w:rPr>
        <w:t xml:space="preserve">, wavelength-dependent </w:t>
      </w:r>
      <w:r>
        <w:rPr>
          <w:rFonts w:ascii="Times New Roman" w:hAnsi="Times New Roman" w:cs="Times New Roman"/>
          <w:sz w:val="20"/>
        </w:rPr>
        <w:t>TR-SPV,</w:t>
      </w:r>
      <w:r w:rsidRPr="00A509C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TRMC </w:t>
      </w:r>
      <w:r w:rsidRPr="00A509CE">
        <w:rPr>
          <w:rFonts w:ascii="Times New Roman" w:hAnsi="Times New Roman" w:cs="Times New Roman"/>
          <w:sz w:val="20"/>
        </w:rPr>
        <w:t xml:space="preserve">and </w:t>
      </w:r>
      <w:r>
        <w:rPr>
          <w:rFonts w:ascii="Times New Roman" w:hAnsi="Times New Roman" w:cs="Times New Roman"/>
          <w:sz w:val="20"/>
        </w:rPr>
        <w:t xml:space="preserve">time resolved </w:t>
      </w:r>
      <w:r w:rsidRPr="00A509CE">
        <w:rPr>
          <w:rFonts w:ascii="Times New Roman" w:hAnsi="Times New Roman" w:cs="Times New Roman"/>
          <w:sz w:val="20"/>
        </w:rPr>
        <w:t>terahertz spectroscopy</w:t>
      </w:r>
      <w:r>
        <w:rPr>
          <w:rFonts w:ascii="Times New Roman" w:hAnsi="Times New Roman" w:cs="Times New Roman"/>
          <w:sz w:val="20"/>
        </w:rPr>
        <w:t xml:space="preserve"> (TRTS)</w:t>
      </w:r>
      <w:r w:rsidRPr="00A509CE">
        <w:rPr>
          <w:rFonts w:ascii="Times New Roman" w:hAnsi="Times New Roman" w:cs="Times New Roman"/>
          <w:sz w:val="20"/>
        </w:rPr>
        <w:t>, to determine the charge carrier properties and energetic positions</w:t>
      </w:r>
      <w:r>
        <w:rPr>
          <w:rFonts w:ascii="Times New Roman" w:hAnsi="Times New Roman" w:cs="Times New Roman"/>
          <w:sz w:val="20"/>
        </w:rPr>
        <w:t xml:space="preserve"> of</w:t>
      </w:r>
      <w:r w:rsidRPr="00A509CE">
        <w:rPr>
          <w:rFonts w:ascii="Times New Roman" w:hAnsi="Times New Roman" w:cs="Times New Roman"/>
          <w:sz w:val="20"/>
        </w:rPr>
        <w:t xml:space="preserve"> specific intra-band gap states within </w:t>
      </w:r>
      <w:r>
        <w:rPr>
          <w:rFonts w:ascii="Times New Roman" w:hAnsi="Times New Roman" w:cs="Times New Roman"/>
          <w:sz w:val="20"/>
        </w:rPr>
        <w:t xml:space="preserve">different </w:t>
      </w:r>
      <w:r w:rsidRPr="00A509CE">
        <w:rPr>
          <w:rFonts w:ascii="Times New Roman" w:hAnsi="Times New Roman" w:cs="Times New Roman"/>
          <w:sz w:val="20"/>
        </w:rPr>
        <w:t>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>
        <w:rPr>
          <w:rFonts w:ascii="Times New Roman" w:hAnsi="Times New Roman" w:cs="Times New Roman"/>
          <w:sz w:val="20"/>
        </w:rPr>
        <w:t xml:space="preserve"> thin films</w:t>
      </w:r>
      <w:r w:rsidRPr="00A509C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Pr="00A509CE">
        <w:rPr>
          <w:rFonts w:ascii="Times New Roman" w:hAnsi="Times New Roman" w:cs="Times New Roman"/>
          <w:sz w:val="20"/>
        </w:rPr>
        <w:t>By combining these results with X-ray photoelectron spectroscopy (XPS) we were able to identify that mild H</w:t>
      </w:r>
      <w:r w:rsidRPr="00A509CE">
        <w:rPr>
          <w:rFonts w:ascii="Times New Roman" w:hAnsi="Times New Roman" w:cs="Times New Roman"/>
          <w:sz w:val="20"/>
          <w:vertAlign w:val="subscript"/>
        </w:rPr>
        <w:t>2</w:t>
      </w:r>
      <w:r w:rsidRPr="00A509CE">
        <w:rPr>
          <w:rFonts w:ascii="Times New Roman" w:hAnsi="Times New Roman" w:cs="Times New Roman"/>
          <w:sz w:val="20"/>
        </w:rPr>
        <w:t xml:space="preserve"> annealing of 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 xml:space="preserve"> generates set of </w:t>
      </w:r>
      <w:bookmarkStart w:id="1" w:name="_Hlk67404835"/>
      <w:r w:rsidRPr="00A509CE">
        <w:rPr>
          <w:rFonts w:ascii="Times New Roman" w:hAnsi="Times New Roman" w:cs="Times New Roman"/>
          <w:sz w:val="20"/>
        </w:rPr>
        <w:t xml:space="preserve">mid-gap </w:t>
      </w:r>
      <w:bookmarkEnd w:id="1"/>
      <w:r w:rsidRPr="00A509CE">
        <w:rPr>
          <w:rFonts w:ascii="Times New Roman" w:hAnsi="Times New Roman" w:cs="Times New Roman"/>
          <w:sz w:val="20"/>
        </w:rPr>
        <w:t>defect states associated with oxygen vacancies (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0"/>
                <w:lang w:val="de-D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lang w:val="de-DE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lang w:val="de-DE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••</m:t>
            </m:r>
          </m:sup>
        </m:sSubSup>
      </m:oMath>
      <w:r w:rsidRPr="00A509CE">
        <w:rPr>
          <w:rFonts w:ascii="Times New Roman" w:hAnsi="Times New Roman" w:cs="Times New Roman"/>
          <w:iCs/>
          <w:sz w:val="20"/>
          <w:lang w:val="en-GB"/>
        </w:rPr>
        <w:t>), and Sn</w:t>
      </w:r>
      <w:r w:rsidRPr="00A509CE">
        <w:rPr>
          <w:rFonts w:ascii="Times New Roman" w:hAnsi="Times New Roman" w:cs="Times New Roman"/>
          <w:iCs/>
          <w:sz w:val="20"/>
          <w:vertAlign w:val="superscript"/>
          <w:lang w:val="en-GB"/>
        </w:rPr>
        <w:t>2+</w:t>
      </w:r>
      <w:r w:rsidRPr="00A509CE">
        <w:rPr>
          <w:rFonts w:ascii="Times New Roman" w:hAnsi="Times New Roman" w:cs="Times New Roman"/>
          <w:iCs/>
          <w:sz w:val="20"/>
          <w:lang w:val="en-GB"/>
        </w:rPr>
        <w:t xml:space="preserve"> centres (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0"/>
                <w:lang w:val="de-DE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lang w:val="de-DE"/>
              </w:rPr>
              <m:t>Sn</m:t>
            </m:r>
          </m:e>
          <m:sub>
            <m:r>
              <w:rPr>
                <w:rFonts w:ascii="Cambria Math" w:hAnsi="Cambria Math" w:cs="Times New Roman"/>
                <w:sz w:val="20"/>
                <w:lang w:val="de-DE"/>
              </w:rPr>
              <m:t>Sn</m:t>
            </m:r>
          </m:sub>
          <m:sup>
            <m:r>
              <w:rPr>
                <w:rFonts w:ascii="Cambria Math" w:hAnsi="Cambria Math" w:cs="Times New Roman"/>
                <w:sz w:val="20"/>
              </w:rPr>
              <m:t>''</m:t>
            </m:r>
          </m:sup>
        </m:sSubSup>
      </m:oMath>
      <w:r w:rsidRPr="00A509CE">
        <w:rPr>
          <w:rFonts w:ascii="Times New Roman" w:hAnsi="Times New Roman" w:cs="Times New Roman"/>
          <w:iCs/>
          <w:sz w:val="20"/>
          <w:lang w:val="en-GB"/>
        </w:rPr>
        <w:t>)</w:t>
      </w:r>
      <w:r w:rsidRPr="00A509CE">
        <w:rPr>
          <w:rFonts w:ascii="Times New Roman" w:hAnsi="Times New Roman" w:cs="Times New Roman"/>
          <w:sz w:val="20"/>
        </w:rPr>
        <w:t>.</w:t>
      </w:r>
      <w:r w:rsidRPr="004F4222">
        <w:rPr>
          <w:rFonts w:ascii="Times New Roman" w:hAnsi="Times New Roman" w:cs="Times New Roman"/>
          <w:sz w:val="20"/>
          <w:vertAlign w:val="superscript"/>
        </w:rPr>
        <w:t>2</w:t>
      </w:r>
      <w:r w:rsidRPr="00A509CE">
        <w:rPr>
          <w:rFonts w:ascii="Times New Roman" w:hAnsi="Times New Roman" w:cs="Times New Roman"/>
          <w:sz w:val="20"/>
        </w:rPr>
        <w:t xml:space="preserve"> Increasing the population of these mid-gap states,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shifts the optical onset of photocurrent</w:t>
      </w:r>
      <w:r>
        <w:rPr>
          <w:rFonts w:ascii="Times New Roman" w:hAnsi="Times New Roman" w:cs="Times New Roman"/>
          <w:sz w:val="20"/>
          <w:lang w:val="en-GB"/>
        </w:rPr>
        <w:t xml:space="preserve"> collection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and mobile charge carrier</w:t>
      </w:r>
      <w:r>
        <w:rPr>
          <w:rFonts w:ascii="Times New Roman" w:hAnsi="Times New Roman" w:cs="Times New Roman"/>
          <w:sz w:val="20"/>
          <w:lang w:val="en-GB"/>
        </w:rPr>
        <w:t xml:space="preserve"> generation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to photon energies as low as ~</w:t>
      </w:r>
      <w:r>
        <w:rPr>
          <w:rFonts w:ascii="Times New Roman" w:hAnsi="Times New Roman" w:cs="Times New Roman"/>
          <w:sz w:val="20"/>
          <w:lang w:val="en-GB"/>
        </w:rPr>
        <w:t>1.5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eV.</w:t>
      </w:r>
      <w:r w:rsidRPr="00A509CE">
        <w:rPr>
          <w:rFonts w:ascii="Times New Roman" w:hAnsi="Times New Roman" w:cs="Times New Roman"/>
          <w:sz w:val="20"/>
        </w:rPr>
        <w:t xml:space="preserve"> The picosecond charge carrier mobility measured from TRTS shows that the peak mobility of</w:t>
      </w:r>
      <w:r>
        <w:rPr>
          <w:rFonts w:ascii="Times New Roman" w:hAnsi="Times New Roman" w:cs="Times New Roman"/>
          <w:sz w:val="20"/>
        </w:rPr>
        <w:t xml:space="preserve"> the</w:t>
      </w:r>
      <w:r w:rsidRPr="00A509CE">
        <w:rPr>
          <w:rFonts w:ascii="Times New Roman" w:hAnsi="Times New Roman" w:cs="Times New Roman"/>
          <w:sz w:val="20"/>
        </w:rPr>
        <w:t xml:space="preserve"> BaSnO</w:t>
      </w:r>
      <w:r w:rsidRPr="00A509CE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 xml:space="preserve"> film increases from 0.</w:t>
      </w:r>
      <w:r>
        <w:rPr>
          <w:rFonts w:ascii="Times New Roman" w:hAnsi="Times New Roman" w:cs="Times New Roman"/>
          <w:sz w:val="20"/>
        </w:rPr>
        <w:t>84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to ~1.</w:t>
      </w:r>
      <w:r>
        <w:rPr>
          <w:rFonts w:ascii="Times New Roman" w:hAnsi="Times New Roman" w:cs="Times New Roman"/>
          <w:sz w:val="20"/>
          <w:lang w:val="en-GB"/>
        </w:rPr>
        <w:t>65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cm</w:t>
      </w:r>
      <w:r w:rsidRPr="00A509CE">
        <w:rPr>
          <w:rFonts w:ascii="Times New Roman" w:hAnsi="Times New Roman" w:cs="Times New Roman"/>
          <w:sz w:val="20"/>
          <w:vertAlign w:val="superscript"/>
          <w:lang w:val="en-GB"/>
        </w:rPr>
        <w:t>2</w:t>
      </w:r>
      <w:r w:rsidRPr="00A509CE">
        <w:rPr>
          <w:rFonts w:ascii="Times New Roman" w:hAnsi="Times New Roman" w:cs="Times New Roman"/>
          <w:sz w:val="20"/>
          <w:lang w:val="en-GB"/>
        </w:rPr>
        <w:t>V</w:t>
      </w:r>
      <w:r w:rsidRPr="00A509CE">
        <w:rPr>
          <w:rFonts w:ascii="Times New Roman" w:hAnsi="Times New Roman" w:cs="Times New Roman"/>
          <w:sz w:val="20"/>
          <w:vertAlign w:val="superscript"/>
          <w:lang w:val="en-GB"/>
        </w:rPr>
        <w:t>-1</w:t>
      </w:r>
      <w:r w:rsidRPr="00A509CE">
        <w:rPr>
          <w:rFonts w:ascii="Times New Roman" w:hAnsi="Times New Roman" w:cs="Times New Roman"/>
          <w:sz w:val="20"/>
          <w:lang w:val="en-GB"/>
        </w:rPr>
        <w:t>s</w:t>
      </w:r>
      <w:r w:rsidRPr="00A509CE">
        <w:rPr>
          <w:rFonts w:ascii="Times New Roman" w:hAnsi="Times New Roman" w:cs="Times New Roman"/>
          <w:sz w:val="20"/>
          <w:vertAlign w:val="superscript"/>
          <w:lang w:val="en-GB"/>
        </w:rPr>
        <w:t>-1</w:t>
      </w:r>
      <w:r>
        <w:rPr>
          <w:rFonts w:ascii="Times New Roman" w:hAnsi="Times New Roman" w:cs="Times New Roman"/>
          <w:sz w:val="20"/>
          <w:lang w:val="en-GB"/>
        </w:rPr>
        <w:t xml:space="preserve"> (at h</w:t>
      </w:r>
      <w:r w:rsidRPr="00BE6C54">
        <w:rPr>
          <w:rFonts w:ascii="Times New Roman" w:hAnsi="Times New Roman" w:cs="Times New Roman"/>
          <w:i/>
          <w:iCs/>
          <w:sz w:val="20"/>
          <w:lang w:val="en-GB"/>
        </w:rPr>
        <w:sym w:font="Symbol" w:char="F06E"/>
      </w:r>
      <w:r>
        <w:rPr>
          <w:rFonts w:ascii="Times New Roman" w:hAnsi="Times New Roman" w:cs="Times New Roman"/>
          <w:sz w:val="20"/>
          <w:lang w:val="en-GB"/>
        </w:rPr>
        <w:t xml:space="preserve"> = 3.0 eV)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after H</w:t>
      </w:r>
      <w:r w:rsidRPr="00A509CE">
        <w:rPr>
          <w:rFonts w:ascii="Times New Roman" w:hAnsi="Times New Roman" w:cs="Times New Roman"/>
          <w:sz w:val="20"/>
          <w:vertAlign w:val="subscript"/>
          <w:lang w:val="en-GB"/>
        </w:rPr>
        <w:t>2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treatment, which is </w:t>
      </w:r>
      <w:r>
        <w:rPr>
          <w:rFonts w:ascii="Times New Roman" w:hAnsi="Times New Roman" w:cs="Times New Roman"/>
          <w:sz w:val="20"/>
          <w:lang w:val="en-GB"/>
        </w:rPr>
        <w:t>particularly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high in comparison to other metal oxides</w:t>
      </w:r>
      <w:r>
        <w:rPr>
          <w:rFonts w:ascii="Times New Roman" w:hAnsi="Times New Roman" w:cs="Times New Roman"/>
          <w:sz w:val="20"/>
          <w:lang w:val="en-GB"/>
        </w:rPr>
        <w:t xml:space="preserve"> (such as BiVO</w:t>
      </w:r>
      <w:r w:rsidRPr="00D360D0">
        <w:rPr>
          <w:rFonts w:ascii="Times New Roman" w:hAnsi="Times New Roman" w:cs="Times New Roman"/>
          <w:sz w:val="20"/>
          <w:vertAlign w:val="subscript"/>
          <w:lang w:val="en-GB"/>
        </w:rPr>
        <w:t>4</w:t>
      </w:r>
      <w:r>
        <w:rPr>
          <w:rFonts w:ascii="Times New Roman" w:hAnsi="Times New Roman" w:cs="Times New Roman"/>
          <w:sz w:val="20"/>
          <w:lang w:val="en-GB"/>
        </w:rPr>
        <w:t xml:space="preserve"> and SnWO</w:t>
      </w:r>
      <w:r w:rsidRPr="00D360D0">
        <w:rPr>
          <w:rFonts w:ascii="Times New Roman" w:hAnsi="Times New Roman" w:cs="Times New Roman"/>
          <w:sz w:val="20"/>
          <w:vertAlign w:val="subscript"/>
          <w:lang w:val="en-GB"/>
        </w:rPr>
        <w:t>4</w:t>
      </w:r>
      <w:r>
        <w:rPr>
          <w:rFonts w:ascii="Times New Roman" w:hAnsi="Times New Roman" w:cs="Times New Roman"/>
          <w:sz w:val="20"/>
          <w:lang w:val="en-GB"/>
        </w:rPr>
        <w:t xml:space="preserve">) measured with the same </w:t>
      </w:r>
      <w:r w:rsidRPr="00F32B9A">
        <w:rPr>
          <w:rFonts w:ascii="Times New Roman" w:hAnsi="Times New Roman" w:cs="Times New Roman"/>
          <w:sz w:val="20"/>
          <w:lang w:val="en-GB"/>
        </w:rPr>
        <w:t>technique</w:t>
      </w:r>
      <w:r>
        <w:rPr>
          <w:rFonts w:ascii="Times New Roman" w:hAnsi="Times New Roman" w:cs="Times New Roman"/>
          <w:sz w:val="20"/>
          <w:lang w:val="en-GB"/>
        </w:rPr>
        <w:t>s.</w:t>
      </w:r>
      <w:r w:rsidRPr="00296D47">
        <w:rPr>
          <w:rFonts w:ascii="Times New Roman" w:hAnsi="Times New Roman" w:cs="Times New Roman"/>
          <w:sz w:val="20"/>
          <w:vertAlign w:val="superscript"/>
          <w:lang w:val="en-GB"/>
        </w:rPr>
        <w:t>3,4</w:t>
      </w:r>
      <w:r>
        <w:rPr>
          <w:rFonts w:ascii="Times New Roman" w:hAnsi="Times New Roman" w:cs="Times New Roman"/>
          <w:sz w:val="20"/>
          <w:lang w:val="en-GB"/>
        </w:rPr>
        <w:t xml:space="preserve"> </w:t>
      </w:r>
      <w:r w:rsidRPr="00A509CE">
        <w:rPr>
          <w:rFonts w:ascii="Times New Roman" w:hAnsi="Times New Roman" w:cs="Times New Roman"/>
          <w:sz w:val="20"/>
          <w:lang w:val="en-GB"/>
        </w:rPr>
        <w:t>Furthermore, the extended carrier life</w:t>
      </w:r>
      <w:r>
        <w:rPr>
          <w:rFonts w:ascii="Times New Roman" w:hAnsi="Times New Roman" w:cs="Times New Roman"/>
          <w:sz w:val="20"/>
          <w:lang w:val="en-GB"/>
        </w:rPr>
        <w:t>-</w:t>
      </w:r>
      <w:r w:rsidRPr="00A509CE">
        <w:rPr>
          <w:rFonts w:ascii="Times New Roman" w:hAnsi="Times New Roman" w:cs="Times New Roman"/>
          <w:sz w:val="20"/>
          <w:lang w:val="en-GB"/>
        </w:rPr>
        <w:t>times obtained from the transient signals</w:t>
      </w:r>
      <w:r>
        <w:rPr>
          <w:rFonts w:ascii="Times New Roman" w:hAnsi="Times New Roman" w:cs="Times New Roman"/>
          <w:sz w:val="20"/>
          <w:lang w:val="en-GB"/>
        </w:rPr>
        <w:t>, which</w:t>
      </w:r>
      <w:r w:rsidRPr="00A509CE">
        <w:rPr>
          <w:rFonts w:ascii="Times New Roman" w:hAnsi="Times New Roman" w:cs="Times New Roman"/>
          <w:sz w:val="20"/>
          <w:lang w:val="en-GB"/>
        </w:rPr>
        <w:t xml:space="preserve"> span from the pico- to the micro-second time domains, </w:t>
      </w:r>
      <w:r w:rsidRPr="00A509CE">
        <w:rPr>
          <w:rFonts w:ascii="Times New Roman" w:hAnsi="Times New Roman" w:cs="Times New Roman"/>
          <w:sz w:val="20"/>
        </w:rPr>
        <w:t xml:space="preserve">provides evidence of </w:t>
      </w:r>
      <w:r>
        <w:rPr>
          <w:rFonts w:ascii="Times New Roman" w:hAnsi="Times New Roman" w:cs="Times New Roman"/>
          <w:sz w:val="20"/>
        </w:rPr>
        <w:t>a transport mechanism where carriers are able to tunnel through delocalized defect states</w:t>
      </w:r>
      <w:r w:rsidRPr="00A509CE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Unlike, </w:t>
      </w:r>
      <w:r w:rsidRPr="00A509CE">
        <w:rPr>
          <w:rFonts w:ascii="Times New Roman" w:hAnsi="Times New Roman" w:cs="Times New Roman"/>
          <w:sz w:val="20"/>
        </w:rPr>
        <w:t>conventional metal oxides, such as TiO</w:t>
      </w:r>
      <w:r w:rsidRPr="00A509CE">
        <w:rPr>
          <w:rFonts w:ascii="Times New Roman" w:hAnsi="Times New Roman" w:cs="Times New Roman"/>
          <w:sz w:val="20"/>
          <w:vertAlign w:val="subscript"/>
        </w:rPr>
        <w:t>2</w:t>
      </w:r>
      <w:r w:rsidRPr="00A509CE">
        <w:rPr>
          <w:rFonts w:ascii="Times New Roman" w:hAnsi="Times New Roman" w:cs="Times New Roman"/>
          <w:sz w:val="20"/>
        </w:rPr>
        <w:t>, which are structurally less tolerant to</w:t>
      </w:r>
      <w:r>
        <w:rPr>
          <w:rFonts w:ascii="Times New Roman" w:hAnsi="Times New Roman" w:cs="Times New Roman"/>
          <w:sz w:val="20"/>
        </w:rPr>
        <w:t xml:space="preserve"> such high concentrations of</w:t>
      </w:r>
      <w:r w:rsidRPr="00A509CE">
        <w:rPr>
          <w:rFonts w:ascii="Times New Roman" w:hAnsi="Times New Roman" w:cs="Times New Roman"/>
          <w:sz w:val="20"/>
        </w:rPr>
        <w:t xml:space="preserve"> defects, we show here that BaSnO</w:t>
      </w:r>
      <w:r w:rsidRPr="00BE6C54">
        <w:rPr>
          <w:rFonts w:ascii="Times New Roman" w:hAnsi="Times New Roman" w:cs="Times New Roman"/>
          <w:sz w:val="20"/>
          <w:vertAlign w:val="subscript"/>
        </w:rPr>
        <w:t>3</w:t>
      </w:r>
      <w:r w:rsidRPr="00A509CE">
        <w:rPr>
          <w:rFonts w:ascii="Times New Roman" w:hAnsi="Times New Roman" w:cs="Times New Roman"/>
          <w:sz w:val="20"/>
        </w:rPr>
        <w:t xml:space="preserve"> manifests properties that enables </w:t>
      </w:r>
      <w:r>
        <w:rPr>
          <w:rFonts w:ascii="Times New Roman" w:hAnsi="Times New Roman" w:cs="Times New Roman"/>
          <w:sz w:val="20"/>
        </w:rPr>
        <w:t xml:space="preserve">the </w:t>
      </w:r>
      <w:r w:rsidRPr="00A509CE">
        <w:rPr>
          <w:rFonts w:ascii="Times New Roman" w:hAnsi="Times New Roman" w:cs="Times New Roman"/>
          <w:sz w:val="20"/>
        </w:rPr>
        <w:t xml:space="preserve">modification of the optical absorption and electronic structure without compromising </w:t>
      </w:r>
      <w:r>
        <w:rPr>
          <w:rFonts w:ascii="Times New Roman" w:hAnsi="Times New Roman" w:cs="Times New Roman"/>
          <w:sz w:val="20"/>
        </w:rPr>
        <w:t>the</w:t>
      </w:r>
      <w:r w:rsidRPr="00A509CE">
        <w:rPr>
          <w:rFonts w:ascii="Times New Roman" w:hAnsi="Times New Roman" w:cs="Times New Roman"/>
          <w:sz w:val="20"/>
        </w:rPr>
        <w:t xml:space="preserve"> charge transport</w:t>
      </w:r>
      <w:r>
        <w:rPr>
          <w:rFonts w:ascii="Times New Roman" w:hAnsi="Times New Roman" w:cs="Times New Roman"/>
          <w:sz w:val="20"/>
        </w:rPr>
        <w:t xml:space="preserve"> properties</w:t>
      </w:r>
      <w:r w:rsidRPr="00A509CE">
        <w:rPr>
          <w:rFonts w:ascii="Times New Roman" w:hAnsi="Times New Roman" w:cs="Times New Roman"/>
          <w:sz w:val="20"/>
        </w:rPr>
        <w:t>. This insight offers an exciting opportunity to</w:t>
      </w:r>
      <w:r>
        <w:rPr>
          <w:rFonts w:ascii="Times New Roman" w:hAnsi="Times New Roman" w:cs="Times New Roman"/>
          <w:sz w:val="20"/>
        </w:rPr>
        <w:t xml:space="preserve"> dope and</w:t>
      </w:r>
      <w:r w:rsidRPr="00A509CE">
        <w:rPr>
          <w:rFonts w:ascii="Times New Roman" w:hAnsi="Times New Roman" w:cs="Times New Roman"/>
          <w:sz w:val="20"/>
        </w:rPr>
        <w:t xml:space="preserve"> engineer</w:t>
      </w:r>
      <w:r>
        <w:rPr>
          <w:rFonts w:ascii="Times New Roman" w:hAnsi="Times New Roman" w:cs="Times New Roman"/>
          <w:sz w:val="20"/>
        </w:rPr>
        <w:t xml:space="preserve"> perovskite structured metal oxides as</w:t>
      </w:r>
      <w:r w:rsidRPr="00A509CE">
        <w:rPr>
          <w:rFonts w:ascii="Times New Roman" w:hAnsi="Times New Roman" w:cs="Times New Roman"/>
          <w:sz w:val="20"/>
        </w:rPr>
        <w:t xml:space="preserve"> prospective photocatalysts and absorber materials.</w:t>
      </w:r>
    </w:p>
    <w:p w14:paraId="28A37327" w14:textId="39F80CCA" w:rsidR="009C0726" w:rsidRDefault="009C0726" w:rsidP="009C0726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</w:p>
    <w:p w14:paraId="2185551E" w14:textId="77777777" w:rsidR="009C0726" w:rsidRDefault="009C0726" w:rsidP="009C0726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2D07EE"/>
    <w:rsid w:val="003F6AE5"/>
    <w:rsid w:val="005709F8"/>
    <w:rsid w:val="008A1BE5"/>
    <w:rsid w:val="009C0726"/>
    <w:rsid w:val="00AC0222"/>
    <w:rsid w:val="00B16147"/>
    <w:rsid w:val="00CE221C"/>
    <w:rsid w:val="00CE6FAA"/>
    <w:rsid w:val="00D77447"/>
    <w:rsid w:val="00E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sfs_eposter_0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2021-06-30T09:27:00Z</dcterms:created>
  <dcterms:modified xsi:type="dcterms:W3CDTF">2021-06-30T16:13:00Z</dcterms:modified>
</cp:coreProperties>
</file>