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B8962E"/>
          <w:spacing w:val="200"/>
          <w:sz w:val="18"/>
          <w:szCs w:val="18"/>
        </w:rPr>
        <w:t xml:space="preserve">LODE.ROCKS</w:t>
      </w:r>
    </w:p>
    <w:p>
      <w:pPr>
        <w:spacing w:after="0" w:before="120"/>
      </w:pPr>
      <w:r>
        <w:rPr>
          <w:rFonts w:ascii="Arial" w:cs="Arial" w:eastAsia="Arial" w:hAnsi="Arial"/>
          <w:b/>
          <w:bCs/>
          <w:color w:val="1A1A1A"/>
          <w:sz w:val="52"/>
          <w:szCs w:val="52"/>
        </w:rPr>
        <w:t xml:space="preserve">Conversion Optimization Plan</w:t>
      </w:r>
    </w:p>
    <w:p>
      <w:pPr>
        <w:spacing w:after="0" w:before="80"/>
      </w:pPr>
      <w:r>
        <w:rPr>
          <w:rFonts w:ascii="Arial" w:cs="Arial" w:eastAsia="Arial" w:hAnsi="Arial"/>
          <w:color w:val="666666"/>
          <w:sz w:val="26"/>
          <w:szCs w:val="26"/>
        </w:rPr>
        <w:t xml:space="preserve">Research-backed roadmap for zero-conversion diagnosis and fix</w:t>
      </w:r>
    </w:p>
    <w:p>
      <w:pPr>
        <w:spacing w:after="80" w:before="0"/>
      </w:pPr>
    </w:p>
    <w:p>
      <w:pPr>
        <w:pBdr>
          <w:bottom w:val="single" w:color="B8962E" w:sz="6" w:space="1"/>
        </w:pBdr>
      </w:pPr>
    </w:p>
    <w:p>
      <w:pPr>
        <w:spacing w:after="120" w:before="0"/>
      </w:pPr>
    </w:p>
    <w:p>
      <w:pPr>
        <w:spacing w:after="60" w:before="0"/>
      </w:pPr>
      <w:r>
        <w:rPr>
          <w:rFonts w:ascii="Arial" w:cs="Arial" w:eastAsia="Arial" w:hAnsi="Arial"/>
          <w:color w:val="666666"/>
          <w:sz w:val="20"/>
          <w:szCs w:val="20"/>
        </w:rPr>
        <w:t xml:space="preserve">Prepared: June 2026   ·   Version 1.1 (free-tier constrained)</w:t>
      </w:r>
    </w:p>
    <w:p>
      <w:pPr>
        <w:spacing w:after="60" w:before="0"/>
      </w:pPr>
      <w:r>
        <w:rPr>
          <w:rFonts w:ascii="Arial" w:cs="Arial" w:eastAsia="Arial" w:hAnsi="Arial"/>
          <w:color w:val="666666"/>
          <w:sz w:val="20"/>
          <w:szCs w:val="20"/>
        </w:rPr>
        <w:t xml:space="preserve">Scope: Signup funnel, affiliate monetization, near-term roadmap</w:t>
      </w:r>
    </w:p>
    <w:p>
      <w:r>
        <w:br w:type="page"/>
      </w:r>
    </w:p>
    <w:p>
      <w:pPr>
        <w:spacing w:after="40" w:before="80"/>
      </w:pPr>
      <w:r>
        <w:rPr>
          <w:rFonts w:ascii="Arial" w:cs="Arial" w:eastAsia="Arial" w:hAnsi="Arial"/>
          <w:b/>
          <w:bCs/>
          <w:color w:val="B8962E"/>
          <w:spacing w:val="80"/>
          <w:sz w:val="16"/>
          <w:szCs w:val="16"/>
        </w:rPr>
        <w:t xml:space="preserve">INFRASTRUCTURE CONSTRAINTS</w:t>
      </w:r>
    </w:p>
    <w:p>
      <w:pPr>
        <w:pStyle w:val="Heading1"/>
        <w:spacing w:after="120" w:before="360"/>
      </w:pPr>
      <w:r>
        <w:rPr>
          <w:rFonts w:ascii="Arial" w:cs="Arial" w:eastAsia="Arial" w:hAnsi="Arial"/>
          <w:b/>
          <w:bCs/>
          <w:color w:val="1A1A1A"/>
          <w:sz w:val="34"/>
          <w:szCs w:val="34"/>
        </w:rPr>
        <w:t xml:space="preserve">Free-tier limits that shape every decision</w:t>
      </w:r>
    </w:p>
    <w:p>
      <w:pPr>
        <w:spacing w:after="60" w:before="0"/>
      </w:pPr>
    </w:p>
    <w:p>
      <w:pPr>
        <w:spacing w:after="100" w:before="60"/>
      </w:pPr>
      <w:r>
        <w:rPr>
          <w:rFonts w:ascii="Arial" w:cs="Arial" w:eastAsia="Arial" w:hAnsi="Arial"/>
          <w:color w:val="1A1A1A"/>
          <w:sz w:val="22"/>
          <w:szCs w:val="22"/>
        </w:rPr>
        <w:t xml:space="preserve">Every recommendation in this plan is constrained to the existing free tiers. No new paid services are introduced. The table below maps each service to its binding limit and what that eliminates or requires from the plan.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22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Free tier limit</w:t>
            </w:r>
          </w:p>
        </w:tc>
        <w:tc>
          <w:tcPr>
            <w:tcW w:type="dxa" w:w="256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What it eliminates</w:t>
            </w:r>
          </w:p>
        </w:tc>
        <w:tc>
          <w:tcPr>
            <w:tcW w:type="dxa" w:w="26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How the plan adapts</w:t>
            </w:r>
          </w:p>
        </w:tc>
      </w:tr>
      <w:tr>
        <w:tc>
          <w:tcPr>
            <w:tcW w:type="dxa" w:w="20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Vercel Hobby</w:t>
            </w:r>
          </w:p>
        </w:tc>
        <w:tc>
          <w:tcPr>
            <w:tcW w:type="dxa" w:w="22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2 cron slots in use (daily price update + weekly digest)</w:t>
            </w:r>
          </w:p>
        </w:tc>
        <w:tc>
          <w:tcPr>
            <w:tcW w:type="dxa" w:w="2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No new background jobs — email drip cannot be a 3rd cron</w:t>
            </w:r>
          </w:p>
        </w:tc>
        <w:tc>
          <w:tcPr>
            <w:tcW w:type="dxa" w:w="2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Drip emails triggered on user events (signup, page visit) via existing API routes, not cron</w:t>
            </w:r>
          </w:p>
        </w:tc>
      </w:tr>
      <w:tr>
        <w:tc>
          <w:tcPr>
            <w:tcW w:type="dxa" w:w="20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Resend</w:t>
            </w:r>
          </w:p>
        </w:tc>
        <w:tc>
          <w:tcPr>
            <w:tcW w:type="dxa" w:w="22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3,000 emails/month; 100/day hard cap</w:t>
            </w:r>
          </w:p>
        </w:tc>
        <w:tc>
          <w:tcPr>
            <w:tcW w:type="dxa" w:w="25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 3-email drip to 100+ signups/day would exceed daily cap</w:t>
            </w:r>
          </w:p>
        </w:tc>
        <w:tc>
          <w:tcPr>
            <w:tcW w:type="dxa" w:w="2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Cap drip at 30 IRA leads/day max; free tier only supports early-stage volume</w:t>
            </w:r>
          </w:p>
        </w:tc>
      </w:tr>
      <w:tr>
        <w:tc>
          <w:tcPr>
            <w:tcW w:type="dxa" w:w="20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Neon (Postgres)</w:t>
            </w:r>
          </w:p>
        </w:tc>
        <w:tc>
          <w:tcPr>
            <w:tcW w:type="dxa" w:w="22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0.5 CPU compute hrs/month; 3 GB storage</w:t>
            </w:r>
          </w:p>
        </w:tc>
        <w:tc>
          <w:tcPr>
            <w:tcW w:type="dxa" w:w="2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Heavy queries on large price history tables will burn compute budget</w:t>
            </w:r>
          </w:p>
        </w:tc>
        <w:tc>
          <w:tcPr>
            <w:tcW w:type="dxa" w:w="2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Extended history for Pro uses the existing prunePrices.ts pattern — keep free tier at 30 days</w:t>
            </w:r>
          </w:p>
        </w:tc>
      </w:tr>
      <w:tr>
        <w:tc>
          <w:tcPr>
            <w:tcW w:type="dxa" w:w="20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Cloudflare Workers</w:t>
            </w:r>
          </w:p>
        </w:tc>
        <w:tc>
          <w:tcPr>
            <w:tcW w:type="dxa" w:w="22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100K requests/day; 1K KV writes/day</w:t>
            </w:r>
          </w:p>
        </w:tc>
        <w:tc>
          <w:tcPr>
            <w:tcW w:type="dxa" w:w="25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 additional workers or KV namespaces</w:t>
            </w:r>
          </w:p>
        </w:tc>
        <w:tc>
          <w:tcPr>
            <w:tcW w:type="dxa" w:w="2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Premiums worker is unchanged; no new workers needed</w:t>
            </w:r>
          </w:p>
        </w:tc>
      </w:tr>
      <w:tr>
        <w:tc>
          <w:tcPr>
            <w:tcW w:type="dxa" w:w="20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Stripe</w:t>
            </w:r>
          </w:p>
        </w:tc>
        <w:tc>
          <w:tcPr>
            <w:tcW w:type="dxa" w:w="22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No monthly fee — takes % per transaction only</w:t>
            </w:r>
          </w:p>
        </w:tc>
        <w:tc>
          <w:tcPr>
            <w:tcW w:type="dxa" w:w="2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Nothing eliminated — Stripe is effectively free until revenue flows</w:t>
            </w:r>
          </w:p>
        </w:tc>
        <w:tc>
          <w:tcPr>
            <w:tcW w:type="dxa" w:w="2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 tier billing uses existing checkout/portal/webhook routes already built</w:t>
            </w:r>
          </w:p>
        </w:tc>
      </w:tr>
      <w:tr>
        <w:tc>
          <w:tcPr>
            <w:tcW w:type="dxa" w:w="20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SMS (any provider)</w:t>
            </w:r>
          </w:p>
        </w:tc>
        <w:tc>
          <w:tcPr>
            <w:tcW w:type="dxa" w:w="22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 free tier exists — Twilio, Vonage all cost per message</w:t>
            </w:r>
          </w:p>
        </w:tc>
        <w:tc>
          <w:tcPr>
            <w:tcW w:type="dxa" w:w="25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SMS price alerts are eliminated entirely from the Pro tier</w:t>
            </w:r>
          </w:p>
        </w:tc>
        <w:tc>
          <w:tcPr>
            <w:tcW w:type="dxa" w:w="2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 tier differentiation shifts to email frequency, data depth, and export features</w:t>
            </w:r>
          </w:p>
        </w:tc>
      </w:tr>
    </w:tbl>
    <w:p>
      <w:pPr>
        <w:spacing w:after="120" w:before="0"/>
      </w:pPr>
    </w:p>
    <w:p>
      <w:r>
        <w:br w:type="page"/>
      </w:r>
    </w:p>
    <w:p>
      <w:pPr>
        <w:spacing w:after="40" w:before="80"/>
      </w:pPr>
      <w:r>
        <w:rPr>
          <w:rFonts w:ascii="Arial" w:cs="Arial" w:eastAsia="Arial" w:hAnsi="Arial"/>
          <w:b/>
          <w:bCs/>
          <w:color w:val="B8962E"/>
          <w:spacing w:val="80"/>
          <w:sz w:val="16"/>
          <w:szCs w:val="16"/>
        </w:rPr>
        <w:t xml:space="preserve">EXECUTIVE SUMMARY</w:t>
      </w:r>
    </w:p>
    <w:p>
      <w:pPr>
        <w:pStyle w:val="Heading1"/>
        <w:spacing w:after="120" w:before="360"/>
      </w:pPr>
      <w:r>
        <w:rPr>
          <w:rFonts w:ascii="Arial" w:cs="Arial" w:eastAsia="Arial" w:hAnsi="Arial"/>
          <w:b/>
          <w:bCs/>
          <w:color w:val="1A1A1A"/>
          <w:sz w:val="34"/>
          <w:szCs w:val="34"/>
        </w:rPr>
        <w:t xml:space="preserve">The problem is funnel friction, not product-market fit</w:t>
      </w:r>
    </w:p>
    <w:p>
      <w:pPr>
        <w:spacing w:after="60" w:before="0"/>
      </w:pPr>
    </w:p>
    <w:p>
      <w:pPr>
        <w:spacing w:after="100" w:before="60"/>
      </w:pPr>
      <w:r>
        <w:rPr>
          <w:rFonts w:ascii="Arial" w:cs="Arial" w:eastAsia="Arial" w:hAnsi="Arial"/>
          <w:color w:val="1A1A1A"/>
          <w:sz w:val="22"/>
          <w:szCs w:val="22"/>
        </w:rPr>
        <w:t xml:space="preserve">lode.rocks has two intended revenue channels — affiliate commissions (dealer comparison + Gold IRA) and a potential Pro subscription tier. Zero conversions is not primarily a monetization design problem. It is a signup funnel problem: anonymous visitors are reaching the site but not completing account creation. Until the free signup rate is fixed, no other monetization lever matters.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2E" w:sz="4"/>
              <w:left w:val="single" w:color="B8962E" w:sz="12"/>
              <w:bottom w:val="single" w:color="B8962E" w:sz="4"/>
              <w:right w:val="single" w:color="B8962E" w:sz="4"/>
            </w:tcBorders>
            <w:shd w:fill="FDF8EE" w:val="clear"/>
            <w:tcMar>
              <w:top w:type="dxa" w:w="140"/>
              <w:left w:type="dxa" w:w="240"/>
              <w:bottom w:type="dxa" w:w="140"/>
              <w:right w:type="dxa" w:w="240"/>
            </w:tcMar>
          </w:tcPr>
          <w:p>
            <w:pPr>
              <w:spacing w:after="60" w:before="0"/>
            </w:pPr>
            <w:r>
              <w:rPr>
                <w:rFonts w:ascii="Arial" w:cs="Arial" w:eastAsia="Arial" w:hAnsi="Arial"/>
                <w:b/>
                <w:bCs/>
                <w:color w:val="1A1A1A"/>
                <w:sz w:val="22"/>
                <w:szCs w:val="22"/>
              </w:rPr>
              <w:t xml:space="preserve">Key finding from research</w:t>
            </w:r>
          </w:p>
          <w:p>
            <w:pPr>
              <w:spacing w:after="0" w:before="40"/>
            </w:pPr>
            <w:r>
              <w:rPr>
                <w:rFonts w:ascii="Arial" w:cs="Arial" w:eastAsia="Arial" w:hAnsi="Arial"/>
                <w:color w:val="444444"/>
                <w:sz w:val="21"/>
                <w:szCs w:val="21"/>
              </w:rPr>
              <w:t xml:space="preserve">Free-to-paid conversion rates in finance/investing B2C apps average 15–27% (Adapty/FirstPageSage 2026).</w:t>
            </w:r>
          </w:p>
          <w:p>
            <w:pPr>
              <w:spacing w:after="0" w:before="40"/>
            </w:pPr>
            <w:r>
              <w:rPr>
                <w:rFonts w:ascii="Arial" w:cs="Arial" w:eastAsia="Arial" w:hAnsi="Arial"/>
                <w:color w:val="444444"/>
                <w:sz w:val="21"/>
                <w:szCs w:val="21"/>
              </w:rPr>
              <w:t xml:space="preserve">But that assumes free users exist first. With zero signups, there is nothing to convert.</w:t>
            </w:r>
          </w:p>
          <w:p>
            <w:pPr>
              <w:spacing w:after="0" w:before="40"/>
            </w:pPr>
            <w:r>
              <w:rPr>
                <w:rFonts w:ascii="Arial" w:cs="Arial" w:eastAsia="Arial" w:hAnsi="Arial"/>
                <w:color w:val="444444"/>
                <w:sz w:val="21"/>
                <w:szCs w:val="21"/>
              </w:rPr>
              <w:t xml:space="preserve">Gold IRA affiliate commissions average $5,000+ per close (Augusta: 10–12% on $50K+ investment).</w:t>
            </w:r>
          </w:p>
          <w:p>
            <w:pPr>
              <w:spacing w:after="0" w:before="40"/>
            </w:pPr>
            <w:r>
              <w:rPr>
                <w:rFonts w:ascii="Arial" w:cs="Arial" w:eastAsia="Arial" w:hAnsi="Arial"/>
                <w:color w:val="444444"/>
                <w:sz w:val="21"/>
                <w:szCs w:val="21"/>
              </w:rPr>
              <w:t xml:space="preserve">Bullion dealer affiliate commissions are negligible: APMEX pays $0.41/sale flat. Not a meaningful revenue stream.</w:t>
            </w:r>
          </w:p>
          <w:p>
            <w:pPr>
              <w:spacing w:after="0" w:before="40"/>
            </w:pPr>
            <w:r>
              <w:rPr>
                <w:rFonts w:ascii="Arial" w:cs="Arial" w:eastAsia="Arial" w:hAnsi="Arial"/>
                <w:color w:val="444444"/>
                <w:sz w:val="21"/>
                <w:szCs w:val="21"/>
              </w:rPr>
              <w:t xml:space="preserve">The real affiliate opportunity is Gold IRA — high value, but requires trust-building content and email nurture.</w:t>
            </w:r>
          </w:p>
        </w:tc>
      </w:tr>
    </w:tbl>
    <w:p>
      <w:pPr>
        <w:spacing w:after="120" w:before="0"/>
      </w:pPr>
    </w:p>
    <w:p>
      <w:pPr>
        <w:spacing w:after="40" w:before="80"/>
      </w:pPr>
      <w:r>
        <w:rPr>
          <w:rFonts w:ascii="Arial" w:cs="Arial" w:eastAsia="Arial" w:hAnsi="Arial"/>
          <w:b/>
          <w:bCs/>
          <w:color w:val="B8962E"/>
          <w:spacing w:val="80"/>
          <w:sz w:val="16"/>
          <w:szCs w:val="16"/>
        </w:rPr>
        <w:t xml:space="preserve">REVISED FROM PRIOR ANALYSIS</w:t>
      </w:r>
    </w:p>
    <w:p>
      <w:pPr>
        <w:pStyle w:val="Heading1"/>
        <w:spacing w:after="120" w:before="360"/>
      </w:pPr>
      <w:r>
        <w:rPr>
          <w:rFonts w:ascii="Arial" w:cs="Arial" w:eastAsia="Arial" w:hAnsi="Arial"/>
          <w:b/>
          <w:bCs/>
          <w:color w:val="1A1A1A"/>
          <w:sz w:val="34"/>
          <w:szCs w:val="34"/>
        </w:rPr>
        <w:t xml:space="preserve">Three things I got wrong</w:t>
      </w:r>
    </w:p>
    <w:p>
      <w:pPr>
        <w:spacing w:after="60" w:before="0"/>
      </w:pPr>
    </w:p>
    <w:p>
      <w:pPr>
        <w:pStyle w:val="Heading3"/>
        <w:spacing w:after="80" w:before="200"/>
      </w:pPr>
      <w:r>
        <w:rPr>
          <w:rFonts w:ascii="Arial" w:cs="Arial" w:eastAsia="Arial" w:hAnsi="Arial"/>
          <w:b/>
          <w:bCs/>
          <w:color w:val="444444"/>
          <w:sz w:val="22"/>
          <w:szCs w:val="22"/>
        </w:rPr>
        <w:t xml:space="preserve">1. Dealer affiliate commissions are not meaningful</w:t>
      </w:r>
    </w:p>
    <w:p>
      <w:pPr>
        <w:spacing w:after="100" w:before="60"/>
      </w:pPr>
      <w:r>
        <w:rPr>
          <w:rFonts w:ascii="Arial" w:cs="Arial" w:eastAsia="Arial" w:hAnsi="Arial"/>
          <w:color w:val="1A1A1A"/>
          <w:sz w:val="22"/>
          <w:szCs w:val="22"/>
        </w:rPr>
        <w:t xml:space="preserve">My prior analysis treated the /compare page dealer affiliate links as a significant revenue channel. They are not. APMEX, the largest affiliate program in the space, pays $0.41 per completed sale — a flat fee, not a percentage. At realistic click-through and purchase rates, this channel will not produce meaningful revenue regardless of CTA optimization. Deprioritize /compare affiliate optimization.</w:t>
      </w:r>
    </w:p>
    <w:p>
      <w:pPr>
        <w:spacing w:after="60" w:before="0"/>
      </w:pPr>
    </w:p>
    <w:p>
      <w:pPr>
        <w:pStyle w:val="Heading3"/>
        <w:spacing w:after="80" w:before="200"/>
      </w:pPr>
      <w:r>
        <w:rPr>
          <w:rFonts w:ascii="Arial" w:cs="Arial" w:eastAsia="Arial" w:hAnsi="Arial"/>
          <w:b/>
          <w:bCs/>
          <w:color w:val="444444"/>
          <w:sz w:val="22"/>
          <w:szCs w:val="22"/>
        </w:rPr>
        <w:t xml:space="preserve">2. A Pro tier is Phase 2, not Phase 1</w:t>
      </w:r>
    </w:p>
    <w:p>
      <w:pPr>
        <w:spacing w:after="100" w:before="60"/>
      </w:pPr>
      <w:r>
        <w:rPr>
          <w:rFonts w:ascii="Arial" w:cs="Arial" w:eastAsia="Arial" w:hAnsi="Arial"/>
          <w:color w:val="1A1A1A"/>
          <w:sz w:val="22"/>
          <w:szCs w:val="22"/>
        </w:rPr>
        <w:t xml:space="preserve">I suggested adding a paid Pro tier immediately. This was premature. The billing infrastructure (Stripe) exists, but you have zero free users. A Pro tier is only worth building once a free user base exists to upgrade. Finance/investing apps do achieve 15–27% freemium conversion, but that presupposes a funnel that is already working. Build the funnel first.</w:t>
      </w:r>
    </w:p>
    <w:p>
      <w:pPr>
        <w:spacing w:after="60" w:before="0"/>
      </w:pPr>
    </w:p>
    <w:p>
      <w:pPr>
        <w:pStyle w:val="Heading3"/>
        <w:spacing w:after="80" w:before="200"/>
      </w:pPr>
      <w:r>
        <w:rPr>
          <w:rFonts w:ascii="Arial" w:cs="Arial" w:eastAsia="Arial" w:hAnsi="Arial"/>
          <w:b/>
          <w:bCs/>
          <w:color w:val="444444"/>
          <w:sz w:val="22"/>
          <w:szCs w:val="22"/>
        </w:rPr>
        <w:t xml:space="preserve">3. The login friction problem is the root cause</w:t>
      </w:r>
    </w:p>
    <w:p>
      <w:pPr>
        <w:spacing w:after="100" w:before="60"/>
      </w:pPr>
      <w:r>
        <w:rPr>
          <w:rFonts w:ascii="Arial" w:cs="Arial" w:eastAsia="Arial" w:hAnsi="Arial"/>
          <w:color w:val="1A1A1A"/>
          <w:sz w:val="22"/>
          <w:szCs w:val="22"/>
        </w:rPr>
        <w:t xml:space="preserve">The magic-link-only login flow introduces a compounding drop-off: user enters email → waits for delivery → checks spam or inbox → clicks link. Each step loses 40–60% of intent. Google OAuth (next-auth already supports it) collapses this to a single click. This is the highest-leverage single change you can make.</w:t>
      </w:r>
    </w:p>
    <w:p>
      <w:pPr>
        <w:spacing w:after="120" w:before="0"/>
      </w:pPr>
    </w:p>
    <w:p>
      <w:r>
        <w:br w:type="page"/>
      </w:r>
    </w:p>
    <w:p>
      <w:pPr>
        <w:spacing w:after="40" w:before="80"/>
      </w:pPr>
      <w:r>
        <w:rPr>
          <w:rFonts w:ascii="Arial" w:cs="Arial" w:eastAsia="Arial" w:hAnsi="Arial"/>
          <w:b/>
          <w:bCs/>
          <w:color w:val="B8962E"/>
          <w:spacing w:val="80"/>
          <w:sz w:val="16"/>
          <w:szCs w:val="16"/>
        </w:rPr>
        <w:t xml:space="preserve">FUNNEL AUDIT</w:t>
      </w:r>
    </w:p>
    <w:p>
      <w:pPr>
        <w:pStyle w:val="Heading1"/>
        <w:spacing w:after="120" w:before="360"/>
      </w:pPr>
      <w:r>
        <w:rPr>
          <w:rFonts w:ascii="Arial" w:cs="Arial" w:eastAsia="Arial" w:hAnsi="Arial"/>
          <w:b/>
          <w:bCs/>
          <w:color w:val="1A1A1A"/>
          <w:sz w:val="34"/>
          <w:szCs w:val="34"/>
        </w:rPr>
        <w:t xml:space="preserve">Current funnel and where it breaks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30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Current state</w:t>
            </w:r>
          </w:p>
        </w:tc>
        <w:tc>
          <w:tcPr>
            <w:tcW w:type="dxa" w:w="456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Problem</w:t>
            </w:r>
          </w:p>
        </w:tc>
      </w:tr>
      <w:tr>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1. Landing</w:t>
            </w:r>
          </w:p>
        </w:tc>
        <w:tc>
          <w:tcPr>
            <w:tcW w:type="dxa" w:w="30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Homepage hero, price pages, calculators</w:t>
            </w:r>
          </w:p>
        </w:tc>
        <w:tc>
          <w:tcPr>
            <w:tcW w:type="dxa" w:w="4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Strong SEO copy. Value prop is clear for trackers, weak for buyers.</w:t>
            </w:r>
          </w:p>
        </w:tc>
      </w:tr>
      <w:tr>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2. Intent signal</w:t>
            </w:r>
          </w:p>
        </w:tc>
        <w:tc>
          <w:tcPr>
            <w:tcW w:type="dxa" w:w="30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'Get started — it's free' CTA → /login</w:t>
            </w:r>
          </w:p>
        </w:tc>
        <w:tc>
          <w:tcPr>
            <w:tcW w:type="dxa" w:w="45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Alert CTA is below the fold. No inline capture. Users must navigate away from the content they came for.</w:t>
            </w:r>
          </w:p>
        </w:tc>
      </w:tr>
      <w:tr>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3. Auth</w:t>
            </w:r>
          </w:p>
        </w:tc>
        <w:tc>
          <w:tcPr>
            <w:tcW w:type="dxa" w:w="30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Magic link email only</w:t>
            </w:r>
          </w:p>
        </w:tc>
        <w:tc>
          <w:tcPr>
            <w:tcW w:type="dxa" w:w="4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Magic link requires: email submission → wait → inbox check → click. ~40–60% drop-off per step. No Google OAuth option despite next-auth support.</w:t>
            </w:r>
          </w:p>
        </w:tc>
      </w:tr>
      <w:tr>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4. Activation</w:t>
            </w:r>
          </w:p>
        </w:tc>
        <w:tc>
          <w:tcPr>
            <w:tcW w:type="dxa" w:w="30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Redirect to /dashboard</w:t>
            </w:r>
          </w:p>
        </w:tc>
        <w:tc>
          <w:tcPr>
            <w:tcW w:type="dxa" w:w="45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 onboarding flow. User lands on a blank dashboard with no holdings and no alerts. No prompt to set first alert immediately.</w:t>
            </w:r>
          </w:p>
        </w:tc>
      </w:tr>
      <w:tr>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5. Retention</w:t>
            </w:r>
          </w:p>
        </w:tc>
        <w:tc>
          <w:tcPr>
            <w:tcW w:type="dxa" w:w="30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Weekly digest email</w:t>
            </w:r>
          </w:p>
        </w:tc>
        <w:tc>
          <w:tcPr>
            <w:tcW w:type="dxa" w:w="4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Digest only goes to signed-up users. Anonymous visitors who use calculators are never captured for email.</w:t>
            </w:r>
          </w:p>
        </w:tc>
      </w:tr>
    </w:tbl>
    <w:p>
      <w:pPr>
        <w:spacing w:after="120" w:before="0"/>
      </w:pPr>
    </w:p>
    <w:p>
      <w:pPr>
        <w:spacing w:after="40" w:before="80"/>
      </w:pPr>
      <w:r>
        <w:rPr>
          <w:rFonts w:ascii="Arial" w:cs="Arial" w:eastAsia="Arial" w:hAnsi="Arial"/>
          <w:b/>
          <w:bCs/>
          <w:color w:val="B8962E"/>
          <w:spacing w:val="80"/>
          <w:sz w:val="16"/>
          <w:szCs w:val="16"/>
        </w:rPr>
        <w:t xml:space="preserve">REVENUE CHANNEL ASSESSMENT</w:t>
      </w:r>
    </w:p>
    <w:p>
      <w:pPr>
        <w:pStyle w:val="Heading1"/>
        <w:spacing w:after="120" w:before="360"/>
      </w:pPr>
      <w:r>
        <w:rPr>
          <w:rFonts w:ascii="Arial" w:cs="Arial" w:eastAsia="Arial" w:hAnsi="Arial"/>
          <w:b/>
          <w:bCs/>
          <w:color w:val="1A1A1A"/>
          <w:sz w:val="34"/>
          <w:szCs w:val="34"/>
        </w:rPr>
        <w:t xml:space="preserve">Affiliate opportunity is asymmetric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Channel</w:t>
            </w:r>
          </w:p>
        </w:tc>
        <w:tc>
          <w:tcPr>
            <w:tcW w:type="dxa" w:w="18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Commission</w:t>
            </w:r>
          </w:p>
        </w:tc>
        <w:tc>
          <w:tcPr>
            <w:tcW w:type="dxa" w:w="18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c>
          <w:tcPr>
            <w:tcW w:type="dxa" w:w="356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2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Gold IRA (Augusta)</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$200/lead + ~12% CPS → avg $5,000+/close</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B8962E"/>
                <w:sz w:val="20"/>
                <w:szCs w:val="20"/>
              </w:rPr>
              <w:t xml:space="preserve">HIGH</w:t>
            </w:r>
          </w:p>
        </w:tc>
        <w:tc>
          <w:tcPr>
            <w:tcW w:type="dxa" w:w="3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Highest value per conversion in the niche. Requires trust content + email nurture.</w:t>
            </w:r>
          </w:p>
        </w:tc>
      </w:tr>
      <w:tr>
        <w:tc>
          <w:tcPr>
            <w:tcW w:type="dxa" w:w="22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Gold IRA (Birch)</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$25/lead + 2–5% CPS</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444444"/>
                <w:sz w:val="20"/>
                <w:szCs w:val="20"/>
              </w:rPr>
              <w:t xml:space="preserve">MEDIUM</w:t>
            </w:r>
          </w:p>
        </w:tc>
        <w:tc>
          <w:tcPr>
            <w:tcW w:type="dxa" w:w="35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Lower payout than Augusta. Good as a secondary option for users who don't meet Augusta minimum.</w:t>
            </w:r>
          </w:p>
        </w:tc>
      </w:tr>
      <w:tr>
        <w:tc>
          <w:tcPr>
            <w:tcW w:type="dxa" w:w="22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Silver IRA page (planned)</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Same as Gold IRA programs</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B8962E"/>
                <w:sz w:val="20"/>
                <w:szCs w:val="20"/>
              </w:rPr>
              <w:t xml:space="preserve">HIGH</w:t>
            </w:r>
          </w:p>
        </w:tc>
        <w:tc>
          <w:tcPr>
            <w:tcW w:type="dxa" w:w="3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Already on roadmap. Same affiliate programs, additional SEO surface. Build this next.</w:t>
            </w:r>
          </w:p>
        </w:tc>
      </w:tr>
      <w:tr>
        <w:tc>
          <w:tcPr>
            <w:tcW w:type="dxa" w:w="22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Bullion dealers (/compare)</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APMEX: $0.41/sale flat</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666666"/>
                <w:sz w:val="20"/>
                <w:szCs w:val="20"/>
              </w:rPr>
              <w:t xml:space="preserve">LOW</w:t>
            </w:r>
          </w:p>
        </w:tc>
        <w:tc>
          <w:tcPr>
            <w:tcW w:type="dxa" w:w="35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Near-zero revenue potential at realistic volume. Keep the page for SEO value and UX, but don't optimize CTAs for revenue.</w:t>
            </w:r>
          </w:p>
        </w:tc>
      </w:tr>
      <w:tr>
        <w:tc>
          <w:tcPr>
            <w:tcW w:type="dxa" w:w="22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Pro subscription (future)</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$5–6/mo target</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666666"/>
                <w:sz w:val="20"/>
                <w:szCs w:val="20"/>
              </w:rPr>
              <w:t xml:space="preserve">PHASE 2</w:t>
            </w:r>
          </w:p>
        </w:tc>
        <w:tc>
          <w:tcPr>
            <w:tcW w:type="dxa" w:w="35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Finance B2C apps convert at 15–27% freemium-to-paid. Viable once free users exist. Natural paid features: unlimited alerts, extended history, CSV export, multi-currency, daily digest.</w:t>
            </w:r>
          </w:p>
        </w:tc>
      </w:tr>
    </w:tbl>
    <w:p>
      <w:pPr>
        <w:spacing w:after="120" w:before="0"/>
      </w:pPr>
    </w:p>
    <w:p>
      <w:r>
        <w:br w:type="page"/>
      </w:r>
    </w:p>
    <w:p>
      <w:pPr>
        <w:spacing w:after="40" w:before="80"/>
      </w:pPr>
      <w:r>
        <w:rPr>
          <w:rFonts w:ascii="Arial" w:cs="Arial" w:eastAsia="Arial" w:hAnsi="Arial"/>
          <w:b/>
          <w:bCs/>
          <w:color w:val="B8962E"/>
          <w:spacing w:val="80"/>
          <w:sz w:val="16"/>
          <w:szCs w:val="16"/>
        </w:rPr>
        <w:t xml:space="preserve">PHASE 1 · THIS WEEK</w:t>
      </w:r>
    </w:p>
    <w:p>
      <w:pPr>
        <w:pStyle w:val="Heading1"/>
        <w:spacing w:after="120" w:before="360"/>
      </w:pPr>
      <w:r>
        <w:rPr>
          <w:rFonts w:ascii="Arial" w:cs="Arial" w:eastAsia="Arial" w:hAnsi="Arial"/>
          <w:b/>
          <w:bCs/>
          <w:color w:val="1A1A1A"/>
          <w:sz w:val="34"/>
          <w:szCs w:val="34"/>
        </w:rPr>
        <w:t xml:space="preserve">Fix the signup funnel</w:t>
      </w:r>
    </w:p>
    <w:p>
      <w:pPr>
        <w:spacing w:after="60" w:before="0"/>
      </w:pPr>
    </w:p>
    <w:p>
      <w:pPr>
        <w:spacing w:after="100" w:before="60"/>
      </w:pPr>
      <w:r>
        <w:rPr>
          <w:rFonts w:ascii="Arial" w:cs="Arial" w:eastAsia="Arial" w:hAnsi="Arial"/>
          <w:color w:val="1A1A1A"/>
          <w:sz w:val="22"/>
          <w:szCs w:val="22"/>
        </w:rPr>
        <w:t xml:space="preserve">Nothing else matters until people can sign up with minimal friction. These three changes address the root cause of zero conversions. All three are implementable in the existing codebase without new dependencies.</w:t>
      </w:r>
    </w:p>
    <w:p>
      <w:pPr>
        <w:spacing w:after="80" w:before="0"/>
      </w:pPr>
    </w:p>
    <w:p>
      <w:pPr>
        <w:pStyle w:val="Heading2"/>
        <w:spacing w:after="100" w:before="280"/>
      </w:pPr>
      <w:r>
        <w:rPr>
          <w:rFonts w:ascii="Arial" w:cs="Arial" w:eastAsia="Arial" w:hAnsi="Arial"/>
          <w:b/>
          <w:bCs/>
          <w:color w:val="1A1A1A"/>
          <w:sz w:val="26"/>
          <w:szCs w:val="26"/>
        </w:rPr>
        <w:t xml:space="preserve">1.1  Add Google OAuth (highest leverage, ~2 hours)</w:t>
      </w:r>
    </w:p>
    <w:p>
      <w:pPr>
        <w:spacing w:after="100" w:before="60"/>
      </w:pPr>
      <w:r>
        <w:rPr>
          <w:rFonts w:ascii="Arial" w:cs="Arial" w:eastAsia="Arial" w:hAnsi="Arial"/>
          <w:color w:val="1A1A1A"/>
          <w:sz w:val="22"/>
          <w:szCs w:val="22"/>
        </w:rPr>
        <w:t xml:space="preserve">next-auth already supports Google OAuth. You have it in your auth config. It just needs to be exposed on the login page. One-click Google sign-in eliminates the entire magic-link delivery problem.</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Add a 'Continue with Google' button above the email form on /login</w:t>
      </w:r>
    </w:p>
    <w:p>
      <w:pPr>
        <w:pStyle w:val="ListParagraph"/>
        <w:numPr>
          <w:ilvl w:val="0"/>
          <w:numId w:val="2"/>
        </w:numPr>
        <w:spacing w:after="40" w:before="40"/>
      </w:pPr>
      <w:r>
        <w:rPr>
          <w:rFonts w:ascii="Arial" w:cs="Arial" w:eastAsia="Arial" w:hAnsi="Arial"/>
          <w:color w:val="1A1A1A"/>
          <w:sz w:val="22"/>
          <w:szCs w:val="22"/>
        </w:rPr>
        <w:t xml:space="preserve">Style it with the lode.rocks dark theme — not the default Google white button</w:t>
      </w:r>
    </w:p>
    <w:p>
      <w:pPr>
        <w:pStyle w:val="ListParagraph"/>
        <w:numPr>
          <w:ilvl w:val="0"/>
          <w:numId w:val="2"/>
        </w:numPr>
        <w:spacing w:after="40" w:before="40"/>
      </w:pPr>
      <w:r>
        <w:rPr>
          <w:rFonts w:ascii="Arial" w:cs="Arial" w:eastAsia="Arial" w:hAnsi="Arial"/>
          <w:color w:val="1A1A1A"/>
          <w:sz w:val="22"/>
          <w:szCs w:val="22"/>
        </w:rPr>
        <w:t xml:space="preserve">Set callbackUrl to /dashboard?onboarding=1 (for Phase 1.3)</w:t>
      </w:r>
    </w:p>
    <w:p>
      <w:pPr>
        <w:pStyle w:val="ListParagraph"/>
        <w:numPr>
          <w:ilvl w:val="0"/>
          <w:numId w:val="2"/>
        </w:numPr>
        <w:spacing w:after="40" w:before="40"/>
      </w:pPr>
      <w:r>
        <w:rPr>
          <w:rFonts w:ascii="Arial" w:cs="Arial" w:eastAsia="Arial" w:hAnsi="Arial"/>
          <w:color w:val="1A1A1A"/>
          <w:sz w:val="22"/>
          <w:szCs w:val="22"/>
        </w:rPr>
        <w:t xml:space="preserve">Keep magic link as fallback for users without Google accounts</w:t>
      </w:r>
    </w:p>
    <w:p>
      <w:pPr>
        <w:spacing w:after="60" w:before="0"/>
      </w:pPr>
    </w:p>
    <w:p>
      <w:pPr>
        <w:pStyle w:val="Heading2"/>
        <w:spacing w:after="100" w:before="280"/>
      </w:pPr>
      <w:r>
        <w:rPr>
          <w:rFonts w:ascii="Arial" w:cs="Arial" w:eastAsia="Arial" w:hAnsi="Arial"/>
          <w:b/>
          <w:bCs/>
          <w:color w:val="1A1A1A"/>
          <w:sz w:val="26"/>
          <w:szCs w:val="26"/>
        </w:rPr>
        <w:t xml:space="preserve">1.2  Inline alert capture on price pages (high leverage, ~3 hours)</w:t>
      </w:r>
    </w:p>
    <w:p>
      <w:pPr>
        <w:spacing w:after="100" w:before="60"/>
      </w:pPr>
      <w:r>
        <w:rPr>
          <w:rFonts w:ascii="Arial" w:cs="Arial" w:eastAsia="Arial" w:hAnsi="Arial"/>
          <w:color w:val="1A1A1A"/>
          <w:sz w:val="22"/>
          <w:szCs w:val="22"/>
        </w:rPr>
        <w:t xml:space="preserve">The gold-price and silver-price pages already have a CTA section that says 'Get alerts when gold moves' and links to /login. This requires the user to leave the page. Instead, show an inline email field that submits to /api/auth/signin directly — the user stays on the page, sees 'Check your inbox', and the session is created.</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Replace the 'Get started' link on price page CTAs with an inline &lt;form&gt; containing an email input + submit button</w:t>
      </w:r>
    </w:p>
    <w:p>
      <w:pPr>
        <w:pStyle w:val="ListParagraph"/>
        <w:numPr>
          <w:ilvl w:val="0"/>
          <w:numId w:val="2"/>
        </w:numPr>
        <w:spacing w:after="40" w:before="40"/>
      </w:pPr>
      <w:r>
        <w:rPr>
          <w:rFonts w:ascii="Arial" w:cs="Arial" w:eastAsia="Arial" w:hAnsi="Arial"/>
          <w:color w:val="1A1A1A"/>
          <w:sz w:val="22"/>
          <w:szCs w:val="22"/>
        </w:rPr>
        <w:t xml:space="preserve">On submit: call signIn('email', { email, callbackUrl: '/dashboard?onboarding=1', redirect: false })</w:t>
      </w:r>
    </w:p>
    <w:p>
      <w:pPr>
        <w:pStyle w:val="ListParagraph"/>
        <w:numPr>
          <w:ilvl w:val="0"/>
          <w:numId w:val="2"/>
        </w:numPr>
        <w:spacing w:after="40" w:before="40"/>
      </w:pPr>
      <w:r>
        <w:rPr>
          <w:rFonts w:ascii="Arial" w:cs="Arial" w:eastAsia="Arial" w:hAnsi="Arial"/>
          <w:color w:val="1A1A1A"/>
          <w:sz w:val="22"/>
          <w:szCs w:val="22"/>
        </w:rPr>
        <w:t xml:space="preserve">Show confirmation state inline: 'Check your inbox — we sent a link'</w:t>
      </w:r>
    </w:p>
    <w:p>
      <w:pPr>
        <w:pStyle w:val="ListParagraph"/>
        <w:numPr>
          <w:ilvl w:val="0"/>
          <w:numId w:val="2"/>
        </w:numPr>
        <w:spacing w:after="40" w:before="40"/>
      </w:pPr>
      <w:r>
        <w:rPr>
          <w:rFonts w:ascii="Arial" w:cs="Arial" w:eastAsia="Arial" w:hAnsi="Arial"/>
          <w:color w:val="1A1A1A"/>
          <w:sz w:val="22"/>
          <w:szCs w:val="22"/>
        </w:rPr>
        <w:t xml:space="preserve">This also applies to the homepage Alert CTA section — same change</w:t>
      </w:r>
    </w:p>
    <w:p>
      <w:pPr>
        <w:pStyle w:val="ListParagraph"/>
        <w:numPr>
          <w:ilvl w:val="0"/>
          <w:numId w:val="2"/>
        </w:numPr>
        <w:spacing w:after="40" w:before="40"/>
      </w:pPr>
      <w:r>
        <w:rPr>
          <w:rFonts w:ascii="Arial" w:cs="Arial" w:eastAsia="Arial" w:hAnsi="Arial"/>
          <w:color w:val="1A1A1A"/>
          <w:sz w:val="22"/>
          <w:szCs w:val="22"/>
        </w:rPr>
        <w:t xml:space="preserve">Keep the 'Continue with Google' button as the primary option above the email form</w:t>
      </w:r>
    </w:p>
    <w:p>
      <w:pPr>
        <w:spacing w:after="60" w:before="0"/>
      </w:pPr>
    </w:p>
    <w:p>
      <w:pPr>
        <w:pStyle w:val="Heading2"/>
        <w:spacing w:after="100" w:before="280"/>
      </w:pPr>
      <w:r>
        <w:rPr>
          <w:rFonts w:ascii="Arial" w:cs="Arial" w:eastAsia="Arial" w:hAnsi="Arial"/>
          <w:b/>
          <w:bCs/>
          <w:color w:val="1A1A1A"/>
          <w:sz w:val="26"/>
          <w:szCs w:val="26"/>
        </w:rPr>
        <w:t xml:space="preserve">1.3  Onboarding prompt on first dashboard visit (~2 hours)</w:t>
      </w:r>
    </w:p>
    <w:p>
      <w:pPr>
        <w:spacing w:after="100" w:before="60"/>
      </w:pPr>
      <w:r>
        <w:rPr>
          <w:rFonts w:ascii="Arial" w:cs="Arial" w:eastAsia="Arial" w:hAnsi="Arial"/>
          <w:color w:val="1A1A1A"/>
          <w:sz w:val="22"/>
          <w:szCs w:val="22"/>
        </w:rPr>
        <w:t xml:space="preserve">Currently, a new user lands on /dashboard to a blank state with no guidance. Add a one-time onboarding banner that surfaces on /dashboard?onboarding=1, prompting the user to set their first price alert immediately. This drives activation — a user who sets an alert has a reason to return.</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Detect onboarding=1 query param on dashboard load</w:t>
      </w:r>
    </w:p>
    <w:p>
      <w:pPr>
        <w:pStyle w:val="ListParagraph"/>
        <w:numPr>
          <w:ilvl w:val="0"/>
          <w:numId w:val="2"/>
        </w:numPr>
        <w:spacing w:after="40" w:before="40"/>
      </w:pPr>
      <w:r>
        <w:rPr>
          <w:rFonts w:ascii="Arial" w:cs="Arial" w:eastAsia="Arial" w:hAnsi="Arial"/>
          <w:color w:val="1A1A1A"/>
          <w:sz w:val="22"/>
          <w:szCs w:val="22"/>
        </w:rPr>
        <w:t xml:space="preserve">Show a top-of-page banner: 'Welcome — set your first price alert to get notified when gold or silver hits your target'</w:t>
      </w:r>
    </w:p>
    <w:p>
      <w:pPr>
        <w:pStyle w:val="ListParagraph"/>
        <w:numPr>
          <w:ilvl w:val="0"/>
          <w:numId w:val="2"/>
        </w:numPr>
        <w:spacing w:after="40" w:before="40"/>
      </w:pPr>
      <w:r>
        <w:rPr>
          <w:rFonts w:ascii="Arial" w:cs="Arial" w:eastAsia="Arial" w:hAnsi="Arial"/>
          <w:color w:val="1A1A1A"/>
          <w:sz w:val="22"/>
          <w:szCs w:val="22"/>
        </w:rPr>
        <w:t xml:space="preserve">Button in banner: 'Set alert →' links to /alerts/new</w:t>
      </w:r>
    </w:p>
    <w:p>
      <w:pPr>
        <w:pStyle w:val="ListParagraph"/>
        <w:numPr>
          <w:ilvl w:val="0"/>
          <w:numId w:val="2"/>
        </w:numPr>
        <w:spacing w:after="40" w:before="40"/>
      </w:pPr>
      <w:r>
        <w:rPr>
          <w:rFonts w:ascii="Arial" w:cs="Arial" w:eastAsia="Arial" w:hAnsi="Arial"/>
          <w:color w:val="1A1A1A"/>
          <w:sz w:val="22"/>
          <w:szCs w:val="22"/>
        </w:rPr>
        <w:t xml:space="preserve">Dismiss after one alert is created or after 3 visits (store in localStorage or user metadata)</w:t>
      </w:r>
    </w:p>
    <w:p>
      <w:pPr>
        <w:spacing w:after="120" w:before="0"/>
      </w:pPr>
    </w:p>
    <w:p>
      <w:pPr>
        <w:spacing w:after="40" w:before="80"/>
      </w:pPr>
      <w:r>
        <w:rPr>
          <w:rFonts w:ascii="Arial" w:cs="Arial" w:eastAsia="Arial" w:hAnsi="Arial"/>
          <w:b/>
          <w:bCs/>
          <w:color w:val="B8962E"/>
          <w:spacing w:val="80"/>
          <w:sz w:val="16"/>
          <w:szCs w:val="16"/>
        </w:rPr>
        <w:t xml:space="preserve">PHASE 2 · NEXT 2 WEEKS</w:t>
      </w:r>
    </w:p>
    <w:p>
      <w:pPr>
        <w:pStyle w:val="Heading1"/>
        <w:spacing w:after="120" w:before="360"/>
      </w:pPr>
      <w:r>
        <w:rPr>
          <w:rFonts w:ascii="Arial" w:cs="Arial" w:eastAsia="Arial" w:hAnsi="Arial"/>
          <w:b/>
          <w:bCs/>
          <w:color w:val="1A1A1A"/>
          <w:sz w:val="34"/>
          <w:szCs w:val="34"/>
        </w:rPr>
        <w:t xml:space="preserve">Build the Gold IRA revenue channel</w:t>
      </w:r>
    </w:p>
    <w:p>
      <w:pPr>
        <w:spacing w:after="60" w:before="0"/>
      </w:pPr>
    </w:p>
    <w:p>
      <w:pPr>
        <w:spacing w:after="100" w:before="60"/>
      </w:pPr>
      <w:r>
        <w:rPr>
          <w:rFonts w:ascii="Arial" w:cs="Arial" w:eastAsia="Arial" w:hAnsi="Arial"/>
          <w:color w:val="1A1A1A"/>
          <w:sz w:val="22"/>
          <w:szCs w:val="22"/>
        </w:rPr>
        <w:t xml:space="preserve">Gold IRA is the only affiliate channel with meaningful per-conversion revenue ($5,000+ per close for Augusta). The current /gold-ira page exists and has tracking, but it lacks two things: a /silver-ira page to double the SEO surface area, and an email capture flow to nurture the long sales cycle.</w:t>
      </w:r>
    </w:p>
    <w:p>
      <w:pPr>
        <w:spacing w:after="80" w:before="0"/>
      </w:pPr>
    </w:p>
    <w:p>
      <w:pPr>
        <w:pStyle w:val="Heading2"/>
        <w:spacing w:after="100" w:before="280"/>
      </w:pPr>
      <w:r>
        <w:rPr>
          <w:rFonts w:ascii="Arial" w:cs="Arial" w:eastAsia="Arial" w:hAnsi="Arial"/>
          <w:b/>
          <w:bCs/>
          <w:color w:val="1A1A1A"/>
          <w:sz w:val="26"/>
          <w:szCs w:val="26"/>
        </w:rPr>
        <w:t xml:space="preserve">2.1  Build /silver-ira page (~1 day)</w:t>
      </w:r>
    </w:p>
    <w:p>
      <w:pPr>
        <w:spacing w:after="100" w:before="60"/>
      </w:pPr>
      <w:r>
        <w:rPr>
          <w:rFonts w:ascii="Arial" w:cs="Arial" w:eastAsia="Arial" w:hAnsi="Arial"/>
          <w:color w:val="1A1A1A"/>
          <w:sz w:val="22"/>
          <w:szCs w:val="22"/>
        </w:rPr>
        <w:t xml:space="preserve">This page is already on the roadmap. It is the fastest additional affiliate surface area available. Use the same structure as /gold-ira — comparison table, company reviews, FAQ schema — but focused on silver IRA keywords. The same Augusta and Birch affiliate programs cover silver IRAs.</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Mirror /gold-ira structure: hero, comparison table, company deep-dives, eligibility CTA</w:t>
      </w:r>
    </w:p>
    <w:p>
      <w:pPr>
        <w:pStyle w:val="ListParagraph"/>
        <w:numPr>
          <w:ilvl w:val="0"/>
          <w:numId w:val="2"/>
        </w:numPr>
        <w:spacing w:after="40" w:before="40"/>
      </w:pPr>
      <w:r>
        <w:rPr>
          <w:rFonts w:ascii="Arial" w:cs="Arial" w:eastAsia="Arial" w:hAnsi="Arial"/>
          <w:color w:val="1A1A1A"/>
          <w:sz w:val="22"/>
          <w:szCs w:val="22"/>
        </w:rPr>
        <w:t xml:space="preserve">Target keywords: 'best silver IRA companies', 'silver IRA rollover', 'silver IRA vs gold IRA'</w:t>
      </w:r>
    </w:p>
    <w:p>
      <w:pPr>
        <w:pStyle w:val="ListParagraph"/>
        <w:numPr>
          <w:ilvl w:val="0"/>
          <w:numId w:val="2"/>
        </w:numPr>
        <w:spacing w:after="40" w:before="40"/>
      </w:pPr>
      <w:r>
        <w:rPr>
          <w:rFonts w:ascii="Arial" w:cs="Arial" w:eastAsia="Arial" w:hAnsi="Arial"/>
          <w:color w:val="1A1A1A"/>
          <w:sz w:val="22"/>
          <w:szCs w:val="22"/>
        </w:rPr>
        <w:t xml:space="preserve">Link /gold-ira and /silver-ira to each other in the body and nav</w:t>
      </w:r>
    </w:p>
    <w:p>
      <w:pPr>
        <w:pStyle w:val="ListParagraph"/>
        <w:numPr>
          <w:ilvl w:val="0"/>
          <w:numId w:val="2"/>
        </w:numPr>
        <w:spacing w:after="40" w:before="40"/>
      </w:pPr>
      <w:r>
        <w:rPr>
          <w:rFonts w:ascii="Arial" w:cs="Arial" w:eastAsia="Arial" w:hAnsi="Arial"/>
          <w:color w:val="1A1A1A"/>
          <w:sz w:val="22"/>
          <w:szCs w:val="22"/>
        </w:rPr>
        <w:t xml:space="preserve">Add to sitemap with priority 0.9</w:t>
      </w:r>
    </w:p>
    <w:p>
      <w:pPr>
        <w:spacing w:after="60" w:before="0"/>
      </w:pPr>
    </w:p>
    <w:p>
      <w:pPr>
        <w:pStyle w:val="Heading2"/>
        <w:spacing w:after="100" w:before="280"/>
      </w:pPr>
      <w:r>
        <w:rPr>
          <w:rFonts w:ascii="Arial" w:cs="Arial" w:eastAsia="Arial" w:hAnsi="Arial"/>
          <w:b/>
          <w:bCs/>
          <w:color w:val="1A1A1A"/>
          <w:sz w:val="26"/>
          <w:szCs w:val="26"/>
        </w:rPr>
        <w:t xml:space="preserve">2.2  Add email capture on /gold-ira and /silver-ira (~3 hours)</w:t>
      </w:r>
    </w:p>
    <w:p>
      <w:pPr>
        <w:spacing w:after="100" w:before="60"/>
      </w:pPr>
      <w:r>
        <w:rPr>
          <w:rFonts w:ascii="Arial" w:cs="Arial" w:eastAsia="Arial" w:hAnsi="Arial"/>
          <w:color w:val="1A1A1A"/>
          <w:sz w:val="22"/>
          <w:szCs w:val="22"/>
        </w:rPr>
        <w:t xml:space="preserve">The Gold IRA sales cycle is weeks to months. A user who lands on /gold-ira today almost certainly will not click an affiliate link and open a $50K account on the same visit. Email nurture is how this channel actually converts.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2E" w:sz="4"/>
              <w:left w:val="single" w:color="B8962E" w:sz="12"/>
              <w:bottom w:val="single" w:color="B8962E" w:sz="4"/>
              <w:right w:val="single" w:color="B8962E" w:sz="4"/>
            </w:tcBorders>
            <w:shd w:fill="FDF8EE" w:val="clear"/>
            <w:tcMar>
              <w:top w:type="dxa" w:w="140"/>
              <w:left w:type="dxa" w:w="240"/>
              <w:bottom w:type="dxa" w:w="140"/>
              <w:right w:type="dxa" w:w="240"/>
            </w:tcMar>
          </w:tcPr>
          <w:p>
            <w:pPr>
              <w:spacing w:after="60" w:before="0"/>
            </w:pPr>
            <w:r>
              <w:rPr>
                <w:rFonts w:ascii="Arial" w:cs="Arial" w:eastAsia="Arial" w:hAnsi="Arial"/>
                <w:b/>
                <w:bCs/>
                <w:color w:val="1A1A1A"/>
                <w:sz w:val="22"/>
                <w:szCs w:val="22"/>
              </w:rPr>
              <w:t xml:space="preserve">Resend constraint: 100 emails/day cap</w:t>
            </w:r>
          </w:p>
          <w:p>
            <w:pPr>
              <w:spacing w:after="0" w:before="40"/>
            </w:pPr>
            <w:r>
              <w:rPr>
                <w:rFonts w:ascii="Arial" w:cs="Arial" w:eastAsia="Arial" w:hAnsi="Arial"/>
                <w:color w:val="444444"/>
                <w:sz w:val="21"/>
                <w:szCs w:val="21"/>
              </w:rPr>
              <w:t xml:space="preserve">A cron-based drip is not possible — no free cron slots remain on Vercel Hobby.</w:t>
            </w:r>
          </w:p>
          <w:p>
            <w:pPr>
              <w:spacing w:after="0" w:before="40"/>
            </w:pPr>
            <w:r>
              <w:rPr>
                <w:rFonts w:ascii="Arial" w:cs="Arial" w:eastAsia="Arial" w:hAnsi="Arial"/>
                <w:color w:val="444444"/>
                <w:sz w:val="21"/>
                <w:szCs w:val="21"/>
              </w:rPr>
              <w:t xml:space="preserve">Instead: trigger drip emails on user events via existing API routes.</w:t>
            </w:r>
          </w:p>
          <w:p>
            <w:pPr>
              <w:spacing w:after="0" w:before="40"/>
            </w:pPr>
            <w:r>
              <w:rPr>
                <w:rFonts w:ascii="Arial" w:cs="Arial" w:eastAsia="Arial" w:hAnsi="Arial"/>
                <w:color w:val="444444"/>
                <w:sz w:val="21"/>
                <w:szCs w:val="21"/>
              </w:rPr>
              <w:t xml:space="preserve">Email 1 fires on IRA page signup (event-driven, same as magic link). Emails 2 and 3 fire when the user next visits the site (session-detected server action), rate-limited to 30 IRA drip emails/day max to stay within Resend limits.</w:t>
            </w:r>
          </w:p>
          <w:p>
            <w:pPr>
              <w:spacing w:after="0" w:before="40"/>
            </w:pPr>
            <w:r>
              <w:rPr>
                <w:rFonts w:ascii="Arial" w:cs="Arial" w:eastAsia="Arial" w:hAnsi="Arial"/>
                <w:color w:val="444444"/>
                <w:sz w:val="21"/>
                <w:szCs w:val="21"/>
              </w:rPr>
              <w:t xml:space="preserve">This approach uses zero new infrastructure and stays within all free tier limits.</w:t>
            </w:r>
          </w:p>
        </w:tc>
      </w:tr>
    </w:tbl>
    <w:p>
      <w:pPr>
        <w:spacing w:after="60" w:before="0"/>
      </w:pPr>
    </w:p>
    <w:p>
      <w:pPr>
        <w:pStyle w:val="ListParagraph"/>
        <w:numPr>
          <w:ilvl w:val="0"/>
          <w:numId w:val="2"/>
        </w:numPr>
        <w:spacing w:after="40" w:before="40"/>
      </w:pPr>
      <w:r>
        <w:rPr>
          <w:rFonts w:ascii="Arial" w:cs="Arial" w:eastAsia="Arial" w:hAnsi="Arial"/>
          <w:color w:val="1A1A1A"/>
          <w:sz w:val="22"/>
          <w:szCs w:val="22"/>
        </w:rPr>
        <w:t xml:space="preserve">Add email capture mid-page on /gold-ira and /silver-ira: 'Get the Gold IRA checklist' — uses existing signIn('email') flow</w:t>
      </w:r>
    </w:p>
    <w:p>
      <w:pPr>
        <w:pStyle w:val="ListParagraph"/>
        <w:numPr>
          <w:ilvl w:val="0"/>
          <w:numId w:val="2"/>
        </w:numPr>
        <w:spacing w:after="40" w:before="40"/>
      </w:pPr>
      <w:r>
        <w:rPr>
          <w:rFonts w:ascii="Arial" w:cs="Arial" w:eastAsia="Arial" w:hAnsi="Arial"/>
          <w:color w:val="1A1A1A"/>
          <w:sz w:val="22"/>
          <w:szCs w:val="22"/>
        </w:rPr>
        <w:t xml:space="preserve">Tag IRA-sourced signups in the User model (source: 'gold-ira' or 'silver-ira') to segment the drip</w:t>
      </w:r>
    </w:p>
    <w:p>
      <w:pPr>
        <w:pStyle w:val="ListParagraph"/>
        <w:numPr>
          <w:ilvl w:val="0"/>
          <w:numId w:val="2"/>
        </w:numPr>
        <w:spacing w:after="40" w:before="40"/>
      </w:pPr>
      <w:r>
        <w:rPr>
          <w:rFonts w:ascii="Arial" w:cs="Arial" w:eastAsia="Arial" w:hAnsi="Arial"/>
          <w:color w:val="1A1A1A"/>
          <w:sz w:val="22"/>
          <w:szCs w:val="22"/>
        </w:rPr>
        <w:t xml:space="preserve">Write 3 emails via Resend: (1) what is a gold IRA — sent on signup; (2) Augusta vs Birch comparison — sent on next visit; (3) how to roll over your 401k — sent 7+ days later</w:t>
      </w:r>
    </w:p>
    <w:p>
      <w:pPr>
        <w:pStyle w:val="ListParagraph"/>
        <w:numPr>
          <w:ilvl w:val="0"/>
          <w:numId w:val="2"/>
        </w:numPr>
        <w:spacing w:after="40" w:before="40"/>
      </w:pPr>
      <w:r>
        <w:rPr>
          <w:rFonts w:ascii="Arial" w:cs="Arial" w:eastAsia="Arial" w:hAnsi="Arial"/>
          <w:color w:val="1A1A1A"/>
          <w:sz w:val="22"/>
          <w:szCs w:val="22"/>
        </w:rPr>
        <w:t xml:space="preserve">Each email links to /gold-ira with ?utm_source=drip&amp;utm_step=1 etc. for attribution</w:t>
      </w:r>
    </w:p>
    <w:p>
      <w:pPr>
        <w:pStyle w:val="ListParagraph"/>
        <w:numPr>
          <w:ilvl w:val="0"/>
          <w:numId w:val="2"/>
        </w:numPr>
        <w:spacing w:after="40" w:before="40"/>
      </w:pPr>
      <w:r>
        <w:rPr>
          <w:rFonts w:ascii="Arial" w:cs="Arial" w:eastAsia="Arial" w:hAnsi="Arial"/>
          <w:color w:val="1A1A1A"/>
          <w:sz w:val="22"/>
          <w:szCs w:val="22"/>
        </w:rPr>
        <w:t xml:space="preserve">Gate Email 2 and 3 sends with a DB flag (iraEmailStep: Int) on the User model — no cron needed</w:t>
      </w:r>
    </w:p>
    <w:p>
      <w:pPr>
        <w:spacing w:after="60" w:before="0"/>
      </w:pPr>
    </w:p>
    <w:p>
      <w:pPr>
        <w:pStyle w:val="Heading2"/>
        <w:spacing w:after="100" w:before="280"/>
      </w:pPr>
      <w:r>
        <w:rPr>
          <w:rFonts w:ascii="Arial" w:cs="Arial" w:eastAsia="Arial" w:hAnsi="Arial"/>
          <w:b/>
          <w:bCs/>
          <w:color w:val="1A1A1A"/>
          <w:sz w:val="26"/>
          <w:szCs w:val="26"/>
        </w:rPr>
        <w:t xml:space="preserve">2.3  Add 'Where to Buy' section to homepage (~1 hour)</w:t>
      </w:r>
    </w:p>
    <w:p>
      <w:pPr>
        <w:spacing w:after="100" w:before="60"/>
      </w:pPr>
      <w:r>
        <w:rPr>
          <w:rFonts w:ascii="Arial" w:cs="Arial" w:eastAsia="Arial" w:hAnsi="Arial"/>
          <w:color w:val="1A1A1A"/>
          <w:sz w:val="22"/>
          <w:szCs w:val="22"/>
        </w:rPr>
        <w:t xml:space="preserve">The homepage currently has no link to /compare or /gold-ira in the hero or features section. Gold IRA is only surfaced in the nav ('Gold IRA guide'). Add a brief section below the features grid that points high-intent visitors to the relevant destination.</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Add a two-column section: 'Buying physical metal? Compare dealers →' and 'Investing for retirement? See Gold IRA options →'</w:t>
      </w:r>
    </w:p>
    <w:p>
      <w:pPr>
        <w:pStyle w:val="ListParagraph"/>
        <w:numPr>
          <w:ilvl w:val="0"/>
          <w:numId w:val="2"/>
        </w:numPr>
        <w:spacing w:after="40" w:before="40"/>
      </w:pPr>
      <w:r>
        <w:rPr>
          <w:rFonts w:ascii="Arial" w:cs="Arial" w:eastAsia="Arial" w:hAnsi="Arial"/>
          <w:color w:val="1A1A1A"/>
          <w:sz w:val="22"/>
          <w:szCs w:val="22"/>
        </w:rPr>
        <w:t xml:space="preserve">Position it between the features section and the alert CTA</w:t>
      </w:r>
    </w:p>
    <w:p>
      <w:pPr>
        <w:pStyle w:val="ListParagraph"/>
        <w:numPr>
          <w:ilvl w:val="0"/>
          <w:numId w:val="2"/>
        </w:numPr>
        <w:spacing w:after="40" w:before="40"/>
      </w:pPr>
      <w:r>
        <w:rPr>
          <w:rFonts w:ascii="Arial" w:cs="Arial" w:eastAsia="Arial" w:hAnsi="Arial"/>
          <w:color w:val="1A1A1A"/>
          <w:sz w:val="22"/>
          <w:szCs w:val="22"/>
        </w:rPr>
        <w:t xml:space="preserve">Keep it minimal — two cards or two text links with icons, not a full section</w:t>
      </w:r>
    </w:p>
    <w:p>
      <w:pPr>
        <w:spacing w:after="120" w:before="0"/>
      </w:pPr>
    </w:p>
    <w:p>
      <w:r>
        <w:br w:type="page"/>
      </w:r>
    </w:p>
    <w:p>
      <w:pPr>
        <w:spacing w:after="40" w:before="80"/>
      </w:pPr>
      <w:r>
        <w:rPr>
          <w:rFonts w:ascii="Arial" w:cs="Arial" w:eastAsia="Arial" w:hAnsi="Arial"/>
          <w:b/>
          <w:bCs/>
          <w:color w:val="B8962E"/>
          <w:spacing w:val="80"/>
          <w:sz w:val="16"/>
          <w:szCs w:val="16"/>
        </w:rPr>
        <w:t xml:space="preserve">PHASE 3 · MONTH 2+</w:t>
      </w:r>
    </w:p>
    <w:p>
      <w:pPr>
        <w:pStyle w:val="Heading1"/>
        <w:spacing w:after="120" w:before="360"/>
      </w:pPr>
      <w:r>
        <w:rPr>
          <w:rFonts w:ascii="Arial" w:cs="Arial" w:eastAsia="Arial" w:hAnsi="Arial"/>
          <w:b/>
          <w:bCs/>
          <w:color w:val="1A1A1A"/>
          <w:sz w:val="34"/>
          <w:szCs w:val="34"/>
        </w:rPr>
        <w:t xml:space="preserve">Pro tier (once free users exist)</w:t>
      </w:r>
    </w:p>
    <w:p>
      <w:pPr>
        <w:spacing w:after="60" w:before="0"/>
      </w:pPr>
    </w:p>
    <w:p>
      <w:pPr>
        <w:spacing w:after="100" w:before="60"/>
      </w:pPr>
      <w:r>
        <w:rPr>
          <w:rFonts w:ascii="Arial" w:cs="Arial" w:eastAsia="Arial" w:hAnsi="Arial"/>
          <w:color w:val="1A1A1A"/>
          <w:sz w:val="22"/>
          <w:szCs w:val="22"/>
        </w:rPr>
        <w:t xml:space="preserve">Finance and investing B2C apps achieve 15–27% freemium-to-paid conversion when the value gap between free and paid is clear. Do not build this until there are at least 100 active free users — otherwise there is no base to upgrade.</w:t>
      </w:r>
    </w:p>
    <w:p>
      <w:pPr>
        <w:spacing w:after="80" w:before="0"/>
      </w:pPr>
    </w:p>
    <w:p>
      <w:pPr>
        <w:pStyle w:val="Heading2"/>
        <w:spacing w:after="100" w:before="280"/>
      </w:pPr>
      <w:r>
        <w:rPr>
          <w:rFonts w:ascii="Arial" w:cs="Arial" w:eastAsia="Arial" w:hAnsi="Arial"/>
          <w:b/>
          <w:bCs/>
          <w:color w:val="1A1A1A"/>
          <w:sz w:val="26"/>
          <w:szCs w:val="26"/>
        </w:rPr>
        <w:t xml:space="preserve">Suggested tier structure (free-tier constrained)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2E" w:sz="4"/>
              <w:left w:val="single" w:color="B8962E" w:sz="12"/>
              <w:bottom w:val="single" w:color="B8962E" w:sz="4"/>
              <w:right w:val="single" w:color="B8962E" w:sz="4"/>
            </w:tcBorders>
            <w:shd w:fill="FDF8EE" w:val="clear"/>
            <w:tcMar>
              <w:top w:type="dxa" w:w="140"/>
              <w:left w:type="dxa" w:w="240"/>
              <w:bottom w:type="dxa" w:w="140"/>
              <w:right w:type="dxa" w:w="240"/>
            </w:tcMar>
          </w:tcPr>
          <w:p>
            <w:pPr>
              <w:spacing w:after="60" w:before="0"/>
            </w:pPr>
            <w:r>
              <w:rPr>
                <w:rFonts w:ascii="Arial" w:cs="Arial" w:eastAsia="Arial" w:hAnsi="Arial"/>
                <w:b/>
                <w:bCs/>
                <w:color w:val="1A1A1A"/>
                <w:sz w:val="22"/>
                <w:szCs w:val="22"/>
              </w:rPr>
              <w:t xml:space="preserve">Key constraints applied</w:t>
            </w:r>
          </w:p>
          <w:p>
            <w:pPr>
              <w:spacing w:after="0" w:before="40"/>
            </w:pPr>
            <w:r>
              <w:rPr>
                <w:rFonts w:ascii="Arial" w:cs="Arial" w:eastAsia="Arial" w:hAnsi="Arial"/>
                <w:color w:val="444444"/>
                <w:sz w:val="21"/>
                <w:szCs w:val="21"/>
              </w:rPr>
              <w:t xml:space="preserve">SMS alerts removed entirely — no free tier exists for any SMS provider.</w:t>
            </w:r>
          </w:p>
          <w:p>
            <w:pPr>
              <w:spacing w:after="0" w:before="40"/>
            </w:pPr>
            <w:r>
              <w:rPr>
                <w:rFonts w:ascii="Arial" w:cs="Arial" w:eastAsia="Arial" w:hAnsi="Arial"/>
                <w:color w:val="444444"/>
                <w:sz w:val="21"/>
                <w:szCs w:val="21"/>
              </w:rPr>
              <w:t xml:space="preserve">requirePro.ts + lib/entitlements.ts are pre-built. Feature gating is already wired.</w:t>
            </w:r>
          </w:p>
          <w:p>
            <w:pPr>
              <w:spacing w:after="0" w:before="40"/>
            </w:pPr>
            <w:r>
              <w:rPr>
                <w:rFonts w:ascii="Arial" w:cs="Arial" w:eastAsia="Arial" w:hAnsi="Arial"/>
                <w:color w:val="444444"/>
                <w:sz w:val="21"/>
                <w:szCs w:val="21"/>
              </w:rPr>
              <w:t xml:space="preserve">Stripe billing routes (checkout, portal, webhook) already exist. Phase 3 is wiring gates, not a rebuild.</w:t>
            </w:r>
          </w:p>
          <w:p>
            <w:pPr>
              <w:spacing w:after="0" w:before="40"/>
            </w:pPr>
            <w:r>
              <w:rPr>
                <w:rFonts w:ascii="Arial" w:cs="Arial" w:eastAsia="Arial" w:hAnsi="Arial"/>
                <w:color w:val="444444"/>
                <w:sz w:val="21"/>
                <w:szCs w:val="21"/>
              </w:rPr>
              <w:t xml:space="preserve">Daily digest viable up to ~100 Pro users on Resend free (100 emails/day cap).</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Free (forever)</w:t>
            </w:r>
          </w:p>
        </w:tc>
        <w:tc>
          <w:tcPr>
            <w:tcW w:type="dxa" w:w="28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Pro · $5/mo</w:t>
            </w:r>
          </w:p>
        </w:tc>
        <w:tc>
          <w:tcPr>
            <w:tcW w:type="dxa" w:w="376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Rationale &amp; free-tier fit</w:t>
            </w:r>
          </w:p>
        </w:tc>
      </w:tr>
      <w:tr>
        <w:tc>
          <w:tcPr>
            <w:tcW w:type="dxa" w:w="2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Email alerts — 3 max</w:t>
            </w:r>
          </w:p>
        </w:tc>
        <w:tc>
          <w:tcPr>
            <w:tcW w:type="dxa" w:w="2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Unlimited email alerts</w:t>
            </w:r>
          </w:p>
        </w:tc>
        <w:tc>
          <w:tcPr>
            <w:tcW w:type="dxa" w:w="37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Pure DB change. Alert volume is low — Resend free tier handles it fine.</w:t>
            </w:r>
          </w:p>
        </w:tc>
      </w:tr>
      <w:tr>
        <w:tc>
          <w:tcPr>
            <w:tcW w:type="dxa" w:w="2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30-day price charts</w:t>
            </w:r>
          </w:p>
        </w:tc>
        <w:tc>
          <w:tcPr>
            <w:tcW w:type="dxa" w:w="2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1-year price history</w:t>
            </w:r>
          </w:p>
        </w:tc>
        <w:tc>
          <w:tcPr>
            <w:tcW w:type="dxa" w:w="37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Longer Neon queries, no new data ingestion. Gate via requirePro() on /api/history route.</w:t>
            </w:r>
          </w:p>
        </w:tc>
      </w:tr>
      <w:tr>
        <w:tc>
          <w:tcPr>
            <w:tcW w:type="dxa" w:w="2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Portfolio tracker</w:t>
            </w:r>
          </w:p>
        </w:tc>
        <w:tc>
          <w:tcPr>
            <w:tcW w:type="dxa" w:w="2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Portfolio CSV export</w:t>
            </w:r>
          </w:p>
        </w:tc>
        <w:tc>
          <w:tcPr>
            <w:tcW w:type="dxa" w:w="37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Server-rendered CSV from existing holdings data. No new service, minimal Neon compute.</w:t>
            </w:r>
          </w:p>
        </w:tc>
      </w:tr>
      <w:tr>
        <w:tc>
          <w:tcPr>
            <w:tcW w:type="dxa" w:w="2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USD only</w:t>
            </w:r>
          </w:p>
        </w:tc>
        <w:tc>
          <w:tcPr>
            <w:tcW w:type="dxa" w:w="2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Multi-currency display</w:t>
            </w:r>
          </w:p>
        </w:tc>
        <w:tc>
          <w:tcPr>
            <w:tcW w:type="dxa" w:w="376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preferredCurrency already in DB schema. FX rates via existing lib/fx.ts. Zero new cost.</w:t>
            </w:r>
          </w:p>
        </w:tc>
      </w:tr>
      <w:tr>
        <w:tc>
          <w:tcPr>
            <w:tcW w:type="dxa" w:w="2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Weekly digest</w:t>
            </w:r>
          </w:p>
        </w:tc>
        <w:tc>
          <w:tcPr>
            <w:tcW w:type="dxa" w:w="2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Daily digest (weekdays)</w:t>
            </w:r>
          </w:p>
        </w:tc>
        <w:tc>
          <w:tcPr>
            <w:tcW w:type="dxa" w:w="376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Uses existing digest route + Resend. Viable up to ~100 Pro users; above that upgrade Resend ($20/mo) — a good problem to have.</w:t>
            </w:r>
          </w:p>
        </w:tc>
      </w:tr>
    </w:tbl>
    <w:p>
      <w:pPr>
        <w:spacing w:after="80" w:before="0"/>
      </w:pPr>
    </w:p>
    <w:p>
      <w:pPr>
        <w:spacing w:after="100" w:before="60"/>
      </w:pPr>
      <w:r>
        <w:rPr>
          <w:rFonts w:ascii="Arial" w:cs="Arial" w:eastAsia="Arial" w:hAnsi="Arial"/>
          <w:b/>
          <w:bCs/>
          <w:color w:val="1A1A1A"/>
          <w:sz w:val="22"/>
          <w:szCs w:val="22"/>
        </w:rPr>
        <w:t xml:space="preserve">Note: </w:t>
      </w:r>
      <w:r>
        <w:rPr>
          <w:rFonts w:ascii="Arial" w:cs="Arial" w:eastAsia="Arial" w:hAnsi="Arial"/>
          <w:color w:val="1A1A1A"/>
          <w:sz w:val="22"/>
          <w:szCs w:val="22"/>
        </w:rPr>
        <w:t xml:space="preserve">The Stripe billing routes (checkout, portal, webhook) and Pro gating logic (requirePro.ts, entitlements.ts) are already in the codebase. Phase 3 is primarily a pricing page update and connecting the gates — not a rebuild.</w:t>
      </w:r>
    </w:p>
    <w:p>
      <w:pPr>
        <w:spacing w:after="120" w:before="0"/>
      </w:pPr>
    </w:p>
    <w:p>
      <w:pPr>
        <w:spacing w:after="40" w:before="80"/>
      </w:pPr>
      <w:r>
        <w:rPr>
          <w:rFonts w:ascii="Arial" w:cs="Arial" w:eastAsia="Arial" w:hAnsi="Arial"/>
          <w:b/>
          <w:bCs/>
          <w:color w:val="B8962E"/>
          <w:spacing w:val="80"/>
          <w:sz w:val="16"/>
          <w:szCs w:val="16"/>
        </w:rPr>
        <w:t xml:space="preserve">IMPLEMENTATION SUMMARY</w:t>
      </w:r>
    </w:p>
    <w:p>
      <w:pPr>
        <w:pStyle w:val="Heading1"/>
        <w:spacing w:after="120" w:before="360"/>
      </w:pPr>
      <w:r>
        <w:rPr>
          <w:rFonts w:ascii="Arial" w:cs="Arial" w:eastAsia="Arial" w:hAnsi="Arial"/>
          <w:b/>
          <w:bCs/>
          <w:color w:val="1A1A1A"/>
          <w:sz w:val="34"/>
          <w:szCs w:val="34"/>
        </w:rPr>
        <w:t xml:space="preserve">Prioritized action list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880"/>
        <w:gridCol w:w="1600"/>
        <w:gridCol w:w="1600"/>
        <w:gridCol w:w="1800"/>
      </w:tblGrid>
      <w:tr>
        <w:tc>
          <w:tcPr>
            <w:tcW w:type="dxa" w:w="48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88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16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Effort</w:t>
            </w:r>
          </w:p>
        </w:tc>
        <w:tc>
          <w:tcPr>
            <w:tcW w:type="dxa" w:w="16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Impact</w:t>
            </w:r>
          </w:p>
        </w:tc>
        <w:tc>
          <w:tcPr>
            <w:tcW w:type="dxa" w:w="1800"/>
            <w:tcBorders>
              <w:top w:val="single" w:color="B8962E" w:sz="4"/>
              <w:left w:val="none"/>
              <w:bottom w:val="single" w:color="B8962E" w:sz="4"/>
              <w:right w:val="none"/>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Phase</w:t>
            </w:r>
          </w:p>
        </w:tc>
      </w:tr>
      <w:tr>
        <w:tc>
          <w:tcPr>
            <w:tcW w:type="dxa" w:w="4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1</w:t>
            </w:r>
          </w:p>
        </w:tc>
        <w:tc>
          <w:tcPr>
            <w:tcW w:type="dxa" w:w="38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Add Google OAuth to /login</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~2 hrs</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 Critical</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This week</w:t>
            </w:r>
          </w:p>
        </w:tc>
      </w:tr>
      <w:tr>
        <w:tc>
          <w:tcPr>
            <w:tcW w:type="dxa" w:w="4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w:t>
            </w:r>
          </w:p>
        </w:tc>
        <w:tc>
          <w:tcPr>
            <w:tcW w:type="dxa" w:w="38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Inline email capture on price page CTAs</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 hrs</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Critical</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This week</w:t>
            </w:r>
          </w:p>
        </w:tc>
      </w:tr>
      <w:tr>
        <w:tc>
          <w:tcPr>
            <w:tcW w:type="dxa" w:w="4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38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Onboarding prompt → first alert CTA on dashboard</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~2 hrs</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 High</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This week</w:t>
            </w:r>
          </w:p>
        </w:tc>
      </w:tr>
      <w:tr>
        <w:tc>
          <w:tcPr>
            <w:tcW w:type="dxa" w:w="4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4</w:t>
            </w:r>
          </w:p>
        </w:tc>
        <w:tc>
          <w:tcPr>
            <w:tcW w:type="dxa" w:w="38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Build /silver-ira affiliate page</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 day</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High</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Week 2</w:t>
            </w:r>
          </w:p>
        </w:tc>
      </w:tr>
      <w:tr>
        <w:tc>
          <w:tcPr>
            <w:tcW w:type="dxa" w:w="4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38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Email capture + 3-email drip on /gold-ira + /silver-ira</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~3 hrs + copy</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 High</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Week 2–3</w:t>
            </w:r>
          </w:p>
        </w:tc>
      </w:tr>
      <w:tr>
        <w:tc>
          <w:tcPr>
            <w:tcW w:type="dxa" w:w="4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6</w:t>
            </w:r>
          </w:p>
        </w:tc>
        <w:tc>
          <w:tcPr>
            <w:tcW w:type="dxa" w:w="38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'Where to Buy' section on homepage</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 hr</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Medium</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Week 2</w:t>
            </w:r>
          </w:p>
        </w:tc>
      </w:tr>
      <w:tr>
        <w:tc>
          <w:tcPr>
            <w:tcW w:type="dxa" w:w="4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7</w:t>
            </w:r>
          </w:p>
        </w:tc>
        <w:tc>
          <w:tcPr>
            <w:tcW w:type="dxa" w:w="388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bCs/>
                <w:color w:val="1A1A1A"/>
                <w:sz w:val="20"/>
                <w:szCs w:val="20"/>
              </w:rPr>
              <w:t xml:space="preserve">Pro tier (gate alert count, history depth, export, multi-currency, daily digest)</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~3 days</w:t>
            </w:r>
          </w:p>
        </w:tc>
        <w:tc>
          <w:tcPr>
            <w:tcW w:type="dxa" w:w="16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 Medium</w:t>
            </w:r>
          </w:p>
        </w:tc>
        <w:tc>
          <w:tcPr>
            <w:tcW w:type="dxa" w:w="1800"/>
            <w:tcBorders>
              <w:top w:val="single" w:color="DDDDDD" w:sz="2"/>
              <w:left w:val="none"/>
              <w:bottom w:val="single" w:color="DDDDDD" w:sz="2"/>
              <w:right w:val="none"/>
            </w:tcBorders>
            <w:shd w:fill="F7F4EF" w:val="clear"/>
            <w:tcMar>
              <w:top w:type="dxa" w:w="80"/>
              <w:left w:type="dxa" w:w="160"/>
              <w:bottom w:type="dxa" w:w="80"/>
              <w:right w:type="dxa" w:w="160"/>
            </w:tcMar>
          </w:tcPr>
          <w:p>
            <w:r>
              <w:rPr>
                <w:rFonts w:ascii="Arial" w:cs="Arial" w:eastAsia="Arial" w:hAnsi="Arial"/>
                <w:b w:val="false"/>
                <w:bCs w:val="false"/>
                <w:color w:val="1A1A1A"/>
                <w:sz w:val="20"/>
                <w:szCs w:val="20"/>
              </w:rPr>
              <w:t xml:space="preserve">Month 2+</w:t>
            </w:r>
          </w:p>
        </w:tc>
      </w:tr>
      <w:tr>
        <w:tc>
          <w:tcPr>
            <w:tcW w:type="dxa" w:w="4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8</w:t>
            </w:r>
          </w:p>
        </w:tc>
        <w:tc>
          <w:tcPr>
            <w:tcW w:type="dxa" w:w="388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Newsletter sponsored placements</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Ongoing</w:t>
            </w:r>
          </w:p>
        </w:tc>
        <w:tc>
          <w:tcPr>
            <w:tcW w:type="dxa" w:w="16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Medium</w:t>
            </w:r>
          </w:p>
        </w:tc>
        <w:tc>
          <w:tcPr>
            <w:tcW w:type="dxa" w:w="1800"/>
            <w:tcBorders>
              <w:top w:val="single" w:color="DDDDDD" w:sz="2"/>
              <w:left w:val="none"/>
              <w:bottom w:val="single" w:color="DDDDDD" w:sz="2"/>
              <w:right w:val="none"/>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Month 2+</w:t>
            </w:r>
          </w:p>
        </w:tc>
      </w:tr>
    </w:tbl>
    <w:p>
      <w:pPr>
        <w:spacing w:after="120" w:before="0"/>
      </w:pPr>
    </w:p>
    <w:p>
      <w:pPr>
        <w:spacing w:after="40" w:before="80"/>
      </w:pPr>
      <w:r>
        <w:rPr>
          <w:rFonts w:ascii="Arial" w:cs="Arial" w:eastAsia="Arial" w:hAnsi="Arial"/>
          <w:b/>
          <w:bCs/>
          <w:color w:val="B8962E"/>
          <w:spacing w:val="80"/>
          <w:sz w:val="16"/>
          <w:szCs w:val="16"/>
        </w:rPr>
        <w:t xml:space="preserve">SUCCESS METRICS</w:t>
      </w:r>
    </w:p>
    <w:p>
      <w:pPr>
        <w:pStyle w:val="Heading1"/>
        <w:spacing w:after="120" w:before="360"/>
      </w:pPr>
      <w:r>
        <w:rPr>
          <w:rFonts w:ascii="Arial" w:cs="Arial" w:eastAsia="Arial" w:hAnsi="Arial"/>
          <w:b/>
          <w:bCs/>
          <w:color w:val="1A1A1A"/>
          <w:sz w:val="34"/>
          <w:szCs w:val="34"/>
        </w:rPr>
        <w:t xml:space="preserve">How to know it's working</w:t>
      </w:r>
    </w:p>
    <w:p>
      <w:pPr>
        <w:spacing w:after="60" w:before="0"/>
      </w:pPr>
    </w:p>
    <w:p>
      <w:pPr>
        <w:pStyle w:val="Heading3"/>
        <w:spacing w:after="80" w:before="200"/>
      </w:pPr>
      <w:r>
        <w:rPr>
          <w:rFonts w:ascii="Arial" w:cs="Arial" w:eastAsia="Arial" w:hAnsi="Arial"/>
          <w:b/>
          <w:bCs/>
          <w:color w:val="444444"/>
          <w:sz w:val="22"/>
          <w:szCs w:val="22"/>
        </w:rPr>
        <w:t xml:space="preserve">Week 1 target</w:t>
      </w:r>
    </w:p>
    <w:p>
      <w:pPr>
        <w:pStyle w:val="ListParagraph"/>
        <w:numPr>
          <w:ilvl w:val="0"/>
          <w:numId w:val="2"/>
        </w:numPr>
        <w:spacing w:after="40" w:before="40"/>
      </w:pPr>
      <w:r>
        <w:rPr>
          <w:rFonts w:ascii="Arial" w:cs="Arial" w:eastAsia="Arial" w:hAnsi="Arial"/>
          <w:color w:val="1A1A1A"/>
          <w:sz w:val="22"/>
          <w:szCs w:val="22"/>
        </w:rPr>
        <w:t xml:space="preserve">Signup rate from price pages: &gt; 1% of unique visitors</w:t>
      </w:r>
    </w:p>
    <w:p>
      <w:pPr>
        <w:pStyle w:val="ListParagraph"/>
        <w:numPr>
          <w:ilvl w:val="0"/>
          <w:numId w:val="2"/>
        </w:numPr>
        <w:spacing w:after="40" w:before="40"/>
      </w:pPr>
      <w:r>
        <w:rPr>
          <w:rFonts w:ascii="Arial" w:cs="Arial" w:eastAsia="Arial" w:hAnsi="Arial"/>
          <w:color w:val="1A1A1A"/>
          <w:sz w:val="22"/>
          <w:szCs w:val="22"/>
        </w:rPr>
        <w:t xml:space="preserve">Google OAuth used for &gt; 50% of new signups</w:t>
      </w:r>
    </w:p>
    <w:p>
      <w:pPr>
        <w:pStyle w:val="ListParagraph"/>
        <w:numPr>
          <w:ilvl w:val="0"/>
          <w:numId w:val="2"/>
        </w:numPr>
        <w:spacing w:after="40" w:before="40"/>
      </w:pPr>
      <w:r>
        <w:rPr>
          <w:rFonts w:ascii="Arial" w:cs="Arial" w:eastAsia="Arial" w:hAnsi="Arial"/>
          <w:color w:val="1A1A1A"/>
          <w:sz w:val="22"/>
          <w:szCs w:val="22"/>
        </w:rPr>
        <w:t xml:space="preserve">First alert set rate: &gt; 40% of new signups (measures activation)</w:t>
      </w:r>
    </w:p>
    <w:p>
      <w:pPr>
        <w:spacing w:after="60" w:before="0"/>
      </w:pPr>
    </w:p>
    <w:p>
      <w:pPr>
        <w:pStyle w:val="Heading3"/>
        <w:spacing w:after="80" w:before="200"/>
      </w:pPr>
      <w:r>
        <w:rPr>
          <w:rFonts w:ascii="Arial" w:cs="Arial" w:eastAsia="Arial" w:hAnsi="Arial"/>
          <w:b/>
          <w:bCs/>
          <w:color w:val="444444"/>
          <w:sz w:val="22"/>
          <w:szCs w:val="22"/>
        </w:rPr>
        <w:t xml:space="preserve">Month 1 target</w:t>
      </w:r>
    </w:p>
    <w:p>
      <w:pPr>
        <w:pStyle w:val="ListParagraph"/>
        <w:numPr>
          <w:ilvl w:val="0"/>
          <w:numId w:val="2"/>
        </w:numPr>
        <w:spacing w:after="40" w:before="40"/>
      </w:pPr>
      <w:r>
        <w:rPr>
          <w:rFonts w:ascii="Arial" w:cs="Arial" w:eastAsia="Arial" w:hAnsi="Arial"/>
          <w:color w:val="1A1A1A"/>
          <w:sz w:val="22"/>
          <w:szCs w:val="22"/>
        </w:rPr>
        <w:t xml:space="preserve">Total registered users: &gt; 100</w:t>
      </w:r>
    </w:p>
    <w:p>
      <w:pPr>
        <w:pStyle w:val="ListParagraph"/>
        <w:numPr>
          <w:ilvl w:val="0"/>
          <w:numId w:val="2"/>
        </w:numPr>
        <w:spacing w:after="40" w:before="40"/>
      </w:pPr>
      <w:r>
        <w:rPr>
          <w:rFonts w:ascii="Arial" w:cs="Arial" w:eastAsia="Arial" w:hAnsi="Arial"/>
          <w:color w:val="1A1A1A"/>
          <w:sz w:val="22"/>
          <w:szCs w:val="22"/>
        </w:rPr>
        <w:t xml:space="preserve">Weekly active users: &gt; 30% of registered</w:t>
      </w:r>
    </w:p>
    <w:p>
      <w:pPr>
        <w:pStyle w:val="ListParagraph"/>
        <w:numPr>
          <w:ilvl w:val="0"/>
          <w:numId w:val="2"/>
        </w:numPr>
        <w:spacing w:after="40" w:before="40"/>
      </w:pPr>
      <w:r>
        <w:rPr>
          <w:rFonts w:ascii="Arial" w:cs="Arial" w:eastAsia="Arial" w:hAnsi="Arial"/>
          <w:color w:val="1A1A1A"/>
          <w:sz w:val="22"/>
          <w:szCs w:val="22"/>
        </w:rPr>
        <w:t xml:space="preserve">At least 1 Gold IRA affiliate lead generated</w:t>
      </w:r>
    </w:p>
    <w:p>
      <w:pPr>
        <w:spacing w:after="60" w:before="0"/>
      </w:pPr>
    </w:p>
    <w:p>
      <w:pPr>
        <w:pStyle w:val="Heading3"/>
        <w:spacing w:after="80" w:before="200"/>
      </w:pPr>
      <w:r>
        <w:rPr>
          <w:rFonts w:ascii="Arial" w:cs="Arial" w:eastAsia="Arial" w:hAnsi="Arial"/>
          <w:b/>
          <w:bCs/>
          <w:color w:val="444444"/>
          <w:sz w:val="22"/>
          <w:szCs w:val="22"/>
        </w:rPr>
        <w:t xml:space="preserve">Month 2+ target</w:t>
      </w:r>
    </w:p>
    <w:p>
      <w:pPr>
        <w:pStyle w:val="ListParagraph"/>
        <w:numPr>
          <w:ilvl w:val="0"/>
          <w:numId w:val="2"/>
        </w:numPr>
        <w:spacing w:after="40" w:before="40"/>
      </w:pPr>
      <w:r>
        <w:rPr>
          <w:rFonts w:ascii="Arial" w:cs="Arial" w:eastAsia="Arial" w:hAnsi="Arial"/>
          <w:color w:val="1A1A1A"/>
          <w:sz w:val="22"/>
          <w:szCs w:val="22"/>
        </w:rPr>
        <w:t xml:space="preserve">Pro tier conversion rate: 5–15% of active free users (use 5% as floor for projections)</w:t>
      </w:r>
    </w:p>
    <w:p>
      <w:pPr>
        <w:pStyle w:val="ListParagraph"/>
        <w:numPr>
          <w:ilvl w:val="0"/>
          <w:numId w:val="2"/>
        </w:numPr>
        <w:spacing w:after="40" w:before="40"/>
      </w:pPr>
      <w:r>
        <w:rPr>
          <w:rFonts w:ascii="Arial" w:cs="Arial" w:eastAsia="Arial" w:hAnsi="Arial"/>
          <w:color w:val="1A1A1A"/>
          <w:sz w:val="22"/>
          <w:szCs w:val="22"/>
        </w:rPr>
        <w:t xml:space="preserve">At least 1 Gold IRA affiliate close (Augusta commission: $5,000+)</w:t>
      </w:r>
    </w:p>
    <w:p>
      <w:pPr>
        <w:pStyle w:val="ListParagraph"/>
        <w:numPr>
          <w:ilvl w:val="0"/>
          <w:numId w:val="2"/>
        </w:numPr>
        <w:spacing w:after="40" w:before="40"/>
      </w:pPr>
      <w:r>
        <w:rPr>
          <w:rFonts w:ascii="Arial" w:cs="Arial" w:eastAsia="Arial" w:hAnsi="Arial"/>
          <w:color w:val="1A1A1A"/>
          <w:sz w:val="22"/>
          <w:szCs w:val="22"/>
        </w:rPr>
        <w:t xml:space="preserve">MRR from Pro subs: $50+ (10 paying users)</w:t>
      </w:r>
    </w:p>
    <w:p>
      <w:pPr>
        <w:spacing w:after="120" w:before="0"/>
      </w:pPr>
    </w:p>
    <w:p>
      <w:pPr>
        <w:pBdr>
          <w:bottom w:val="single" w:color="DDDDDD" w:sz="6" w:space="1"/>
        </w:pBdr>
        <w:spacing w:after="0" w:before="0"/>
      </w:pPr>
    </w:p>
    <w:p>
      <w:pPr>
        <w:spacing w:after="80" w:before="0"/>
      </w:pPr>
    </w:p>
    <w:p>
      <w:pPr>
        <w:spacing w:after="40" w:before="60"/>
      </w:pPr>
      <w:r>
        <w:rPr>
          <w:rFonts w:ascii="Arial" w:cs="Arial" w:eastAsia="Arial" w:hAnsi="Arial"/>
          <w:b/>
          <w:bCs/>
          <w:color w:val="1A1A1A"/>
          <w:sz w:val="22"/>
          <w:szCs w:val="22"/>
        </w:rPr>
        <w:t xml:space="preserve">Bottom line</w:t>
      </w:r>
    </w:p>
    <w:p>
      <w:pPr>
        <w:spacing w:after="100" w:before="60"/>
      </w:pPr>
      <w:r>
        <w:rPr>
          <w:rFonts w:ascii="Arial" w:cs="Arial" w:eastAsia="Arial" w:hAnsi="Arial"/>
          <w:color w:val="1A1A1A"/>
          <w:sz w:val="22"/>
          <w:szCs w:val="22"/>
        </w:rPr>
        <w:t xml:space="preserve">The product is ready. The funnel is broken at step 3 (login friction). Add Google OAuth and inline email capture this week. Everything else — Gold IRA content, Pro tier, newsletter monetization — compounds on top of a working signup flow. Build that first.</w:t>
      </w:r>
    </w:p>
    <w:p>
      <w:pPr>
        <w:spacing w:after="40" w:before="0"/>
      </w:pPr>
    </w:p>
    <w:p>
      <w:pPr>
        <w:spacing w:after="0" w:before="40"/>
      </w:pPr>
      <w:r>
        <w:rPr>
          <w:rFonts w:ascii="Arial" w:cs="Arial" w:eastAsia="Arial" w:hAnsi="Arial"/>
          <w:color w:val="666666"/>
          <w:sz w:val="20"/>
          <w:szCs w:val="20"/>
        </w:rPr>
        <w:t xml:space="preserve">Questions or implementation support: ultra.edward@gmail.com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666666"/>
        <w:sz w:val="18"/>
        <w:szCs w:val="18"/>
      </w:rPr>
      <w:t xml:space="preserve">lode.rocks  —  Conversion Optimization Plan</w:t>
    </w:r>
    <w:r>
      <w:rPr>
        <w:rFonts w:ascii="Arial" w:cs="Arial" w:eastAsia="Arial" w:hAnsi="Arial"/>
        <w:color w:val="AAAAAA"/>
        <w:sz w:val="18"/>
        <w:szCs w:val="18"/>
      </w:rPr>
      <w:t xml:space="preserv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2026-06-12T19:53:18.099Z</dcterms:created>
  <dcterms:modified xsi:type="dcterms:W3CDTF">2026-06-12T19:53:18.099Z</dcterms:modified>
</cp:coreProperties>
</file>

<file path=docProps/custom.xml><?xml version="1.0" encoding="utf-8"?>
<Properties xmlns="http://schemas.openxmlformats.org/officeDocument/2006/custom-properties" xmlns:vt="http://schemas.openxmlformats.org/officeDocument/2006/docPropsVTypes"/>
</file>