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CORDOVA PUBLIC COLLEGE</w:t>
        <w:br/>
        <w:t>COLLEGE OF COMPUTER STUDIES</w:t>
      </w:r>
    </w:p>
    <w:p>
      <w:pPr>
        <w:jc w:val="center"/>
      </w:pPr>
      <w:r>
        <w:rPr>
          <w:rFonts w:ascii="Arial" w:hAnsi="Arial"/>
          <w:b/>
          <w:sz w:val="36"/>
        </w:rPr>
        <w:t>SOFTWARE TEST DOCUMENT</w:t>
      </w:r>
    </w:p>
    <w:p>
      <w:pPr>
        <w:jc w:val="center"/>
      </w:pPr>
      <w:r>
        <w:rPr>
          <w:rFonts w:ascii="Arial" w:hAnsi="Arial"/>
          <w:i/>
          <w:sz w:val="22"/>
        </w:rPr>
        <w:t>Herbal AI Verification and Validation Plan</w:t>
      </w:r>
    </w:p>
    <w:p>
      <w:pPr>
        <w:jc w:val="center"/>
      </w:pPr>
      <w:r>
        <w:t>Project: Herbal AI - Botanical Knowledge and AI-Assisted Healthcare System</w:t>
      </w:r>
    </w:p>
    <w:p>
      <w:pPr>
        <w:jc w:val="center"/>
      </w:pPr>
      <w:r>
        <w:t>Revision 1.0 | 31 August 2026</w:t>
      </w:r>
    </w:p>
    <w:p>
      <w:r>
        <w:br w:type="page"/>
      </w:r>
    </w:p>
    <w:p>
      <w:pPr>
        <w:pStyle w:val="Heading1"/>
      </w:pPr>
      <w:r>
        <w:t>Project Team and Contribution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</w:rPr>
              <w:t>Member</w:t>
            </w:r>
          </w:p>
        </w:tc>
        <w:tc>
          <w:tcPr>
            <w:tcW w:type="dxa" w:w="244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Primary Contribution</w:t>
            </w:r>
          </w:p>
        </w:tc>
        <w:tc>
          <w:tcPr>
            <w:tcW w:type="dxa" w:w="2448"/>
          </w:tcPr>
          <w:p>
            <w:r>
              <w:rPr>
                <w:b/>
              </w:rPr>
              <w:t>Allocation</w:t>
            </w:r>
          </w:p>
        </w:tc>
      </w:tr>
      <w:tr>
        <w:tc>
          <w:tcPr>
            <w:tcW w:type="dxa" w:w="2448"/>
            <w:vAlign w:val="center"/>
          </w:tcPr>
          <w:p>
            <w:r>
              <w:t>Kevin C. Mercado</w:t>
            </w:r>
          </w:p>
        </w:tc>
        <w:tc>
          <w:tcPr>
            <w:tcW w:type="dxa" w:w="2448"/>
            <w:vAlign w:val="center"/>
          </w:tcPr>
          <w:p>
            <w:r>
              <w:t>Project Manager; Backend Developer</w:t>
            </w:r>
          </w:p>
        </w:tc>
        <w:tc>
          <w:tcPr>
            <w:tcW w:type="dxa" w:w="2448"/>
            <w:vAlign w:val="center"/>
          </w:tcPr>
          <w:p>
            <w:r>
              <w:t>Project planning and coordination; backend architecture; API, authentication, database, integration, testing, and technical documentation</w:t>
            </w:r>
          </w:p>
        </w:tc>
        <w:tc>
          <w:tcPr>
            <w:tcW w:type="dxa" w:w="2448"/>
            <w:vAlign w:val="center"/>
          </w:tcPr>
          <w:p>
            <w:r>
              <w:t>40%</w:t>
            </w:r>
          </w:p>
        </w:tc>
      </w:tr>
      <w:tr>
        <w:tc>
          <w:tcPr>
            <w:tcW w:type="dxa" w:w="2448"/>
            <w:vAlign w:val="center"/>
          </w:tcPr>
          <w:p>
            <w:r>
              <w:t>Devon Descipulo</w:t>
            </w:r>
          </w:p>
        </w:tc>
        <w:tc>
          <w:tcPr>
            <w:tcW w:type="dxa" w:w="2448"/>
            <w:vAlign w:val="center"/>
          </w:tcPr>
          <w:p>
            <w:r>
              <w:t>Backend Developer</w:t>
            </w:r>
          </w:p>
        </w:tc>
        <w:tc>
          <w:tcPr>
            <w:tcW w:type="dxa" w:w="2448"/>
            <w:vAlign w:val="center"/>
          </w:tcPr>
          <w:p>
            <w:r>
              <w:t>Backend feature development; API/controller/repository support; database and integration support; testing</w:t>
            </w:r>
          </w:p>
        </w:tc>
        <w:tc>
          <w:tcPr>
            <w:tcW w:type="dxa" w:w="2448"/>
            <w:vAlign w:val="center"/>
          </w:tcPr>
          <w:p>
            <w:r>
              <w:t>30%</w:t>
            </w:r>
          </w:p>
        </w:tc>
      </w:tr>
      <w:tr>
        <w:tc>
          <w:tcPr>
            <w:tcW w:type="dxa" w:w="2448"/>
            <w:vAlign w:val="center"/>
          </w:tcPr>
          <w:p>
            <w:r>
              <w:t>Eumar Cabaluna</w:t>
            </w:r>
          </w:p>
        </w:tc>
        <w:tc>
          <w:tcPr>
            <w:tcW w:type="dxa" w:w="2448"/>
            <w:vAlign w:val="center"/>
          </w:tcPr>
          <w:p>
            <w:r>
              <w:t>Frontend Developer</w:t>
            </w:r>
          </w:p>
        </w:tc>
        <w:tc>
          <w:tcPr>
            <w:tcW w:type="dxa" w:w="2448"/>
            <w:vAlign w:val="center"/>
          </w:tcPr>
          <w:p>
            <w:r>
              <w:t>Next.js interface development; responsive pages and components; frontend integration, usability, and UI testing</w:t>
            </w:r>
          </w:p>
        </w:tc>
        <w:tc>
          <w:tcPr>
            <w:tcW w:type="dxa" w:w="2448"/>
            <w:vAlign w:val="center"/>
          </w:tcPr>
          <w:p>
            <w:r>
              <w:t>30%</w:t>
            </w:r>
          </w:p>
        </w:tc>
      </w:tr>
    </w:tbl>
    <w:p>
      <w:r>
        <w:t>Total contribution allocation: 100%. Each member has an allocation above the 20% minimum requirement.</w:t>
      </w:r>
    </w:p>
    <w:p>
      <w:pPr>
        <w:pStyle w:val="Heading1"/>
      </w:pPr>
      <w:r>
        <w:t>1. Purpose</w:t>
      </w:r>
    </w:p>
    <w:p>
      <w:r>
        <w:t>This document defines how Herbal AI requirements are verified. A feature is marked Verified only when repeatable evidence demonstrates that its acceptance criterion is met.</w:t>
      </w:r>
    </w:p>
    <w:p>
      <w:pPr>
        <w:pStyle w:val="Heading1"/>
      </w:pPr>
      <w:r>
        <w:t>2. Verified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3264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3264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3264"/>
            <w:vAlign w:val="center"/>
          </w:tcPr>
          <w:p>
            <w:r>
              <w:t>Backend automated tests</w:t>
            </w:r>
          </w:p>
        </w:tc>
        <w:tc>
          <w:tcPr>
            <w:tcW w:type="dxa" w:w="3264"/>
            <w:vAlign w:val="center"/>
          </w:tcPr>
          <w:p>
            <w:r>
              <w:t>28/28 passed</w:t>
            </w:r>
          </w:p>
        </w:tc>
        <w:tc>
          <w:tcPr>
            <w:tcW w:type="dxa" w:w="3264"/>
            <w:vAlign w:val="center"/>
          </w:tcPr>
          <w:p>
            <w:r>
              <w:t>5 Vitest test files.</w:t>
            </w:r>
          </w:p>
        </w:tc>
      </w:tr>
      <w:tr>
        <w:tc>
          <w:tcPr>
            <w:tcW w:type="dxa" w:w="3264"/>
            <w:vAlign w:val="center"/>
          </w:tcPr>
          <w:p>
            <w:r>
              <w:t>Backend lint and TypeScript</w:t>
            </w:r>
          </w:p>
        </w:tc>
        <w:tc>
          <w:tcPr>
            <w:tcW w:type="dxa" w:w="3264"/>
            <w:vAlign w:val="center"/>
          </w:tcPr>
          <w:p>
            <w:r>
              <w:t>Passed</w:t>
            </w:r>
          </w:p>
        </w:tc>
        <w:tc>
          <w:tcPr>
            <w:tcW w:type="dxa" w:w="3264"/>
            <w:vAlign w:val="center"/>
          </w:tcPr>
          <w:p>
            <w:r>
              <w:t>ESLint and npx tsc --noEmit.</w:t>
            </w:r>
          </w:p>
        </w:tc>
      </w:tr>
      <w:tr>
        <w:tc>
          <w:tcPr>
            <w:tcW w:type="dxa" w:w="3264"/>
            <w:vAlign w:val="center"/>
          </w:tcPr>
          <w:p>
            <w:r>
              <w:t>Frontend lint and TypeScript</w:t>
            </w:r>
          </w:p>
        </w:tc>
        <w:tc>
          <w:tcPr>
            <w:tcW w:type="dxa" w:w="3264"/>
            <w:vAlign w:val="center"/>
          </w:tcPr>
          <w:p>
            <w:r>
              <w:t>Passed</w:t>
            </w:r>
          </w:p>
        </w:tc>
        <w:tc>
          <w:tcPr>
            <w:tcW w:type="dxa" w:w="3264"/>
            <w:vAlign w:val="center"/>
          </w:tcPr>
          <w:p>
            <w:r>
              <w:t>ESLint and npx tsc --noEmit.</w:t>
            </w:r>
          </w:p>
        </w:tc>
      </w:tr>
      <w:tr>
        <w:tc>
          <w:tcPr>
            <w:tcW w:type="dxa" w:w="3264"/>
            <w:vAlign w:val="center"/>
          </w:tcPr>
          <w:p>
            <w:r>
              <w:t>Frontend production build</w:t>
            </w:r>
          </w:p>
        </w:tc>
        <w:tc>
          <w:tcPr>
            <w:tcW w:type="dxa" w:w="3264"/>
            <w:vAlign w:val="center"/>
          </w:tcPr>
          <w:p>
            <w:r>
              <w:t>Passed</w:t>
            </w:r>
          </w:p>
        </w:tc>
        <w:tc>
          <w:tcPr>
            <w:tcW w:type="dxa" w:w="3264"/>
            <w:vAlign w:val="center"/>
          </w:tcPr>
          <w:p>
            <w:r>
              <w:t>Next.js production build generated 18 routes.</w:t>
            </w:r>
          </w:p>
        </w:tc>
      </w:tr>
    </w:tbl>
    <w:p>
      <w:pPr>
        <w:pStyle w:val="Heading1"/>
      </w:pPr>
      <w:r>
        <w:t>3. Test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Level</w:t>
            </w:r>
          </w:p>
        </w:tc>
        <w:tc>
          <w:tcPr>
            <w:tcW w:type="dxa" w:w="3264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264"/>
          </w:tcPr>
          <w:p>
            <w:r>
              <w:rPr>
                <w:b/>
              </w:rPr>
              <w:t>Current State</w:t>
            </w:r>
          </w:p>
        </w:tc>
      </w:tr>
      <w:tr>
        <w:tc>
          <w:tcPr>
            <w:tcW w:type="dxa" w:w="3264"/>
            <w:vAlign w:val="center"/>
          </w:tcPr>
          <w:p>
            <w:r>
              <w:t>Automated API testing</w:t>
            </w:r>
          </w:p>
        </w:tc>
        <w:tc>
          <w:tcPr>
            <w:tcW w:type="dxa" w:w="3264"/>
            <w:vAlign w:val="center"/>
          </w:tcPr>
          <w:p>
            <w:r>
              <w:t>Validate selected route behavior, validation, access control, herb search, and selected system flows.</w:t>
            </w:r>
          </w:p>
        </w:tc>
        <w:tc>
          <w:tcPr>
            <w:tcW w:type="dxa" w:w="3264"/>
            <w:vAlign w:val="center"/>
          </w:tcPr>
          <w:p>
            <w:r>
              <w:t>Executed; 28 passing tests.</w:t>
            </w:r>
          </w:p>
        </w:tc>
      </w:tr>
      <w:tr>
        <w:tc>
          <w:tcPr>
            <w:tcW w:type="dxa" w:w="3264"/>
            <w:vAlign w:val="center"/>
          </w:tcPr>
          <w:p>
            <w:r>
              <w:t>Integration testing</w:t>
            </w:r>
          </w:p>
        </w:tc>
        <w:tc>
          <w:tcPr>
            <w:tcW w:type="dxa" w:w="3264"/>
            <w:vAlign w:val="center"/>
          </w:tcPr>
          <w:p>
            <w:r>
              <w:t>Verify frontend-backend, database, Gemini, Cloudinary, SMTP, and Socket.io flows.</w:t>
            </w:r>
          </w:p>
        </w:tc>
        <w:tc>
          <w:tcPr>
            <w:tcW w:type="dxa" w:w="3264"/>
            <w:vAlign w:val="center"/>
          </w:tcPr>
          <w:p>
            <w:r>
              <w:t>Pending recorded evidence.</w:t>
            </w:r>
          </w:p>
        </w:tc>
      </w:tr>
      <w:tr>
        <w:tc>
          <w:tcPr>
            <w:tcW w:type="dxa" w:w="3264"/>
            <w:vAlign w:val="center"/>
          </w:tcPr>
          <w:p>
            <w:r>
              <w:t>User acceptance testing</w:t>
            </w:r>
          </w:p>
        </w:tc>
        <w:tc>
          <w:tcPr>
            <w:tcW w:type="dxa" w:w="3264"/>
            <w:vAlign w:val="center"/>
          </w:tcPr>
          <w:p>
            <w:r>
              <w:t>Verify practical tasks with representative users and administrators.</w:t>
            </w:r>
          </w:p>
        </w:tc>
        <w:tc>
          <w:tcPr>
            <w:tcW w:type="dxa" w:w="3264"/>
            <w:vAlign w:val="center"/>
          </w:tcPr>
          <w:p>
            <w:r>
              <w:t>Pending at least 5 participant records.</w:t>
            </w:r>
          </w:p>
        </w:tc>
      </w:tr>
      <w:tr>
        <w:tc>
          <w:tcPr>
            <w:tcW w:type="dxa" w:w="3264"/>
            <w:vAlign w:val="center"/>
          </w:tcPr>
          <w:p>
            <w:r>
              <w:t>Performance testing</w:t>
            </w:r>
          </w:p>
        </w:tc>
        <w:tc>
          <w:tcPr>
            <w:tcW w:type="dxa" w:w="3264"/>
            <w:vAlign w:val="center"/>
          </w:tcPr>
          <w:p>
            <w:r>
              <w:t>Measure landing page, search, AI, API, and 500-user targets.</w:t>
            </w:r>
          </w:p>
        </w:tc>
        <w:tc>
          <w:tcPr>
            <w:tcW w:type="dxa" w:w="3264"/>
            <w:vAlign w:val="center"/>
          </w:tcPr>
          <w:p>
            <w:r>
              <w:t>Pending staging/production environment.</w:t>
            </w:r>
          </w:p>
        </w:tc>
      </w:tr>
      <w:tr>
        <w:tc>
          <w:tcPr>
            <w:tcW w:type="dxa" w:w="3264"/>
            <w:vAlign w:val="center"/>
          </w:tcPr>
          <w:p>
            <w:r>
              <w:t>Deployment/recovery testing</w:t>
            </w:r>
          </w:p>
        </w:tc>
        <w:tc>
          <w:tcPr>
            <w:tcW w:type="dxa" w:w="3264"/>
            <w:vAlign w:val="center"/>
          </w:tcPr>
          <w:p>
            <w:r>
              <w:t>Verify health checks, TLS, logs, rollback, backup, and restore.</w:t>
            </w:r>
          </w:p>
        </w:tc>
        <w:tc>
          <w:tcPr>
            <w:tcW w:type="dxa" w:w="3264"/>
            <w:vAlign w:val="center"/>
          </w:tcPr>
          <w:p>
            <w:r>
              <w:t>Pending Docker-enabled target host.</w:t>
            </w:r>
          </w:p>
        </w:tc>
      </w:tr>
    </w:tbl>
    <w:p>
      <w:pPr>
        <w:pStyle w:val="Heading1"/>
      </w:pPr>
      <w:r>
        <w:t>4. Traceability and Acceptance</w:t>
      </w:r>
    </w:p>
    <w:p>
      <w:r>
        <w:t>The detailed requirements-to-test mapping is maintained in Docs/REQUIREMENTS_TRACEABILITY_MATRIX.md. Functional requirements use TC-HERB, TC-CHAT, TC-SUG, TC-ADMIN, TC-COMM, TC-MSG, TC-COM, and TC-AUTH identifiers. Usability and performance requirements use TC-UX, TC-A11Y, and TC-PERF identifiers.</w:t>
      </w:r>
    </w:p>
    <w:p>
      <w:pPr>
        <w:pStyle w:val="Heading1"/>
      </w:pPr>
      <w:r>
        <w:t>5. Test Execution Procedure</w:t>
      </w:r>
    </w:p>
    <w:p>
      <w:pPr>
        <w:pStyle w:val="ListNumber"/>
      </w:pPr>
      <w:r>
        <w:t>Prepare controlled test accounts and approved test data.</w:t>
      </w:r>
    </w:p>
    <w:p>
      <w:pPr>
        <w:pStyle w:val="ListNumber"/>
      </w:pPr>
      <w:r>
        <w:t>Execute the test case using documented preconditions and steps.</w:t>
      </w:r>
    </w:p>
    <w:p>
      <w:pPr>
        <w:pStyle w:val="ListNumber"/>
      </w:pPr>
      <w:r>
        <w:t>Record expected result, actual result, date, tester, evidence, and any defect ID.</w:t>
      </w:r>
    </w:p>
    <w:p>
      <w:pPr>
        <w:pStyle w:val="ListNumber"/>
      </w:pPr>
      <w:r>
        <w:t>Classify the result as Pass, Fail, Blocked, or Not Run.</w:t>
      </w:r>
    </w:p>
    <w:p>
      <w:pPr>
        <w:pStyle w:val="ListNumber"/>
      </w:pPr>
      <w:r>
        <w:t>Retest fixed defects and obtain reviewer sign-off before marking a requirement Verified.</w:t>
      </w:r>
    </w:p>
    <w:p>
      <w:pPr>
        <w:pStyle w:val="Heading1"/>
      </w:pPr>
      <w:r>
        <w:t>6. Defect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4896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Critical</w:t>
            </w:r>
          </w:p>
        </w:tc>
        <w:tc>
          <w:tcPr>
            <w:tcW w:type="dxa" w:w="4896"/>
            <w:vAlign w:val="center"/>
          </w:tcPr>
          <w:p>
            <w:r>
              <w:t>Credential exposure, unauthorized access, data loss, service outage, or unsafe AI behavior.</w:t>
            </w:r>
          </w:p>
        </w:tc>
      </w:tr>
      <w:tr>
        <w:tc>
          <w:tcPr>
            <w:tcW w:type="dxa" w:w="4896"/>
            <w:vAlign w:val="center"/>
          </w:tcPr>
          <w:p>
            <w:r>
              <w:t>Major</w:t>
            </w:r>
          </w:p>
        </w:tc>
        <w:tc>
          <w:tcPr>
            <w:tcW w:type="dxa" w:w="4896"/>
            <w:vAlign w:val="center"/>
          </w:tcPr>
          <w:p>
            <w:r>
              <w:t>Required feature failure or materially incorrect result.</w:t>
            </w:r>
          </w:p>
        </w:tc>
      </w:tr>
      <w:tr>
        <w:tc>
          <w:tcPr>
            <w:tcW w:type="dxa" w:w="4896"/>
            <w:vAlign w:val="center"/>
          </w:tcPr>
          <w:p>
            <w:r>
              <w:t>Minor</w:t>
            </w:r>
          </w:p>
        </w:tc>
        <w:tc>
          <w:tcPr>
            <w:tcW w:type="dxa" w:w="4896"/>
            <w:vAlign w:val="center"/>
          </w:tcPr>
          <w:p>
            <w:r>
              <w:t>Usability/cosmetic issue with a safe workaround.</w:t>
            </w:r>
          </w:p>
        </w:tc>
      </w:tr>
    </w:tbl>
    <w:p>
      <w:pPr>
        <w:pStyle w:val="Heading1"/>
      </w:pPr>
      <w:r>
        <w:t>7. Exit Criteria</w:t>
      </w:r>
    </w:p>
    <w:p>
      <w:r>
        <w:t>Final acceptance requires complete traceability, required functional test evidence, UAT records, performance results, deployment/recovery evidence, resolved critical/major defects, and adviser or panel sign-off for any documented exception.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