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CORDOVA PUBLIC COLLEGE</w:t>
      </w:r>
    </w:p>
    <w:p>
      <w:pPr>
        <w:jc w:val="center"/>
      </w:pPr>
      <w:r>
        <w:rPr>
          <w:rFonts w:ascii="Arial" w:hAnsi="Arial"/>
          <w:b/>
          <w:sz w:val="24"/>
        </w:rPr>
        <w:t>COLLEGE OF COMPUTER STUDIES</w:t>
      </w:r>
    </w:p>
    <w:p/>
    <w:p>
      <w:pPr>
        <w:jc w:val="center"/>
      </w:pPr>
      <w:r>
        <w:rPr>
          <w:rFonts w:ascii="Arial" w:hAnsi="Arial"/>
          <w:b/>
          <w:sz w:val="36"/>
        </w:rPr>
        <w:t>SOFTWARE DESIGN DOCUMENT (SDD)</w:t>
      </w:r>
    </w:p>
    <w:p>
      <w:pPr>
        <w:jc w:val="center"/>
      </w:pPr>
      <w:r>
        <w:rPr>
          <w:rFonts w:ascii="Arial" w:hAnsi="Arial"/>
          <w:b w:val="0"/>
          <w:sz w:val="22"/>
        </w:rPr>
        <w:t>Herbal AI System Design Specification</w:t>
      </w:r>
    </w:p>
    <w:p/>
    <w:p>
      <w:pPr>
        <w:jc w:val="center"/>
      </w:pPr>
      <w:r>
        <w:rPr>
          <w:rFonts w:ascii="Arial" w:hAnsi="Arial"/>
          <w:b/>
          <w:sz w:val="22"/>
        </w:rPr>
        <w:t>HERBAL AI: BOTANICAL KNOWLEDGE AND AI-ASSISTED HEALTHCARE SYSTEM</w:t>
      </w:r>
    </w:p>
    <w:p>
      <w:pPr>
        <w:jc w:val="center"/>
      </w:pPr>
      <w:r>
        <w:rPr>
          <w:rFonts w:ascii="Arial" w:hAnsi="Arial"/>
          <w:b w:val="0"/>
          <w:sz w:val="20"/>
        </w:rPr>
        <w:t>Version 2.0 | 31 August 2026</w:t>
      </w:r>
    </w:p>
    <w:p>
      <w:r>
        <w:br w:type="page"/>
      </w:r>
    </w:p>
    <w:p>
      <w:pPr>
        <w:pStyle w:val="Heading1"/>
      </w:pPr>
      <w:r>
        <w:t>Approval and Project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Role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Name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Signature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Date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Project Manager / Backend Developer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Backend Developer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Frontend Developer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Adviser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Name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Panel Member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Name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Panel Member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Name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</w:tr>
    </w:tbl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Version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Description of Changes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Author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31 August 2026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Initial document creation based on the Herbal AI implementation and supporting project documents.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Herbal AI Project Group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31 August 2026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Revised to use the SRS/SPMP-style front matter and formal structure; added feature contribution matrix and final contribution allocation.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</w:tr>
    </w:tbl>
    <w:p>
      <w:pPr>
        <w:pStyle w:val="Heading1"/>
      </w:pPr>
      <w:r>
        <w:t>Project Team Contribution Allocation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Member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Role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Primary Contribution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Allocation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Project Manager; Backend Developer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Project planning; backend architecture; API, authentication, database, integration, testing, documentation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50%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Backend Developer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Backend feature development; API/controller/repository support; database and integration support; testing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Frontend Developer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Next.js pages/components; responsive UI; frontend integration; usability and UI testing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</w:tr>
    </w:tbl>
    <w:p>
      <w:r>
        <w:rPr>
          <w:rFonts w:ascii="Arial" w:hAnsi="Arial"/>
          <w:b w:val="0"/>
        </w:rPr>
        <w:t>Each member has an allocation above the 20% minimum requirement. The allocation should accurately reflect the final work record of the project team.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rFonts w:ascii="Arial" w:hAnsi="Arial"/>
          <w:b w:val="0"/>
        </w:rPr>
        <w:t>This Software Design Document defines the architecture, data design, components, security controls, and operational design of Herbal AI. The system provides DOH-oriented Philippine medicinal-plant information, moderated community contributions, communication features, and an informational AI assistant.</w:t>
      </w:r>
    </w:p>
    <w:p>
      <w:pPr>
        <w:pStyle w:val="Heading1"/>
      </w:pPr>
      <w:r>
        <w:t>2. System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</w:tcPr>
          <w:p>
            <w:r>
              <w:rPr>
                <w:rFonts w:ascii="Arial" w:hAnsi="Arial"/>
                <w:b/>
                <w:sz w:val="18"/>
              </w:rPr>
              <w:t>Layer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b/>
                <w:sz w:val="18"/>
              </w:rPr>
              <w:t>Technology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b/>
                <w:sz w:val="18"/>
              </w:rPr>
              <w:t>Responsibility</w:t>
            </w:r>
          </w:p>
        </w:tc>
      </w:tr>
      <w:tr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Presentation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Next.js 16 / React 19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Web pages, responsive UI, user interactions, and Socket.io client.</w:t>
            </w:r>
          </w:p>
        </w:tc>
      </w:tr>
      <w:tr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Application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Node.js / Express 5 / TypeScript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REST API, validation, business logic, authentication, and Socket.io server.</w:t>
            </w:r>
          </w:p>
        </w:tc>
      </w:tr>
      <w:tr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Data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PostgreSQL 16 / Prisma / pgvector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Relational data, audit records, messages, and vector retrieval.</w:t>
            </w:r>
          </w:p>
        </w:tc>
      </w:tr>
      <w:tr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External services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Gemini / Cloudinary / SMTP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AI generation/embeddings, image storage, and email.</w:t>
            </w:r>
          </w:p>
        </w:tc>
      </w:tr>
      <w:tr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Operations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Docker / Nginx / GitHub Actions</w:t>
            </w:r>
          </w:p>
        </w:tc>
        <w:tc>
          <w:tcPr>
            <w:tcW w:type="dxa" w:w="3264"/>
            <w:vAlign w:val="center"/>
          </w:tcPr>
          <w:p>
            <w:r>
              <w:rPr>
                <w:rFonts w:ascii="Arial" w:hAnsi="Arial"/>
                <w:sz w:val="18"/>
              </w:rPr>
              <w:t>Containerization, reverse proxy/TLS, and continuous checks.</w:t>
            </w:r>
          </w:p>
        </w:tc>
      </w:tr>
    </w:tbl>
    <w:p>
      <w:r>
        <w:rPr>
          <w:rFonts w:ascii="Arial" w:hAnsi="Arial"/>
          <w:b w:val="0"/>
        </w:rPr>
        <w:t>Browser clients communicate through Nginx with the Next.js frontend and the Express/Socket.io backend. The backend accesses PostgreSQL/pgvector and server-side external services.</w:t>
      </w:r>
    </w:p>
    <w:p>
      <w:pPr>
        <w:pStyle w:val="Heading1"/>
      </w:pPr>
      <w:r>
        <w:t>3. Component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r>
              <w:rPr>
                <w:rFonts w:ascii="Arial" w:hAnsi="Arial"/>
                <w:b/>
                <w:sz w:val="18"/>
              </w:rPr>
              <w:t>Component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Arial" w:hAnsi="Arial"/>
                <w:b/>
                <w:sz w:val="18"/>
              </w:rPr>
              <w:t>Design Responsibility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Authentication and RBAC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Registration, login, verification, password reset, token refresh, OAuth support, and admin authorization.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Herb Library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Verified repository, search, filters, details, images, dosage, preparation, warnings, and DOH status.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Dr. Ai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Retrieval-augmented AI assistance grounded in managed knowledge-base content and safety limitations.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Suggestions and Admin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Submission, review, catalog/user management, knowledge-base management, statistics, and audit records.</w:t>
            </w:r>
          </w:p>
        </w:tc>
      </w:tr>
      <w:tr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Community and Messaging</w:t>
            </w:r>
          </w:p>
        </w:tc>
        <w:tc>
          <w:tcPr>
            <w:tcW w:type="dxa" w:w="4896"/>
            <w:vAlign w:val="center"/>
          </w:tcPr>
          <w:p>
            <w:r>
              <w:rPr>
                <w:rFonts w:ascii="Arial" w:hAnsi="Arial"/>
                <w:sz w:val="18"/>
              </w:rPr>
              <w:t>Forums, comments, likes, persisted messages, and real-time delivery.</w:t>
            </w:r>
          </w:p>
        </w:tc>
      </w:tr>
    </w:tbl>
    <w:p>
      <w:pPr>
        <w:pStyle w:val="Heading1"/>
      </w:pPr>
      <w:r>
        <w:t>4. Data and Security Design</w:t>
      </w:r>
    </w:p>
    <w:p>
      <w:r>
        <w:rPr>
          <w:rFonts w:ascii="Arial" w:hAnsi="Arial"/>
          <w:b w:val="0"/>
        </w:rPr>
        <w:t>Core entities include User, Herb, SuggestedHerb, HerbComment, Thread, ThreadComment, Tag, ThreadTag, ChatMessage, Token, KnowledgeBase, AuditLog, and Notification. Passwords use bcrypt; JWT validates authenticated requests; role middleware restricts administrator functions; secrets are environment variables; and Docker Compose requires explicit JWT secrets.</w:t>
      </w:r>
    </w:p>
    <w:p>
      <w:pPr>
        <w:pStyle w:val="Heading1"/>
      </w:pPr>
      <w:r>
        <w:t>5. Operational Design</w:t>
      </w:r>
    </w:p>
    <w:p>
      <w:r>
        <w:rPr>
          <w:rFonts w:ascii="Arial" w:hAnsi="Arial"/>
          <w:b w:val="0"/>
        </w:rPr>
        <w:t>Docker Compose orchestrates PostgreSQL, backend, and frontend services. Nginx provides reverse-proxy and WebSocket support. Backup, recovery, privacy, maintenance, and deployment procedures are maintained in the project documentation.</w:t>
      </w:r>
    </w:p>
    <w:p>
      <w:pPr>
        <w:pStyle w:val="Heading2"/>
      </w:pPr>
      <w:r>
        <w:t>Feature Contribution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Feature / Deliverable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Primary Contributor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Supporting Contributor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b/>
                <w:sz w:val="18"/>
              </w:rPr>
              <w:t>Contribution Evidence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Project planning, SRS, SPMP, coordination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Descipulo; 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Project documents and planning artifacts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Authentication, JWT, RBAC, account flows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Backend auth services, controllers, middleware, tests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Herb library, catalog, search, database model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Descipulo; 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Herb API, Prisma schema, library UI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Dr. Ai and knowledge-base integration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Descipulo; 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AI services, chat API, chat UI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Admin moderation, audit, statistics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Descipulo; 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Admin API/controllers and dashboard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Forum, comments, notifications, messaging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Mercado; 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Routes/controllers, Socket.io, frontend pages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Frontend UI, responsive design, user flow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Next.js pages, components, styles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Testing, technical documents, defense evidence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Kevin C. Mercado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Devon Descipulo; Eumar Cabaluna</w:t>
            </w:r>
          </w:p>
        </w:tc>
        <w:tc>
          <w:tcPr>
            <w:tcW w:type="dxa" w:w="2448"/>
            <w:vAlign w:val="center"/>
          </w:tcPr>
          <w:p>
            <w:r>
              <w:rPr>
                <w:rFonts w:ascii="Arial" w:hAnsi="Arial"/>
                <w:sz w:val="18"/>
              </w:rPr>
              <w:t>Vitest tests, SDD, STD, V&amp;V, manuals</w:t>
            </w:r>
          </w:p>
        </w:tc>
      </w:tr>
    </w:tbl>
    <w:p>
      <w:pPr>
        <w:pStyle w:val="Heading1"/>
      </w:pPr>
      <w:r>
        <w:t>6. Outstanding Verification</w:t>
      </w:r>
    </w:p>
    <w:p>
      <w:r>
        <w:rPr>
          <w:rFonts w:ascii="Arial" w:hAnsi="Arial"/>
          <w:b w:val="0"/>
        </w:rPr>
        <w:t>Production deployment, backup/restore, SMTP, Google OAuth, UAT, and load-test evidence require external infrastructure or participants and are tracked as pending until executed.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