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688" w:lineRule="auto"/>
        <w:ind w:left="2923" w:right="2185" w:firstLine="0"/>
        <w:jc w:val="center"/>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The Impact of Social Media on </w:t>
      </w:r>
      <w:r w:rsidDel="00000000" w:rsidR="00000000" w:rsidRPr="00000000">
        <w:rPr>
          <w:b w:val="1"/>
          <w:bCs w:val="1"/>
          <w:sz w:val="24"/>
          <w:szCs w:val="24"/>
          <w:rtl w:val="0"/>
        </w:rPr>
        <w:t xml:space="preserve">Health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688" w:lineRule="auto"/>
        <w:ind w:left="2923" w:right="218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8" w:lineRule="auto"/>
        <w:ind w:left="3530" w:right="2824" w:hanging="686.9999999999999"/>
        <w:jc w:val="center"/>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XYZ, Ashoka University</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8" w:lineRule="auto"/>
        <w:ind w:left="3530" w:right="2824" w:hanging="686.9999999999999"/>
        <w:jc w:val="center"/>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w:t>
      </w:r>
      <w:r w:rsidDel="00000000" w:rsidR="00000000" w:rsidRPr="00000000">
        <w:rPr>
          <w:sz w:val="24"/>
          <w:szCs w:val="24"/>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 Course Name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8" w:lineRule="auto"/>
        <w:ind w:left="3530" w:right="2824" w:hanging="686.999999999999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Professor’s Name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8" w:lineRule="auto"/>
        <w:ind w:left="3530" w:right="2824" w:hanging="686.999999999999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pgSz w:h="15840" w:w="12240" w:orient="portrait"/>
          <w:pgMar w:bottom="280" w:top="1360" w:left="1340" w:right="1340" w:header="73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November 20,2024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100" w:right="0" w:firstLine="0"/>
        <w:jc w:val="center"/>
        <w:rPr>
          <w:b w:val="1"/>
          <w:bCs w:val="1"/>
          <w:sz w:val="24"/>
          <w:szCs w:val="24"/>
        </w:rPr>
      </w:pPr>
      <w:r w:rsidDel="00000000" w:rsidR="00000000" w:rsidRPr="00000000">
        <w:rPr>
          <w:b w:val="1"/>
          <w:bCs w:val="1"/>
          <w:sz w:val="24"/>
          <w:szCs w:val="24"/>
          <w:rtl w:val="0"/>
        </w:rPr>
        <w:t xml:space="preserve">The Impact of Social Media on Health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100" w:right="0" w:firstLine="0"/>
        <w:jc w:val="left"/>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0" w:lineRule="auto"/>
        <w:ind w:left="100" w:right="0" w:firstLine="620"/>
        <w:jc w:val="left"/>
        <w:rPr>
          <w:sz w:val="24"/>
          <w:szCs w:val="24"/>
        </w:rPr>
      </w:pPr>
      <w:r w:rsidDel="00000000" w:rsidR="00000000" w:rsidRPr="00000000">
        <w:rPr>
          <w:sz w:val="24"/>
          <w:szCs w:val="24"/>
          <w:rtl w:val="0"/>
        </w:rPr>
        <w:t xml:space="preserve">According to Theall (2017), “Faculty evaluation and development cannot be considered separately… evaluation without development is punitive, and development without evaluation is guesswork” (p. 91).</w:t>
      </w:r>
      <w:r w:rsidDel="00000000" w:rsidR="00000000" w:rsidRPr="00000000">
        <w:rPr>
          <w:sz w:val="24"/>
          <w:szCs w:val="24"/>
          <w:rtl w:val="0"/>
        </w:rPr>
        <w:t xml:space="preserve"> As the practices that constitute modern programmatic faculty development have evolved from their humble beginnings to become a commonplace feature of university life </w:t>
      </w:r>
      <w:r w:rsidDel="00000000" w:rsidR="00000000" w:rsidRPr="00000000">
        <w:rPr>
          <w:sz w:val="24"/>
          <w:szCs w:val="24"/>
          <w:rtl w:val="0"/>
        </w:rPr>
        <w:t xml:space="preserve">(Lewis, 1996)</w:t>
      </w:r>
      <w:r w:rsidDel="00000000" w:rsidR="00000000" w:rsidRPr="00000000">
        <w:rPr>
          <w:sz w:val="24"/>
          <w:szCs w:val="24"/>
          <w:rtl w:val="0"/>
        </w:rPr>
        <w:t xml:space="preserve">, a variety of tactics to evaluate the proficiency of teaching faculty for development purposes have likewise become commonplace. These include measures as diverse as peer observations, the development of teaching portfolios, and student evaluations.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0" w:lineRule="auto"/>
        <w:ind w:left="100" w:right="0" w:firstLine="620"/>
        <w:jc w:val="left"/>
        <w:rPr>
          <w:sz w:val="24"/>
          <w:szCs w:val="24"/>
        </w:rPr>
      </w:pPr>
      <w:r w:rsidDel="00000000" w:rsidR="00000000" w:rsidRPr="00000000">
        <w:rPr>
          <w:sz w:val="24"/>
          <w:szCs w:val="24"/>
          <w:rtl w:val="0"/>
        </w:rPr>
        <w:t xml:space="preserve">One such measure, the student evaluation of teachers, has been virtually ubiquitous since at least the 1990s (Wilson, 1998). Though records of SET-like instruments can be traced to work at Purdue University in the 1920s </w:t>
      </w:r>
      <w:r w:rsidDel="00000000" w:rsidR="00000000" w:rsidRPr="00000000">
        <w:rPr>
          <w:sz w:val="24"/>
          <w:szCs w:val="24"/>
          <w:rtl w:val="0"/>
        </w:rPr>
        <w:t xml:space="preserve">(Remmers &amp; Brandenburg, 1927)</w:t>
      </w:r>
      <w:r w:rsidDel="00000000" w:rsidR="00000000" w:rsidRPr="00000000">
        <w:rPr>
          <w:sz w:val="24"/>
          <w:szCs w:val="24"/>
          <w:rtl w:val="0"/>
        </w:rPr>
        <w:t xml:space="preserve">, most modern histories of faculty development suggest that their rise to widespread popularity went hand-in-hand with the birth of modern faculty development programs in the 1970s, when universities began to adopt them in response to student protest movements criticizing mainstream university curricula and approaches to instruction (</w:t>
      </w:r>
      <w:r w:rsidDel="00000000" w:rsidR="00000000" w:rsidRPr="00000000">
        <w:rPr>
          <w:sz w:val="24"/>
          <w:szCs w:val="24"/>
          <w:rtl w:val="0"/>
        </w:rPr>
        <w:t xml:space="preserve">Gaff &amp; Simpson, 1994; Lewis, 1996; McKeachie, 1996</w:t>
      </w:r>
      <w:r w:rsidDel="00000000" w:rsidR="00000000" w:rsidRPr="00000000">
        <w:rPr>
          <w:sz w:val="24"/>
          <w:szCs w:val="24"/>
          <w:rtl w:val="0"/>
        </w:rPr>
        <w:t xml:space="preserve">). By the mid-2000s, researchers had begun to characterize SETs in terms like “...the predominant measure of university teacher performance [...] worldwide” (Pounder, 2007, p. 178). Today, SETs play an important role in teacher assessment and faculty development at most universities (Davis, 2009). Recent SET research practically takes the presence of some form of this assessment on most campuses as a given. Spooren et al. (2017), for instance, merely note that SETs can be found at “almost every institution of higher education throughout the world” (p. 130). Similarly, Darwin (2012) refers to teacher evaluation as an established orthodoxy, labeling it a “venerated,” “axiomatic” institutional practice (p. 733).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0" w:lineRule="auto"/>
        <w:ind w:left="100"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0" w:lineRule="auto"/>
        <w:ind w:left="100" w:right="0" w:firstLine="6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has become an integral part of modern life, influencing the way people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share information, and perceive themselves. While it provides platforms for global connection and self-expression, its effects on mental health have been a subject of growing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concern. Research suggests that while social media can offer support and build communities, excessive or harmful use may contribute to feelings of inadequacy, anxiety, and depression.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2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nuanced relationship between social media and mental health is essential for mitigating its negative impacts and promoting healthier online behaviors.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139"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offers significant benefits by enabling individuals to stay connected with friends and family, especially across geographical distances. Platforms like Facebook and Instagram allow users to maintain relationships and reconnect with loved ones, creating a sense of community and belonging. Additionally, for marginalized groups, social media often serves as a safe space to find support and share experiences. Naslund et al. (2016) highlight that people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health challenges often use social platforms to access peer support, reducing feelings of isolation and fostering recovery. Furthermore, social media has democratized access to information, allowing users to learn about mental health resources, coping strategies, and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340" w:right="1340" w:header="73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advocacy movements. For instance, hashtags like #EndTheStigma and #MentalHealthAwareness </w:t>
      </w:r>
      <w:r w:rsidDel="00000000" w:rsidR="00000000" w:rsidRPr="00000000">
        <w:rPr>
          <w:sz w:val="24"/>
          <w:szCs w:val="24"/>
          <w:rtl w:val="0"/>
        </w:rPr>
        <w:t xml:space="preserve">has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raised public awareness and encouraged open discussions about psychological well-being. </w:t>
      </w:r>
    </w:p>
    <w:p w:rsidR="00000000" w:rsidDel="00000000" w:rsidP="00000000" w:rsidRDefault="00000000" w:rsidRPr="00000000" w14:paraId="0000001E">
      <w:pPr>
        <w:spacing w:before="80" w:lineRule="auto"/>
        <w:ind w:left="3821" w:right="3821" w:firstLine="0"/>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spacing w:before="217" w:line="480" w:lineRule="auto"/>
        <w:ind w:left="820" w:right="711" w:hanging="720"/>
        <w:jc w:val="left"/>
        <w:rPr>
          <w:sz w:val="24"/>
          <w:szCs w:val="24"/>
        </w:rPr>
      </w:pPr>
      <w:r w:rsidDel="00000000" w:rsidR="00000000" w:rsidRPr="00000000">
        <w:rPr>
          <w:sz w:val="24"/>
          <w:szCs w:val="24"/>
          <w:rtl w:val="0"/>
        </w:rPr>
        <w:t xml:space="preserve">Ambady, N., &amp; Rosenthal, R. (1993). Half a minute: Predicting teacher evaluations from thin slices of nonverbal behavior and physical attractiveness. Journal of Personality and Social Psychology, 64(3), 431–441. http://dx.doi.org/10.1037/0022-3514.64.3.431 </w:t>
      </w:r>
      <w:r w:rsidDel="00000000" w:rsidR="00000000" w:rsidRPr="00000000">
        <w:rPr>
          <w:rtl w:val="0"/>
        </w:rPr>
      </w:r>
    </w:p>
    <w:p w:rsidR="00000000" w:rsidDel="00000000" w:rsidP="00000000" w:rsidRDefault="00000000" w:rsidRPr="00000000" w14:paraId="00000021">
      <w:pPr>
        <w:spacing w:before="217" w:line="480" w:lineRule="auto"/>
        <w:ind w:left="820" w:right="711" w:hanging="720"/>
        <w:jc w:val="left"/>
        <w:rPr>
          <w:sz w:val="24"/>
          <w:szCs w:val="24"/>
        </w:rPr>
      </w:pPr>
      <w:r w:rsidDel="00000000" w:rsidR="00000000" w:rsidRPr="00000000">
        <w:rPr>
          <w:sz w:val="24"/>
          <w:szCs w:val="24"/>
          <w:rtl w:val="0"/>
        </w:rPr>
        <w:t xml:space="preserve">American Association of University Professors. (n.d.). Background facts on contingent faculty positions. https://www.aaup.org/issues/contingency/background-facts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277"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Naslund, J. A., et al. (2016). The future of mental health care: Peer-to-peer support and social media.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Psychiatric Services, 67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849–851. </w:t>
      </w:r>
      <w:hyperlink r:id="rId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https://doi.org/10.1176/appi.ps.201500432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277" w:hanging="720"/>
        <w:jc w:val="left"/>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277" w:hanging="720"/>
        <w:jc w:val="left"/>
        <w:rPr>
          <w:sz w:val="24"/>
          <w:szCs w:val="24"/>
        </w:rPr>
      </w:pPr>
      <w:r w:rsidDel="00000000" w:rsidR="00000000" w:rsidRPr="00000000">
        <w:rPr>
          <w:rtl w:val="0"/>
        </w:rPr>
      </w:r>
    </w:p>
    <w:p w:rsidR="00000000" w:rsidDel="00000000" w:rsidP="00000000" w:rsidRDefault="00000000" w:rsidRPr="00000000" w14:paraId="00000026">
      <w:pPr>
        <w:spacing w:before="158" w:lineRule="auto"/>
        <w:ind w:left="112" w:firstLine="0"/>
        <w:rPr>
          <w:sz w:val="24"/>
          <w:szCs w:val="24"/>
        </w:rPr>
      </w:pPr>
      <w:r w:rsidDel="00000000" w:rsidR="00000000" w:rsidRPr="00000000">
        <w:rPr>
          <w:b w:val="1"/>
          <w:bCs w:val="1"/>
          <w:sz w:val="24"/>
          <w:szCs w:val="24"/>
          <w:rtl w:val="0"/>
        </w:rPr>
        <w:t xml:space="preserve">DISCLAIMER(NOT A PART OF THE FORMAT): </w:t>
      </w:r>
      <w:r w:rsidDel="00000000" w:rsidR="00000000" w:rsidRPr="00000000">
        <w:rPr>
          <w:sz w:val="24"/>
          <w:szCs w:val="24"/>
          <w:rtl w:val="0"/>
        </w:rPr>
        <w:t xml:space="preserve">This is a student-made format and has not been ratified by any office. We recommend caution while using the template; w</w:t>
      </w:r>
      <w:r w:rsidDel="00000000" w:rsidR="00000000" w:rsidRPr="00000000">
        <w:rPr>
          <w:sz w:val="24"/>
          <w:szCs w:val="24"/>
          <w:rtl w:val="0"/>
        </w:rPr>
        <w:t xml:space="preserve">e still encourage you to double-check your citations or consult the CWC for personalized guidance or verification.</w:t>
      </w:r>
      <w:r w:rsidDel="00000000" w:rsidR="00000000" w:rsidRPr="00000000">
        <w:rPr>
          <w:rtl w:val="0"/>
        </w:rPr>
      </w:r>
    </w:p>
    <w:p w:rsidR="00000000" w:rsidDel="00000000" w:rsidP="00000000" w:rsidRDefault="00000000" w:rsidRPr="00000000" w14:paraId="00000027">
      <w:pPr>
        <w:spacing w:before="158" w:lineRule="auto"/>
        <w:ind w:left="112" w:firstLine="0"/>
        <w:rPr>
          <w:sz w:val="24"/>
          <w:szCs w:val="24"/>
        </w:rPr>
      </w:pPr>
      <w:r w:rsidDel="00000000" w:rsidR="00000000" w:rsidRPr="00000000">
        <w:rPr>
          <w:sz w:val="24"/>
          <w:szCs w:val="24"/>
          <w:rtl w:val="0"/>
        </w:rPr>
        <w:t xml:space="preserve">The paper is intended to not have logical content continuity and is only a sample. We have largely taken from </w:t>
      </w:r>
      <w:hyperlink r:id="rId8">
        <w:r w:rsidDel="00000000" w:rsidR="00000000" w:rsidRPr="00000000">
          <w:rPr>
            <w:color w:val="1155cc"/>
            <w:sz w:val="24"/>
            <w:szCs w:val="24"/>
            <w:u w:val="single"/>
            <w:rtl w:val="0"/>
          </w:rPr>
          <w:t xml:space="preserve">Purdue Owl’s sample APA format</w:t>
        </w:r>
      </w:hyperlink>
      <w:r w:rsidDel="00000000" w:rsidR="00000000" w:rsidRPr="00000000">
        <w:rPr>
          <w:sz w:val="24"/>
          <w:szCs w:val="24"/>
          <w:rtl w:val="0"/>
        </w:rPr>
        <w:t xml:space="preserve">. A lot of content and comments have been copied from there. Some other portions are AI-generated, and the information provided has not been verified for accuracy.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277" w:hanging="720"/>
        <w:jc w:val="left"/>
        <w:rPr>
          <w:sz w:val="24"/>
          <w:szCs w:val="24"/>
        </w:rPr>
      </w:pPr>
      <w:r w:rsidDel="00000000" w:rsidR="00000000" w:rsidRPr="00000000">
        <w:rPr>
          <w:rtl w:val="0"/>
        </w:rPr>
      </w:r>
    </w:p>
    <w:sectPr>
      <w:type w:val="nextPage"/>
      <w:pgSz w:h="15840" w:w="12240" w:orient="portrait"/>
      <w:pgMar w:bottom="280" w:top="1360" w:left="1340" w:right="1340" w:header="7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Page Number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doi.org/10.1176/appi.ps.201500432" TargetMode="External"/><Relationship Id="rId8" Type="http://schemas.openxmlformats.org/officeDocument/2006/relationships/hyperlink" Target="https://owl.purdue.edu/owl/research_and_citation/apa_style/apa_formatting_and_style_guide/documents/APA%207%20Student%20Sample%20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