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480" w:lineRule="auto"/>
        <w:ind w:left="564" w:right="1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FRAMING TRUTHS AND MANIPULATING REALITIES: THE POLITICS AND ETHICS OF PHOTOGRAPHY</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2520" w:right="208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Rohit Malhotra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1" w:lineRule="auto"/>
        <w:ind w:left="2521" w:right="208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 1005: Ethics in Visual Media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1" w:lineRule="auto"/>
        <w:ind w:left="2521" w:right="208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headerReference r:id="rId7" w:type="first"/>
          <w:footerReference r:id="rId8" w:type="first"/>
          <w:pgSz w:h="16840" w:w="11910" w:orient="portrait"/>
          <w:pgMar w:bottom="280" w:top="1580" w:left="900" w:right="1340" w:header="360" w:footer="36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March 7, 2010</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480" w:lineRule="auto"/>
        <w:ind w:left="540" w:right="199" w:firstLine="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 Photography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Susan Sontag writes, “To photograph is to frame, and to frame is to exclude.”</w:t>
      </w:r>
      <w:hyperlink w:anchor="_30j0z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hyperlink>
      <w:hyperlink w:anchor="_30j0z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encapsulates photography's inherent duality: its power to reveal and conceal. As an expressive medium and a document of truth, photography occupies a liminal space between art and reality. This duality gives photography immense political potential but also burdens it with profound ethical concerns. This paper explores these intersections, focusing on photography's role in shaping political discourse, the ethical dilemmas surrounding representation, manipulation, and consent, and the implications of modern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on these issues.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540" w:right="0" w:firstLine="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Photography is a key instrument in political discourse, immortalizing moments that challenge systems of power. Iconic examples include Dorothea Lange’s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Migrant Mother</w:t>
      </w:r>
      <w:hyperlink w:anchor="_1fob9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hyperlink>
      <w:hyperlink w:anchor="_1fob9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superscript"/>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humanized the plight of the Great Depression, and Nick Ut’s photograph of Phan Thị Kim Phúc, which exposed the horrors of the Vietnam War</w:t>
      </w:r>
      <w:hyperlink w:anchor="_gjdg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gjdg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hyperlink>
      <w:hyperlink w:anchor="_gjdg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images are more than art— they are political statements, wielding the power to shift public opinion and mobilize action.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480" w:lineRule="auto"/>
        <w:ind w:left="540" w:right="566" w:firstLine="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photography's power is not inherently neutral. Authoritarian regimes frequently employ manipulated images for propaganda, constructing narratives that align with their ideologies.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480" w:lineRule="auto"/>
        <w:ind w:left="540" w:right="199" w:firstLine="56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Sovietera doctored photographs erased political dissidents from history, shaping public perception through selective erasure historian notes</w:t>
      </w:r>
      <w:hyperlink w:anchor="_3znysh7">
        <w:r w:rsidDel="00000000" w:rsidR="00000000" w:rsidRPr="00000000">
          <w:rPr>
            <w:sz w:val="24"/>
            <w:szCs w:val="24"/>
            <w:rtl w:val="0"/>
          </w:rPr>
          <w:t xml:space="preserve">.</w:t>
        </w:r>
      </w:hyperlink>
      <w:hyperlink w:anchor="_3znysh7">
        <w:r w:rsidDel="00000000" w:rsidR="00000000" w:rsidRPr="00000000">
          <w:rPr>
            <w:sz w:val="24"/>
            <w:szCs w:val="24"/>
            <w:vertAlign w:val="superscript"/>
            <w:rtl w:val="0"/>
          </w:rPr>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139700</wp:posOffset>
                </wp:positionV>
                <wp:extent cx="1829054" cy="12700"/>
                <wp:effectExtent b="0" l="0" r="0" t="0"/>
                <wp:wrapTopAndBottom distB="0" distT="0"/>
                <wp:docPr id="1" name=""/>
                <a:graphic>
                  <a:graphicData uri="http://schemas.microsoft.com/office/word/2010/wordprocessingShape">
                    <wps:wsp>
                      <wps:cNvSpPr/>
                      <wps:cNvPr id="2" name="Shape 2"/>
                      <wps:spPr>
                        <a:xfrm>
                          <a:off x="5002974" y="3775428"/>
                          <a:ext cx="1829054" cy="914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139700</wp:posOffset>
                </wp:positionV>
                <wp:extent cx="1829054"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829054" cy="12700"/>
                        </a:xfrm>
                        <a:prstGeom prst="rect"/>
                        <a:ln/>
                      </pic:spPr>
                    </pic:pic>
                  </a:graphicData>
                </a:graphic>
              </wp:anchor>
            </w:drawing>
          </mc:Fallback>
        </mc:AlternateConten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1"/>
        </w:tabs>
        <w:spacing w:after="0" w:before="71" w:line="240" w:lineRule="auto"/>
        <w:ind w:left="840" w:right="0" w:hanging="301"/>
        <w:jc w:val="left"/>
        <w:rPr>
          <w:b w:val="0"/>
          <w:bCs w:val="0"/>
          <w:i w:val="0"/>
          <w:iCs w:val="0"/>
          <w:smallCaps w:val="0"/>
          <w:strike w:val="0"/>
          <w:color w:val="000000"/>
          <w:u w:val="none"/>
          <w:shd w:fill="auto" w:val="clear"/>
          <w:vertAlign w:val="baseline"/>
        </w:rPr>
      </w:pPr>
      <w:bookmarkStart w:colFirst="0" w:colLast="0" w:name="_30j0zll" w:id="1"/>
      <w:bookmarkEnd w:id="1"/>
      <w:r w:rsidDel="00000000" w:rsidR="00000000" w:rsidRPr="00000000">
        <w:rPr>
          <w:sz w:val="24"/>
          <w:szCs w:val="24"/>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Susan Sontag, On Photography (New York: Farrar, Straus and Giroux, 1977), 4.</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1"/>
        </w:tabs>
        <w:spacing w:after="0" w:before="160" w:line="240" w:lineRule="auto"/>
        <w:ind w:left="780" w:right="0" w:hanging="241"/>
        <w:jc w:val="left"/>
        <w:rPr>
          <w:b w:val="0"/>
          <w:bCs w:val="0"/>
          <w:i w:val="0"/>
          <w:iCs w:val="0"/>
          <w:smallCaps w:val="0"/>
          <w:strike w:val="0"/>
          <w:color w:val="000000"/>
          <w:u w:val="none"/>
          <w:shd w:fill="auto" w:val="clear"/>
          <w:vertAlign w:val="baseline"/>
        </w:rPr>
      </w:pPr>
      <w:r w:rsidDel="00000000" w:rsidR="00000000" w:rsidRPr="00000000">
        <w:rPr>
          <w:sz w:val="24"/>
          <w:szCs w:val="24"/>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Dorothea Lange, Migrant Mother, 1936, Library of Congress, 299.</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1"/>
        </w:tabs>
        <w:spacing w:after="0" w:before="162" w:line="240" w:lineRule="auto"/>
        <w:ind w:left="780" w:right="0" w:hanging="241"/>
        <w:jc w:val="left"/>
        <w:rPr>
          <w:b w:val="0"/>
          <w:bCs w:val="0"/>
          <w:i w:val="0"/>
          <w:iCs w:val="0"/>
          <w:smallCaps w:val="0"/>
          <w:strike w:val="0"/>
          <w:color w:val="000000"/>
          <w:u w:val="none"/>
          <w:shd w:fill="auto" w:val="clear"/>
          <w:vertAlign w:val="baseline"/>
        </w:rPr>
        <w:sectPr>
          <w:type w:val="nextPage"/>
          <w:pgSz w:h="16840" w:w="11910" w:orient="portrait"/>
          <w:pgMar w:bottom="280" w:top="1360" w:left="900" w:right="1340" w:header="360" w:footer="360"/>
        </w:sectPr>
      </w:pPr>
      <w:bookmarkStart w:colFirst="0" w:colLast="0" w:name="_1fob9te" w:id="2"/>
      <w:bookmarkEnd w:id="2"/>
      <w:r w:rsidDel="00000000" w:rsidR="00000000" w:rsidRPr="00000000">
        <w:rPr>
          <w:sz w:val="24"/>
          <w:szCs w:val="24"/>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Nick Ut, Napalm Girl, Associated Press, June 8, 1972.</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480" w:lineRule="auto"/>
        <w:ind w:left="540" w:right="293" w:firstLine="56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Consent is another critical concern. Kevin Carter’s Pulitzer Prize-winning photograph of a starving Sudanese child stalked by a vulture illustrates this ethical tension. While Carter’s image drew global attention to famine, it also sparked outrage for its perceived exploitation of vulnerability</w:t>
      </w:r>
      <w:hyperlink w:anchor="_3znysh7">
        <w:r w:rsidDel="00000000" w:rsidR="00000000" w:rsidRPr="00000000">
          <w:rPr>
            <w:sz w:val="24"/>
            <w:szCs w:val="24"/>
            <w:rtl w:val="0"/>
          </w:rPr>
          <w:t xml:space="preserve">.</w:t>
        </w:r>
      </w:hyperlink>
      <w:r w:rsidDel="00000000" w:rsidR="00000000" w:rsidRPr="00000000">
        <w:rPr>
          <w:sz w:val="24"/>
          <w:szCs w:val="24"/>
          <w:vertAlign w:val="superscript"/>
          <w:rtl w:val="0"/>
        </w:rPr>
        <w:t xml:space="preserve">5</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139700</wp:posOffset>
                </wp:positionV>
                <wp:extent cx="1829054" cy="12700"/>
                <wp:effectExtent b="0" l="0" r="0" t="0"/>
                <wp:wrapTopAndBottom distB="0" distT="0"/>
                <wp:docPr id="2" name=""/>
                <a:graphic>
                  <a:graphicData uri="http://schemas.microsoft.com/office/word/2010/wordprocessingShape">
                    <wps:wsp>
                      <wps:cNvSpPr/>
                      <wps:cNvPr id="3" name="Shape 3"/>
                      <wps:spPr>
                        <a:xfrm>
                          <a:off x="5002974" y="3775428"/>
                          <a:ext cx="1829054" cy="914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139700</wp:posOffset>
                </wp:positionV>
                <wp:extent cx="1829054"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829054" cy="12700"/>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71" w:line="480" w:lineRule="auto"/>
        <w:ind w:left="540" w:right="812" w:firstLine="50"/>
        <w:jc w:val="left"/>
        <w:rPr>
          <w:b w:val="0"/>
          <w:bCs w:val="0"/>
          <w:i w:val="0"/>
          <w:iCs w:val="0"/>
          <w:smallCaps w:val="0"/>
          <w:strike w:val="0"/>
          <w:color w:val="000000"/>
          <w:u w:val="none"/>
          <w:shd w:fill="auto" w:val="clear"/>
          <w:vertAlign w:val="baseline"/>
        </w:rPr>
      </w:pPr>
      <w:bookmarkStart w:colFirst="0" w:colLast="0" w:name="_3znysh7" w:id="3"/>
      <w:bookmarkEnd w:id="3"/>
      <w:r w:rsidDel="00000000" w:rsidR="00000000" w:rsidRPr="00000000">
        <w:rPr>
          <w:sz w:val="24"/>
          <w:szCs w:val="24"/>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King,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Commissar Vanishes: The Falsification of Photographs and Art in Stalin’s Russia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York: Metropolitan Books, 1997), 45.</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1"/>
        </w:tabs>
        <w:spacing w:after="0" w:before="71" w:line="480" w:lineRule="auto"/>
        <w:ind w:left="540" w:right="812" w:firstLine="50"/>
        <w:jc w:val="left"/>
        <w:rPr>
          <w:sz w:val="24"/>
          <w:szCs w:val="24"/>
          <w:u w:val="none"/>
        </w:rPr>
        <w:sectPr>
          <w:type w:val="nextPage"/>
          <w:pgSz w:h="16840" w:w="11910" w:orient="portrait"/>
          <w:pgMar w:bottom="280" w:top="1360" w:left="900" w:right="1340" w:header="360" w:footer="360"/>
        </w:sectPr>
      </w:pPr>
      <w:bookmarkStart w:colFirst="0" w:colLast="0" w:name="_p9tih0nxmtxg" w:id="4"/>
      <w:bookmarkEnd w:id="4"/>
      <w:r w:rsidDel="00000000" w:rsidR="00000000" w:rsidRPr="00000000">
        <w:rPr>
          <w:sz w:val="24"/>
          <w:szCs w:val="24"/>
          <w:rtl w:val="0"/>
        </w:rPr>
        <w:tab/>
      </w:r>
      <w:r w:rsidDel="00000000" w:rsidR="00000000" w:rsidRPr="00000000">
        <w:rPr>
          <w:sz w:val="24"/>
          <w:szCs w:val="24"/>
          <w:rtl w:val="0"/>
        </w:rPr>
        <w:t xml:space="preserve">Lange, 45.</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519" w:right="208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519" w:right="2080" w:firstLine="0"/>
        <w:jc w:val="center"/>
        <w:rPr>
          <w:sz w:val="24"/>
          <w:szCs w:val="24"/>
        </w:rPr>
      </w:pPr>
      <w:r w:rsidDel="00000000" w:rsidR="00000000" w:rsidRPr="00000000">
        <w:rPr>
          <w:rtl w:val="0"/>
        </w:rPr>
      </w:r>
    </w:p>
    <w:p w:rsidR="00000000" w:rsidDel="00000000" w:rsidP="00000000" w:rsidRDefault="00000000" w:rsidRPr="00000000" w14:paraId="00000055">
      <w:pPr>
        <w:spacing w:before="158" w:lineRule="auto"/>
        <w:ind w:left="112" w:right="0" w:firstLine="0"/>
        <w:jc w:val="left"/>
        <w:rPr>
          <w:sz w:val="24"/>
          <w:szCs w:val="24"/>
        </w:rPr>
      </w:pPr>
      <w:r w:rsidDel="00000000" w:rsidR="00000000" w:rsidRPr="00000000">
        <w:rPr>
          <w:sz w:val="24"/>
          <w:szCs w:val="24"/>
          <w:rtl w:val="0"/>
        </w:rPr>
        <w:t xml:space="preserve">Foucault, Michel. </w:t>
      </w:r>
      <w:r w:rsidDel="00000000" w:rsidR="00000000" w:rsidRPr="00000000">
        <w:rPr>
          <w:i w:val="1"/>
          <w:iCs w:val="1"/>
          <w:sz w:val="24"/>
          <w:szCs w:val="24"/>
          <w:rtl w:val="0"/>
        </w:rPr>
        <w:t xml:space="preserve">Discipline and Punish: The Birth of the Prison</w:t>
      </w:r>
      <w:r w:rsidDel="00000000" w:rsidR="00000000" w:rsidRPr="00000000">
        <w:rPr>
          <w:sz w:val="24"/>
          <w:szCs w:val="24"/>
          <w:rtl w:val="0"/>
        </w:rPr>
        <w:t xml:space="preserve">. Translated by Alan Sheridan.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Stanford: Stanford University Press, 1998.</w:t>
      </w:r>
      <w:r w:rsidDel="00000000" w:rsidR="00000000" w:rsidRPr="00000000">
        <w:rPr>
          <w:rtl w:val="0"/>
        </w:rPr>
      </w:r>
    </w:p>
    <w:p w:rsidR="00000000" w:rsidDel="00000000" w:rsidP="00000000" w:rsidRDefault="00000000" w:rsidRPr="00000000" w14:paraId="00000057">
      <w:pPr>
        <w:spacing w:before="158" w:lineRule="auto"/>
        <w:ind w:left="112" w:right="0" w:firstLine="0"/>
        <w:jc w:val="left"/>
        <w:rPr>
          <w:sz w:val="24"/>
          <w:szCs w:val="24"/>
        </w:rPr>
      </w:pPr>
      <w:r w:rsidDel="00000000" w:rsidR="00000000" w:rsidRPr="00000000">
        <w:rPr>
          <w:sz w:val="24"/>
          <w:szCs w:val="24"/>
          <w:rtl w:val="0"/>
        </w:rPr>
        <w:t xml:space="preserve">Zuboff, Shoshana. </w:t>
      </w:r>
      <w:r w:rsidDel="00000000" w:rsidR="00000000" w:rsidRPr="00000000">
        <w:rPr>
          <w:i w:val="1"/>
          <w:iCs w:val="1"/>
          <w:sz w:val="24"/>
          <w:szCs w:val="24"/>
          <w:rtl w:val="0"/>
        </w:rPr>
        <w:t xml:space="preserve">The Age of Surveillance Capitalism</w:t>
      </w:r>
      <w:r w:rsidDel="00000000" w:rsidR="00000000" w:rsidRPr="00000000">
        <w:rPr>
          <w:sz w:val="24"/>
          <w:szCs w:val="24"/>
          <w:rtl w:val="0"/>
        </w:rPr>
        <w:t xml:space="preserve">. New York: PublicAffairs, 2019.</w:t>
      </w:r>
    </w:p>
    <w:p w:rsidR="00000000" w:rsidDel="00000000" w:rsidP="00000000" w:rsidRDefault="00000000" w:rsidRPr="00000000" w14:paraId="00000058">
      <w:pPr>
        <w:spacing w:before="158" w:lineRule="auto"/>
        <w:ind w:left="112" w:right="0" w:firstLine="0"/>
        <w:jc w:val="left"/>
        <w:rPr>
          <w:sz w:val="24"/>
          <w:szCs w:val="24"/>
        </w:rPr>
      </w:pPr>
      <w:r w:rsidDel="00000000" w:rsidR="00000000" w:rsidRPr="00000000">
        <w:rPr>
          <w:sz w:val="24"/>
          <w:szCs w:val="24"/>
          <w:rtl w:val="0"/>
        </w:rPr>
        <w:t xml:space="preserve">Ede, Lisa and Andrea A. Lunsford</w:t>
      </w:r>
      <w:r w:rsidDel="00000000" w:rsidR="00000000" w:rsidRPr="00000000">
        <w:rPr>
          <w:sz w:val="24"/>
          <w:szCs w:val="24"/>
          <w:rtl w:val="0"/>
        </w:rPr>
        <w:t xml:space="preserve">. “Collaboration and Concepts of Authorship.” PMLA 116, no. 2 (March 2001): 354-69. </w:t>
      </w:r>
      <w:hyperlink r:id="rId10">
        <w:r w:rsidDel="00000000" w:rsidR="00000000" w:rsidRPr="00000000">
          <w:rPr>
            <w:color w:val="1155cc"/>
            <w:sz w:val="24"/>
            <w:szCs w:val="24"/>
            <w:u w:val="single"/>
            <w:rtl w:val="0"/>
          </w:rPr>
          <w:t xml:space="preserve">http://www.jstor.org/stable/463522</w:t>
        </w:r>
      </w:hyperlink>
      <w:r w:rsidDel="00000000" w:rsidR="00000000" w:rsidRPr="00000000">
        <w:rPr>
          <w:sz w:val="24"/>
          <w:szCs w:val="24"/>
          <w:rtl w:val="0"/>
        </w:rPr>
        <w:t xml:space="preserve">.</w:t>
      </w:r>
    </w:p>
    <w:p w:rsidR="00000000" w:rsidDel="00000000" w:rsidP="00000000" w:rsidRDefault="00000000" w:rsidRPr="00000000" w14:paraId="00000059">
      <w:pPr>
        <w:spacing w:before="158" w:lineRule="auto"/>
        <w:ind w:left="112" w:right="0" w:firstLine="0"/>
        <w:jc w:val="left"/>
        <w:rPr>
          <w:sz w:val="24"/>
          <w:szCs w:val="24"/>
        </w:rPr>
      </w:pPr>
      <w:r w:rsidDel="00000000" w:rsidR="00000000" w:rsidRPr="00000000">
        <w:rPr>
          <w:rtl w:val="0"/>
        </w:rPr>
      </w:r>
    </w:p>
    <w:p w:rsidR="00000000" w:rsidDel="00000000" w:rsidP="00000000" w:rsidRDefault="00000000" w:rsidRPr="00000000" w14:paraId="0000005A">
      <w:pPr>
        <w:spacing w:before="158" w:lineRule="auto"/>
        <w:ind w:left="112" w:firstLine="0"/>
        <w:rPr>
          <w:b w:val="1"/>
          <w:bCs w:val="1"/>
          <w:sz w:val="24"/>
          <w:szCs w:val="24"/>
        </w:rPr>
      </w:pPr>
      <w:r w:rsidDel="00000000" w:rsidR="00000000" w:rsidRPr="00000000">
        <w:rPr>
          <w:rtl w:val="0"/>
        </w:rPr>
      </w:r>
    </w:p>
    <w:p w:rsidR="00000000" w:rsidDel="00000000" w:rsidP="00000000" w:rsidRDefault="00000000" w:rsidRPr="00000000" w14:paraId="0000005B">
      <w:pPr>
        <w:spacing w:before="158" w:lineRule="auto"/>
        <w:ind w:left="112" w:firstLine="0"/>
        <w:rPr>
          <w:b w:val="1"/>
          <w:bCs w:val="1"/>
          <w:sz w:val="24"/>
          <w:szCs w:val="24"/>
        </w:rPr>
      </w:pPr>
      <w:r w:rsidDel="00000000" w:rsidR="00000000" w:rsidRPr="00000000">
        <w:rPr>
          <w:rtl w:val="0"/>
        </w:rPr>
      </w:r>
    </w:p>
    <w:p w:rsidR="00000000" w:rsidDel="00000000" w:rsidP="00000000" w:rsidRDefault="00000000" w:rsidRPr="00000000" w14:paraId="0000005C">
      <w:pPr>
        <w:spacing w:before="158" w:lineRule="auto"/>
        <w:ind w:left="112" w:firstLine="0"/>
        <w:rPr>
          <w:sz w:val="24"/>
          <w:szCs w:val="24"/>
        </w:rPr>
      </w:pPr>
      <w:r w:rsidDel="00000000" w:rsidR="00000000" w:rsidRPr="00000000">
        <w:rPr>
          <w:b w:val="1"/>
          <w:bCs w:val="1"/>
          <w:sz w:val="24"/>
          <w:szCs w:val="24"/>
          <w:rtl w:val="0"/>
        </w:rPr>
        <w:t xml:space="preserve">DISCLAIMER(NOT A PART OF THE FORMAT): </w:t>
      </w:r>
      <w:r w:rsidDel="00000000" w:rsidR="00000000" w:rsidRPr="00000000">
        <w:rPr>
          <w:sz w:val="24"/>
          <w:szCs w:val="24"/>
          <w:rtl w:val="0"/>
        </w:rPr>
        <w:t xml:space="preserve">This is a student-made format and has not been ratified by any office. We recommend caution while using the template; we still encourage you to double-check your citations or consult the CWC for personalized guidance or verification.</w:t>
      </w:r>
    </w:p>
    <w:p w:rsidR="00000000" w:rsidDel="00000000" w:rsidP="00000000" w:rsidRDefault="00000000" w:rsidRPr="00000000" w14:paraId="0000005D">
      <w:pPr>
        <w:spacing w:before="158" w:lineRule="auto"/>
        <w:ind w:left="112" w:firstLine="0"/>
        <w:rPr>
          <w:b w:val="1"/>
          <w:bCs w:val="1"/>
          <w:sz w:val="24"/>
          <w:szCs w:val="24"/>
        </w:rPr>
      </w:pPr>
      <w:r w:rsidDel="00000000" w:rsidR="00000000" w:rsidRPr="00000000">
        <w:rPr>
          <w:sz w:val="24"/>
          <w:szCs w:val="24"/>
          <w:rtl w:val="0"/>
        </w:rPr>
        <w:t xml:space="preserve">The paper is intended to not have logical content continuity and is only a sample. We have largely taken from </w:t>
      </w:r>
      <w:hyperlink r:id="rId11">
        <w:r w:rsidDel="00000000" w:rsidR="00000000" w:rsidRPr="00000000">
          <w:rPr>
            <w:color w:val="1155cc"/>
            <w:sz w:val="24"/>
            <w:szCs w:val="24"/>
            <w:u w:val="single"/>
            <w:rtl w:val="0"/>
          </w:rPr>
          <w:t xml:space="preserve">Purdue Owl’s sample Chicago CMOS NB format</w:t>
        </w:r>
      </w:hyperlink>
      <w:r w:rsidDel="00000000" w:rsidR="00000000" w:rsidRPr="00000000">
        <w:rPr>
          <w:sz w:val="24"/>
          <w:szCs w:val="24"/>
          <w:rtl w:val="0"/>
        </w:rPr>
        <w:t xml:space="preserve">. A lot of content and comments have been copied from there. Some other portions are AI-generated, and the information provided has not been verified for accuracy.</w:t>
      </w:r>
      <w:r w:rsidDel="00000000" w:rsidR="00000000" w:rsidRPr="00000000">
        <w:rPr>
          <w:rtl w:val="0"/>
        </w:rPr>
      </w:r>
    </w:p>
    <w:sectPr>
      <w:type w:val="nextPage"/>
      <w:pgSz w:h="16840" w:w="11910" w:orient="portrait"/>
      <w:pgMar w:bottom="280" w:top="1360" w:left="900" w:right="13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right"/>
      <w:rPr/>
    </w:pPr>
    <w:r w:rsidDel="00000000" w:rsidR="00000000" w:rsidRPr="00000000">
      <w:rPr>
        <w:rtl w:val="0"/>
      </w:rPr>
      <w:t xml:space="preserve">Page Number</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40" w:hanging="300"/>
      </w:pPr>
      <w:rPr>
        <w:rFonts w:ascii="Times New Roman" w:cs="Times New Roman" w:eastAsia="Times New Roman" w:hAnsi="Times New Roman"/>
        <w:sz w:val="24"/>
        <w:szCs w:val="24"/>
      </w:rPr>
    </w:lvl>
    <w:lvl w:ilvl="1">
      <w:start w:val="0"/>
      <w:numFmt w:val="bullet"/>
      <w:lvlText w:val="•"/>
      <w:lvlJc w:val="left"/>
      <w:pPr>
        <w:ind w:left="1722" w:hanging="300"/>
      </w:pPr>
      <w:rPr/>
    </w:lvl>
    <w:lvl w:ilvl="2">
      <w:start w:val="0"/>
      <w:numFmt w:val="bullet"/>
      <w:lvlText w:val="•"/>
      <w:lvlJc w:val="left"/>
      <w:pPr>
        <w:ind w:left="2605" w:hanging="300"/>
      </w:pPr>
      <w:rPr/>
    </w:lvl>
    <w:lvl w:ilvl="3">
      <w:start w:val="0"/>
      <w:numFmt w:val="bullet"/>
      <w:lvlText w:val="•"/>
      <w:lvlJc w:val="left"/>
      <w:pPr>
        <w:ind w:left="3487" w:hanging="300"/>
      </w:pPr>
      <w:rPr/>
    </w:lvl>
    <w:lvl w:ilvl="4">
      <w:start w:val="0"/>
      <w:numFmt w:val="bullet"/>
      <w:lvlText w:val="•"/>
      <w:lvlJc w:val="left"/>
      <w:pPr>
        <w:ind w:left="4370" w:hanging="300"/>
      </w:pPr>
      <w:rPr/>
    </w:lvl>
    <w:lvl w:ilvl="5">
      <w:start w:val="0"/>
      <w:numFmt w:val="bullet"/>
      <w:lvlText w:val="•"/>
      <w:lvlJc w:val="left"/>
      <w:pPr>
        <w:ind w:left="5253" w:hanging="300"/>
      </w:pPr>
      <w:rPr/>
    </w:lvl>
    <w:lvl w:ilvl="6">
      <w:start w:val="0"/>
      <w:numFmt w:val="bullet"/>
      <w:lvlText w:val="•"/>
      <w:lvlJc w:val="left"/>
      <w:pPr>
        <w:ind w:left="6135" w:hanging="300"/>
      </w:pPr>
      <w:rPr/>
    </w:lvl>
    <w:lvl w:ilvl="7">
      <w:start w:val="0"/>
      <w:numFmt w:val="bullet"/>
      <w:lvlText w:val="•"/>
      <w:lvlJc w:val="left"/>
      <w:pPr>
        <w:ind w:left="7018" w:hanging="300"/>
      </w:pPr>
      <w:rPr/>
    </w:lvl>
    <w:lvl w:ilvl="8">
      <w:start w:val="0"/>
      <w:numFmt w:val="bullet"/>
      <w:lvlText w:val="•"/>
      <w:lvlJc w:val="left"/>
      <w:pPr>
        <w:ind w:left="7901" w:hanging="3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wl.purdue.edu/owl/research_and_citation/chicago_manual_17th_edition/cmos_formatting_and_style_guide/cmos_nb_sample_paper.html" TargetMode="External"/><Relationship Id="rId10" Type="http://schemas.openxmlformats.org/officeDocument/2006/relationships/hyperlink" Target="http://www.jstor.org/stable/463522"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2024-11-21T00:00:00Z</vt:lpwstr>
  </property>
  <property fmtid="{D5CDD505-2E9C-101B-9397-08002B2CF9AE}" pid="3" name="Creator">
    <vt:lpwstr>Microsoft® Word 2019</vt:lpwstr>
  </property>
  <property fmtid="{D5CDD505-2E9C-101B-9397-08002B2CF9AE}" pid="4" name="LastSaved">
    <vt:lpwstr>2024-11-27T00:00:00Z</vt:lpwstr>
  </property>
</Properties>
</file>