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568" w:lineRule="auto"/>
        <w:ind w:left="100" w:right="77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Professor’s Name Course Name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November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9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Impact of Social Media on Mental Health</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8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has become an integral part of modern life, influencing the way people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share information, and perceive themselves. While it provides platforms for global connection and self-expression, its effects on mental health have been a subject of growing</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concern. Research suggests that while social media can offer support and build communities, excessive or harmful use may contribute to feelings of inadequacy, anxiety, and depression.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nuanced relationship between social media and mental health is essential for mitigating its negative impacts and promoting healthier online behaviors.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39"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offers significant benefits by enabling individuals to stay connected with friends and family, especially across geographical distances. Platforms like Facebook and Instagram allow users to maintain relationships and reconnect with loved ones, creating a sense of community and belonging. Additionally, for marginalized groups, social media often serves as a safe space to find support and share experiences. A study by Naslund et al. highlights that people with mental health challenges often use social platforms to access peer support, reducing feelings of isolation and fostering 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(Naslund 849)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Furthermore, social media has democratized access to information, allowing users to learn about mental health resources,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pgSz w:h="15840" w:w="12240" w:orient="portrait"/>
          <w:pgMar w:bottom="280" w:top="1360" w:left="1340" w:right="1340" w:header="73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coping strategies, and advocacy movements. For instance, hashtags like #EndTheStigma 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100" w:right="28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#MentalHealthAwareness </w:t>
      </w:r>
      <w:r w:rsidDel="00000000" w:rsidR="00000000" w:rsidRPr="00000000">
        <w:rPr>
          <w:sz w:val="24"/>
          <w:szCs w:val="24"/>
          <w:rtl w:val="0"/>
        </w:rPr>
        <w:t xml:space="preserve">has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raised public awareness and encouraged open discussions about psychological well-being. These movements contribute to normalizing conversations around mental health, which is crucial for breaking down societal taboos. The USDA and Morrill Act worked together to form “. . . State experiment stations and extension services . . . [that] added [to] . . . localized research and education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(Baker et al. 415)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00" w:right="409"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its benefits, social media can also exacerbate mental health issues, particularly among young people. One major concern is the tendency for users to compare themselves to</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curated and often unrealistic portrayals of others’ lives. These comparisons can lead to feelings of inadequacy and low self-esteem. According to Haidt and Twenge, platforms like Instagram</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“perfect storm” for mental health problems by exposing users, especially adolescents, to idealized images and lifestyles that are unattainable (Haidt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This phenomenon is often referred to as “social comparison,” and it has been linked to increased rates of anxiety and depression.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00" w:right="375"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issue is the addictive nature of social media, which can disrupt sleep, reduce productivity, and lead to excessive screen time. The constant notifications and updates create a cycle of dopamine-driven engagement, making it difficult for users to disconnect. Moreover,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cyberbullying and online harassment have become significant challenges, with many individuals experiencing emotional distress due to negative interactions on social media platforms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00" w:right="101"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these concerns, both individuals and institutions must take proactive steps. For individuals, practising mindful social media use can help mitigate its adverse effects. Setting boundaries, such as limiting screen time and taking regular breaks, can reduce overreliance 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platforms. Additionally, curating one’s feed to include positive and supportive content can improve the overall social media experience. At an institutional level, social media companies have a responsibility to prioritize users' mental well-being. This can involve implementin</w:t>
      </w:r>
      <w:r w:rsidDel="00000000" w:rsidR="00000000" w:rsidRPr="00000000">
        <w:rPr>
          <w:sz w:val="24"/>
          <w:szCs w:val="24"/>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like screen time reminders, customizable feeds, and tools to report harassment more effectively. Educational institutions can also play a role by teaching digital literacy and promoting awareness about the psychological effects of social media use.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3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340" w:right="1340" w:header="730" w:footer="0"/>
        </w:sectPr>
      </w:pPr>
      <w:r w:rsidDel="00000000" w:rsidR="00000000" w:rsidRPr="00000000">
        <w:rPr>
          <w:rtl w:val="0"/>
        </w:rPr>
      </w:r>
    </w:p>
    <w:p w:rsidR="00000000" w:rsidDel="00000000" w:rsidP="00000000" w:rsidRDefault="00000000" w:rsidRPr="00000000" w14:paraId="00000017">
      <w:pPr>
        <w:spacing w:before="80" w:lineRule="auto"/>
        <w:ind w:left="4106" w:right="4106" w:firstLine="0"/>
        <w:jc w:val="center"/>
        <w:rPr>
          <w:sz w:val="24"/>
          <w:szCs w:val="24"/>
        </w:rPr>
      </w:pPr>
      <w:r w:rsidDel="00000000" w:rsidR="00000000" w:rsidRPr="00000000">
        <w:rPr>
          <w:sz w:val="24"/>
          <w:szCs w:val="24"/>
          <w:rtl w:val="0"/>
        </w:rPr>
        <w:t xml:space="preserve">Works Cited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Allen, R.L. The American Farm Book; or Compend of American Agriculture; Being a Practical Treatise on Soils, Manures, Draining, Irrigation, Grasses, Grain, Roots, Fruits, Cotton, Tobacco, Sugar Cane, Rice, and Every Staple Product of the United States with the Best Methods of Planting, Cultivating, and Preparation for Market. Saxton, 1849.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Baker, Gladys L., et al.</w:t>
      </w:r>
      <w:r w:rsidDel="00000000" w:rsidR="00000000" w:rsidRPr="00000000">
        <w:rPr>
          <w:sz w:val="24"/>
          <w:szCs w:val="24"/>
          <w:rtl w:val="0"/>
        </w:rPr>
        <w:t xml:space="preserve"> Century of Service: The First 100 Years of the United States Department of Agriculture. [Federal Government], 1996.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Danhof, Clarence H. Change in Agriculture: The Northern United States, 1820-1870. Harvard UP, 1969.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Demaree, Albert Lowther. The American Agricultural Press 1819-1860. Columbia UP, 1941.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Drown, William, and Solomon Drown. Compendium of Agriculture or the Farmer’s Guide, in the Most Essential Parts of Husbandry and Gardening; Compiled from the Best American and European Publications, and the Unwritten Opinions of Experienced Cultivators. Field, 1824.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“Historical Census Browser.” University of Virginia Library, 2007, </w:t>
      </w:r>
      <w:r w:rsidDel="00000000" w:rsidR="00000000" w:rsidRPr="00000000">
        <w:rPr>
          <w:sz w:val="24"/>
          <w:szCs w:val="24"/>
          <w:rtl w:val="0"/>
        </w:rPr>
        <w:t xml:space="preserve">www.mapserver.lib.virginia.edu/. Accessed 6 Dec. 2008.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Hurt, R. Douglas. American Agriculture: A Brief History. Iowa State UP, 1994.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Lorain, John. Nature and Reason Harmonized in the Practice of Husbandry. Carey,1825.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sz w:val="24"/>
          <w:szCs w:val="24"/>
          <w:rtl w:val="0"/>
        </w:rPr>
        <w:t xml:space="preserve">“Morrill Land Grant Act of 1862.” Prairie View A&amp;M, 2003. www.pvamu.edu/ library/about-the-library/history-of-the-library-at-prairie-view/1890-land-granthistory/. Accessed 6 Dec. 2008</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sz w:val="24"/>
          <w:szCs w:val="24"/>
        </w:rPr>
      </w:pPr>
      <w:r w:rsidDel="00000000" w:rsidR="00000000" w:rsidRPr="00000000">
        <w:rPr>
          <w:rtl w:val="0"/>
        </w:rPr>
      </w:r>
    </w:p>
    <w:p w:rsidR="00000000" w:rsidDel="00000000" w:rsidP="00000000" w:rsidRDefault="00000000" w:rsidRPr="00000000" w14:paraId="00000024">
      <w:pPr>
        <w:spacing w:before="158" w:lineRule="auto"/>
        <w:ind w:left="112" w:firstLine="0"/>
        <w:rPr>
          <w:sz w:val="24"/>
          <w:szCs w:val="24"/>
        </w:rPr>
      </w:pPr>
      <w:r w:rsidDel="00000000" w:rsidR="00000000" w:rsidRPr="00000000">
        <w:rPr>
          <w:b w:val="1"/>
          <w:bCs w:val="1"/>
          <w:sz w:val="24"/>
          <w:szCs w:val="24"/>
          <w:rtl w:val="0"/>
        </w:rPr>
        <w:t xml:space="preserve">DISCLAIMER(NOT A PART OF THE FORMAT): </w:t>
      </w:r>
      <w:r w:rsidDel="00000000" w:rsidR="00000000" w:rsidRPr="00000000">
        <w:rPr>
          <w:sz w:val="24"/>
          <w:szCs w:val="24"/>
          <w:rtl w:val="0"/>
        </w:rPr>
        <w:t xml:space="preserve">This is a student-made format and has not been ratified by any office. We recommend caution while using the template; we still encourage you to double-check your citations or consult the CWC for personalized guidance or verification.</w:t>
      </w:r>
    </w:p>
    <w:p w:rsidR="00000000" w:rsidDel="00000000" w:rsidP="00000000" w:rsidRDefault="00000000" w:rsidRPr="00000000" w14:paraId="00000025">
      <w:pPr>
        <w:spacing w:before="158" w:lineRule="auto"/>
        <w:ind w:left="112" w:firstLine="0"/>
        <w:rPr>
          <w:sz w:val="24"/>
          <w:szCs w:val="24"/>
        </w:rPr>
      </w:pPr>
      <w:r w:rsidDel="00000000" w:rsidR="00000000" w:rsidRPr="00000000">
        <w:rPr>
          <w:sz w:val="24"/>
          <w:szCs w:val="24"/>
          <w:rtl w:val="0"/>
        </w:rPr>
        <w:t xml:space="preserve">The paper is intended to not have logical content continuity and is only a sample. We have largely taken from </w:t>
      </w:r>
      <w:hyperlink r:id="rId7">
        <w:r w:rsidDel="00000000" w:rsidR="00000000" w:rsidRPr="00000000">
          <w:rPr>
            <w:color w:val="1155cc"/>
            <w:sz w:val="24"/>
            <w:szCs w:val="24"/>
            <w:u w:val="single"/>
            <w:rtl w:val="0"/>
          </w:rPr>
          <w:t xml:space="preserve">Purdue Owl’s sample MLA format</w:t>
        </w:r>
      </w:hyperlink>
      <w:r w:rsidDel="00000000" w:rsidR="00000000" w:rsidRPr="00000000">
        <w:rPr>
          <w:sz w:val="24"/>
          <w:szCs w:val="24"/>
          <w:rtl w:val="0"/>
        </w:rPr>
        <w:t xml:space="preserve">. A lot of content and comments have been copied from there. Some other portions are AI-generated, and the information provided has not been verified for accuracy.</w:t>
      </w:r>
    </w:p>
    <w:p w:rsidR="00000000" w:rsidDel="00000000" w:rsidP="00000000" w:rsidRDefault="00000000" w:rsidRPr="00000000" w14:paraId="00000026">
      <w:pPr>
        <w:spacing w:before="1" w:line="480" w:lineRule="auto"/>
        <w:ind w:left="820" w:right="277" w:hanging="720"/>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20" w:right="0" w:hanging="720"/>
        <w:jc w:val="left"/>
        <w:rPr>
          <w:b w:val="1"/>
          <w:bCs w:val="1"/>
          <w:sz w:val="24"/>
          <w:szCs w:val="24"/>
        </w:rPr>
      </w:pPr>
      <w:r w:rsidDel="00000000" w:rsidR="00000000" w:rsidRPr="00000000">
        <w:rPr>
          <w:rtl w:val="0"/>
        </w:rPr>
      </w:r>
    </w:p>
    <w:sectPr>
      <w:type w:val="nextPage"/>
      <w:pgSz w:h="15840" w:w="12240" w:orient="portrait"/>
      <w:pgMar w:bottom="280" w:top="1360" w:left="1340" w:right="1340" w:header="7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Surname Page Number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owl.purdue.edu/owl/research_and_citation/mla_style/mla_formatting_and_style_guide/mla_sample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