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Quantitative Survey Platform</w:t>
        <w:br/>
        <w:t>PRD v1.0</w:t>
      </w:r>
    </w:p>
    <w:p>
      <w:pPr>
        <w:jc w:val="center"/>
      </w:pPr>
      <w:r>
        <w:rPr>
          <w:b/>
        </w:rPr>
        <w:t>Frozen product requirements for MVP implementation</w:t>
      </w:r>
    </w:p>
    <w:p>
      <w:pPr>
        <w:jc w:val="center"/>
      </w:pPr>
      <w:r>
        <w:t>Status: Approved for implementation | Date: 25 August 2026</w:t>
      </w:r>
    </w:p>
    <w:p>
      <w:pPr/>
      <w:r>
        <w:rPr>
          <w:i/>
        </w:rPr>
        <w:t>Approved post-v1.0 amendment — 27 August 2026: employee onboarding uses a 72-hour, one-time tokenized invitation while preserving Admin-controlled exact email and role assignment.</w:t>
      </w:r>
    </w:p>
    <w:p>
      <w:r>
        <w:t>Purpose. This document is the product source of truth for the MVP. Architecture and implementation must conform to these requirements. If implementation reveals a contradiction, the developer must stop and ask rather than silently change product behaviour.</w:t>
      </w:r>
    </w:p>
    <w:p>
      <w:pPr>
        <w:pStyle w:val="Heading1"/>
      </w:pPr>
      <w:r>
        <w:t>1. Product objective and scope</w:t>
      </w:r>
    </w:p>
    <w:p>
      <w:r>
        <w:t>Build an internal platform for creating and running quantitative surveys, collecting partial and complete responses, calculating aggregate results on demand, and retaining respondent-level data for authorised research follow-up.</w:t>
      </w:r>
    </w:p>
    <w:p>
      <w:pPr>
        <w:pStyle w:val="ListBullet"/>
      </w:pPr>
      <w:r>
        <w:t>Two surfaces: internal employee platform and public respondent survey.</w:t>
      </w:r>
    </w:p>
    <w:p>
      <w:pPr>
        <w:pStyle w:val="ListBullet"/>
      </w:pPr>
      <w:r>
        <w:t>Responsive web experience for desktop and mobile.</w:t>
      </w:r>
    </w:p>
    <w:p>
      <w:pPr>
        <w:pStyle w:val="ListBullet"/>
      </w:pPr>
      <w:r>
        <w:t>Maximum 15 active internal employee accounts.</w:t>
      </w:r>
    </w:p>
    <w:p>
      <w:pPr>
        <w:pStyle w:val="ListBullet"/>
      </w:pPr>
      <w:r>
        <w:t>Mandatory infrastructure cost for MVP: $0. The product must remain within verified free-tier constraints and use capacity protection rather than silently incur paid usage.</w:t>
      </w:r>
    </w:p>
    <w:p>
      <w:pPr>
        <w:pStyle w:val="ListBullet"/>
      </w:pPr>
      <w:r>
        <w:t>No live question-result aggregation. Results are calculated only when an authorised employee explicitly requests a calculation.</w:t>
      </w:r>
    </w:p>
    <w:p>
      <w:pPr>
        <w:pStyle w:val="ListBullet"/>
      </w:pPr>
      <w:r>
        <w:t>No SMS, OTP, Redis, queue, paid authentication, object storage, AI service, or mandatory monitoring SaaS.</w:t>
      </w:r>
    </w:p>
    <w:p>
      <w:pPr>
        <w:pStyle w:val="Heading1"/>
      </w:pPr>
      <w:r>
        <w:t>2. Internal employee roles and onboarding</w:t>
      </w:r>
    </w:p>
    <w:p>
      <w:r>
        <w:t>The platform has exactly three roles. Admin assigns the role before registration through an exact-email, tokenized invitation.</w:t>
      </w:r>
    </w:p>
    <w:p>
      <w:pPr>
        <w:pStyle w:val="ListBullet"/>
      </w:pPr>
      <w:r>
        <w:t>Admin enters an exact email and assigns PRODUCT_MANAGER, RESEARCHER, or ADMIN. There is no employee-domain restriction in the MVP.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Capability</w:t>
            </w:r>
          </w:p>
        </w:tc>
        <w:tc>
          <w:tcPr>
            <w:tcW w:type="dxa" w:w="2484"/>
            <w:vAlign w:val="center"/>
          </w:tcPr>
          <w:p>
            <w:r>
              <w:rPr>
                <w:b/>
              </w:rPr>
              <w:t>Product Manager</w:t>
            </w:r>
          </w:p>
        </w:tc>
        <w:tc>
          <w:tcPr>
            <w:tcW w:type="dxa" w:w="2484"/>
            <w:vAlign w:val="center"/>
          </w:tcPr>
          <w:p>
            <w:r>
              <w:rPr>
                <w:b/>
              </w:rPr>
              <w:t>Researcher</w:t>
            </w:r>
          </w:p>
        </w:tc>
        <w:tc>
          <w:tcPr>
            <w:tcW w:type="dxa" w:w="2484"/>
            <w:vAlign w:val="center"/>
          </w:tcPr>
          <w:p>
            <w:r>
              <w:rPr>
                <w:b/>
              </w:rPr>
              <w:t>Admin</w:t>
            </w:r>
          </w:p>
        </w:tc>
      </w:tr>
      <w:tr>
        <w:tc>
          <w:tcPr>
            <w:tcW w:type="dxa" w:w="2484"/>
            <w:vAlign w:val="top"/>
          </w:tcPr>
          <w:p>
            <w:r>
              <w:t>View all non-deleted surveys/questionnaires</w:t>
            </w:r>
          </w:p>
        </w:tc>
        <w:tc>
          <w:tcPr>
            <w:tcW w:type="dxa" w:w="2484"/>
            <w:vAlign w:val="top"/>
          </w:tcPr>
          <w:p>
            <w:r>
              <w:t>Yes</w:t>
            </w:r>
          </w:p>
        </w:tc>
        <w:tc>
          <w:tcPr>
            <w:tcW w:type="dxa" w:w="2484"/>
            <w:vAlign w:val="top"/>
          </w:tcPr>
          <w:p>
            <w:r>
              <w:t>Yes</w:t>
            </w:r>
          </w:p>
        </w:tc>
        <w:tc>
          <w:tcPr>
            <w:tcW w:type="dxa" w:w="2484"/>
            <w:vAlign w:val="top"/>
          </w:tcPr>
          <w:p>
            <w:r>
              <w:t>Yes</w:t>
            </w:r>
          </w:p>
        </w:tc>
      </w:tr>
      <w:tr>
        <w:tc>
          <w:tcPr>
            <w:tcW w:type="dxa" w:w="2484"/>
            <w:vAlign w:val="top"/>
          </w:tcPr>
          <w:p>
            <w:r>
              <w:t>View operational counters and aggregate result snapshots</w:t>
            </w:r>
          </w:p>
        </w:tc>
        <w:tc>
          <w:tcPr>
            <w:tcW w:type="dxa" w:w="2484"/>
            <w:vAlign w:val="top"/>
          </w:tcPr>
          <w:p>
            <w:r>
              <w:t>Yes</w:t>
            </w:r>
          </w:p>
        </w:tc>
        <w:tc>
          <w:tcPr>
            <w:tcW w:type="dxa" w:w="2484"/>
            <w:vAlign w:val="top"/>
          </w:tcPr>
          <w:p>
            <w:r>
              <w:t>Yes</w:t>
            </w:r>
          </w:p>
        </w:tc>
        <w:tc>
          <w:tcPr>
            <w:tcW w:type="dxa" w:w="2484"/>
            <w:vAlign w:val="top"/>
          </w:tcPr>
          <w:p>
            <w:r>
              <w:t>Yes</w:t>
            </w:r>
          </w:p>
        </w:tc>
      </w:tr>
      <w:tr>
        <w:tc>
          <w:tcPr>
            <w:tcW w:type="dxa" w:w="2484"/>
            <w:vAlign w:val="top"/>
          </w:tcPr>
          <w:p>
            <w:r>
              <w:t>Create/duplicate survey</w:t>
            </w:r>
          </w:p>
        </w:tc>
        <w:tc>
          <w:tcPr>
            <w:tcW w:type="dxa" w:w="2484"/>
            <w:vAlign w:val="top"/>
          </w:tcPr>
          <w:p>
            <w:r>
              <w:t>Yes</w:t>
            </w:r>
          </w:p>
        </w:tc>
        <w:tc>
          <w:tcPr>
            <w:tcW w:type="dxa" w:w="2484"/>
            <w:vAlign w:val="top"/>
          </w:tcPr>
          <w:p>
            <w:r>
              <w:t>Yes</w:t>
            </w:r>
          </w:p>
        </w:tc>
        <w:tc>
          <w:tcPr>
            <w:tcW w:type="dxa" w:w="2484"/>
            <w:vAlign w:val="top"/>
          </w:tcPr>
          <w:p>
            <w:r>
              <w:t>Yes</w:t>
            </w:r>
          </w:p>
        </w:tc>
      </w:tr>
      <w:tr>
        <w:tc>
          <w:tcPr>
            <w:tcW w:type="dxa" w:w="2484"/>
            <w:vAlign w:val="top"/>
          </w:tcPr>
          <w:p>
            <w:r>
              <w:t>Edit/activate/pause/reactivate/complete own survey</w:t>
            </w:r>
          </w:p>
        </w:tc>
        <w:tc>
          <w:tcPr>
            <w:tcW w:type="dxa" w:w="2484"/>
            <w:vAlign w:val="top"/>
          </w:tcPr>
          <w:p>
            <w:r>
              <w:t>Yes</w:t>
            </w:r>
          </w:p>
        </w:tc>
        <w:tc>
          <w:tcPr>
            <w:tcW w:type="dxa" w:w="2484"/>
            <w:vAlign w:val="top"/>
          </w:tcPr>
          <w:p>
            <w:r>
              <w:t>Yes</w:t>
            </w:r>
          </w:p>
        </w:tc>
        <w:tc>
          <w:tcPr>
            <w:tcW w:type="dxa" w:w="2484"/>
            <w:vAlign w:val="top"/>
          </w:tcPr>
          <w:p>
            <w:r>
              <w:t>Yes</w:t>
            </w:r>
          </w:p>
        </w:tc>
      </w:tr>
      <w:tr>
        <w:tc>
          <w:tcPr>
            <w:tcW w:type="dxa" w:w="2484"/>
            <w:vAlign w:val="top"/>
          </w:tcPr>
          <w:p>
            <w:r>
              <w:t>Calculate results for own survey</w:t>
            </w:r>
          </w:p>
        </w:tc>
        <w:tc>
          <w:tcPr>
            <w:tcW w:type="dxa" w:w="2484"/>
            <w:vAlign w:val="top"/>
          </w:tcPr>
          <w:p>
            <w:r>
              <w:t>Yes</w:t>
            </w:r>
          </w:p>
        </w:tc>
        <w:tc>
          <w:tcPr>
            <w:tcW w:type="dxa" w:w="2484"/>
            <w:vAlign w:val="top"/>
          </w:tcPr>
          <w:p>
            <w:r>
              <w:t>Yes</w:t>
            </w:r>
          </w:p>
        </w:tc>
        <w:tc>
          <w:tcPr>
            <w:tcW w:type="dxa" w:w="2484"/>
            <w:vAlign w:val="top"/>
          </w:tcPr>
          <w:p>
            <w:r>
              <w:t>Yes</w:t>
            </w:r>
          </w:p>
        </w:tc>
      </w:tr>
      <w:tr>
        <w:tc>
          <w:tcPr>
            <w:tcW w:type="dxa" w:w="2484"/>
            <w:vAlign w:val="top"/>
          </w:tcPr>
          <w:p>
            <w:r>
              <w:t>Manage another owner's survey lifecycle / calculate its results</w:t>
            </w:r>
          </w:p>
        </w:tc>
        <w:tc>
          <w:tcPr>
            <w:tcW w:type="dxa" w:w="2484"/>
            <w:vAlign w:val="top"/>
          </w:tcPr>
          <w:p>
            <w:r>
              <w:t>No</w:t>
            </w:r>
          </w:p>
        </w:tc>
        <w:tc>
          <w:tcPr>
            <w:tcW w:type="dxa" w:w="2484"/>
            <w:vAlign w:val="top"/>
          </w:tcPr>
          <w:p>
            <w:r>
              <w:t>No</w:t>
            </w:r>
          </w:p>
        </w:tc>
        <w:tc>
          <w:tcPr>
            <w:tcW w:type="dxa" w:w="2484"/>
            <w:vAlign w:val="top"/>
          </w:tcPr>
          <w:p>
            <w:r>
              <w:t>Yes</w:t>
            </w:r>
          </w:p>
        </w:tc>
      </w:tr>
      <w:tr>
        <w:tc>
          <w:tcPr>
            <w:tcW w:type="dxa" w:w="2484"/>
            <w:vAlign w:val="top"/>
          </w:tcPr>
          <w:p>
            <w:r>
              <w:t>View respondent-level rows, IDs, names, phones, raw answers</w:t>
            </w:r>
          </w:p>
        </w:tc>
        <w:tc>
          <w:tcPr>
            <w:tcW w:type="dxa" w:w="2484"/>
            <w:vAlign w:val="top"/>
          </w:tcPr>
          <w:p>
            <w:r>
              <w:t>No</w:t>
            </w:r>
          </w:p>
        </w:tc>
        <w:tc>
          <w:tcPr>
            <w:tcW w:type="dxa" w:w="2484"/>
            <w:vAlign w:val="top"/>
          </w:tcPr>
          <w:p>
            <w:r>
              <w:t>Yes</w:t>
            </w:r>
          </w:p>
        </w:tc>
        <w:tc>
          <w:tcPr>
            <w:tcW w:type="dxa" w:w="2484"/>
            <w:vAlign w:val="top"/>
          </w:tcPr>
          <w:p>
            <w:r>
              <w:t>Yes</w:t>
            </w:r>
          </w:p>
        </w:tc>
      </w:tr>
      <w:tr>
        <w:tc>
          <w:tcPr>
            <w:tcW w:type="dxa" w:w="2484"/>
            <w:vAlign w:val="top"/>
          </w:tcPr>
          <w:p>
            <w:r>
              <w:t>Export respondent-level XLSX / archived attempts / free-text rows</w:t>
            </w:r>
          </w:p>
        </w:tc>
        <w:tc>
          <w:tcPr>
            <w:tcW w:type="dxa" w:w="2484"/>
            <w:vAlign w:val="top"/>
          </w:tcPr>
          <w:p>
            <w:r>
              <w:t>No</w:t>
            </w:r>
          </w:p>
        </w:tc>
        <w:tc>
          <w:tcPr>
            <w:tcW w:type="dxa" w:w="2484"/>
            <w:vAlign w:val="top"/>
          </w:tcPr>
          <w:p>
            <w:r>
              <w:t>Yes</w:t>
            </w:r>
          </w:p>
        </w:tc>
        <w:tc>
          <w:tcPr>
            <w:tcW w:type="dxa" w:w="2484"/>
            <w:vAlign w:val="top"/>
          </w:tcPr>
          <w:p>
            <w:r>
              <w:t>Yes</w:t>
            </w:r>
          </w:p>
        </w:tc>
      </w:tr>
      <w:tr>
        <w:tc>
          <w:tcPr>
            <w:tcW w:type="dxa" w:w="2484"/>
            <w:vAlign w:val="top"/>
          </w:tcPr>
          <w:p>
            <w:r>
              <w:t>Manage employees, roles, infrastructure controls, tombstones</w:t>
            </w:r>
          </w:p>
        </w:tc>
        <w:tc>
          <w:tcPr>
            <w:tcW w:type="dxa" w:w="2484"/>
            <w:vAlign w:val="top"/>
          </w:tcPr>
          <w:p>
            <w:r>
              <w:t>No</w:t>
            </w:r>
          </w:p>
        </w:tc>
        <w:tc>
          <w:tcPr>
            <w:tcW w:type="dxa" w:w="2484"/>
            <w:vAlign w:val="top"/>
          </w:tcPr>
          <w:p>
            <w:r>
              <w:t>No</w:t>
            </w:r>
          </w:p>
        </w:tc>
        <w:tc>
          <w:tcPr>
            <w:tcW w:type="dxa" w:w="2484"/>
            <w:vAlign w:val="top"/>
          </w:tcPr>
          <w:p>
            <w:r>
              <w:t>Yes</w:t>
            </w:r>
          </w:p>
        </w:tc>
      </w:tr>
    </w:tbl>
    <w:p>
      <w:pPr>
        <w:pStyle w:val="ListBullet"/>
      </w:pPr>
      <w:r>
        <w:t>The system sends /accept-invitation?token=... using a cryptographically secure, single-use invitation token that expires after 72 hours; only its hash is stored.</w:t>
      </w:r>
    </w:p>
    <w:p>
      <w:pPr>
        <w:pStyle w:val="ListBullet"/>
      </w:pPr>
      <w:r>
        <w:t>The invitation page displays the invited email as read-only. The employee supplies display name and password only and cannot select or alter email or role.</w:t>
      </w:r>
    </w:p>
    <w:p>
      <w:pPr>
        <w:pStyle w:val="ListBullet"/>
      </w:pPr>
      <w:r>
        <w:t>Invitation statuses: INVITED, REGISTERED, DISABLED.</w:t>
      </w:r>
    </w:p>
    <w:p>
      <w:pPr>
        <w:pStyle w:val="ListBullet"/>
      </w:pPr>
      <w:r>
        <w:t>Acceptance atomically verifies and consumes the invitation, creates the employee and credential using the Admin-assigned email and role, and prevents token reuse.</w:t>
      </w:r>
    </w:p>
    <w:p>
      <w:pPr>
        <w:pStyle w:val="ListBullet"/>
      </w:pPr>
      <w:r>
        <w:t>Admin may resend an INVITED invitation. Resend rotates the token, resets expiry to 72 hours, and invalidates the old link immediately. Expired invitations remain INVITED but cannot be accepted.</w:t>
      </w:r>
    </w:p>
    <w:p>
      <w:pPr>
        <w:pStyle w:val="ListBullet"/>
      </w:pPr>
      <w:r>
        <w:t>Only Admin can change roles or disable/re-enable employees. Role changes are audited and invalidate existing sessions.</w:t>
      </w:r>
    </w:p>
    <w:p>
      <w:pPr>
        <w:pStyle w:val="ListBullet"/>
      </w:pPr>
      <w:r>
        <w:t>Maximum 15 ACTIVE registered employees. INVITED invitations and disabled employees do not count toward the limit.</w:t>
      </w:r>
    </w:p>
    <w:p>
      <w:pPr>
        <w:pStyle w:val="ListBullet"/>
      </w:pPr>
      <w:r>
        <w:t>No last-Admin safeguard is included in the MVP; it is a possible future hardening item.</w:t>
      </w:r>
    </w:p>
    <w:p>
      <w:pPr>
        <w:pStyle w:val="ListBullet"/>
      </w:pPr>
      <w:r>
        <w:t>Forgot password: secure email reset link, expiring single-use token, new password replaces old hash.</w:t>
      </w:r>
    </w:p>
    <w:p>
      <w:pPr>
        <w:pStyle w:val="Heading1"/>
      </w:pPr>
      <w:r>
        <w:t>3. Survey list and lifecycle</w:t>
      </w:r>
    </w:p>
    <w:p>
      <w:pPr>
        <w:pStyle w:val="ListBullet"/>
      </w:pPr>
      <w:r>
        <w:t>Internal platform sections: Create New Survey, Active/Operational Surveys, Survey History.</w:t>
      </w:r>
    </w:p>
    <w:p>
      <w:pPr>
        <w:pStyle w:val="ListBullet"/>
      </w:pPr>
      <w:r>
        <w:t>Every survey displays its author/employee.</w:t>
      </w:r>
    </w:p>
    <w:p>
      <w:pPr>
        <w:pStyle w:val="ListBullet"/>
      </w:pPr>
      <w:r>
        <w:t>Draft may contain zero questions and is editable only by its owner or according to Admin lifecycle privileges defined in architecture.</w:t>
      </w:r>
    </w:p>
    <w:p>
      <w:pPr>
        <w:pStyle w:val="ListBullet"/>
      </w:pPr>
      <w:r>
        <w:t>Activation requires at least 1 valid question and no more than 50 questions.</w:t>
      </w:r>
    </w:p>
    <w:p>
      <w:pPr>
        <w:pStyle w:val="ListBullet"/>
      </w:pPr>
      <w:r>
        <w:t>After activation, the questionnaire instrument is immutable: question text, type, required flag, answer options and order cannot change.</w:t>
      </w:r>
    </w:p>
    <w:p>
      <w:pPr>
        <w:pStyle w:val="ListBullet"/>
      </w:pPr>
      <w:r>
        <w:t>Active/Completed surveys can be duplicated into a new Draft; responses, dates and results are not copied.</w:t>
      </w:r>
    </w:p>
    <w:p>
      <w:pPr>
        <w:pStyle w:val="ListBullet"/>
      </w:pPr>
      <w:r>
        <w:t>Temporary pause is reversible. Permanent completion moves the research to History.</w:t>
      </w:r>
    </w:p>
    <w:p>
      <w:pPr>
        <w:pStyle w:val="ListBullet"/>
      </w:pPr>
      <w:r>
        <w:t>Admin may tombstone data-bearing surveys; hard delete is limited to eligible empty Drafts.</w:t>
      </w:r>
    </w:p>
    <w:p>
      <w:pPr>
        <w:pStyle w:val="Heading2"/>
      </w:pPr>
      <w:r>
        <w:t>4. Survey statuses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Status</w:t>
            </w:r>
          </w:p>
        </w:tc>
        <w:tc>
          <w:tcPr>
            <w:tcW w:type="dxa" w:w="1987"/>
            <w:vAlign w:val="center"/>
          </w:tcPr>
          <w:p>
            <w:r>
              <w:rPr>
                <w:b/>
              </w:rPr>
              <w:t>Meaning</w:t>
            </w:r>
          </w:p>
        </w:tc>
        <w:tc>
          <w:tcPr>
            <w:tcW w:type="dxa" w:w="1987"/>
            <w:vAlign w:val="center"/>
          </w:tcPr>
          <w:p>
            <w:r>
              <w:rPr>
                <w:b/>
              </w:rPr>
              <w:t>New respondents</w:t>
            </w:r>
          </w:p>
        </w:tc>
        <w:tc>
          <w:tcPr>
            <w:tcW w:type="dxa" w:w="1987"/>
            <w:vAlign w:val="center"/>
          </w:tcPr>
          <w:p>
            <w:r>
              <w:rPr>
                <w:b/>
              </w:rPr>
              <w:t>Existing attempts</w:t>
            </w:r>
          </w:p>
        </w:tc>
        <w:tc>
          <w:tcPr>
            <w:tcW w:type="dxa" w:w="1987"/>
            <w:vAlign w:val="center"/>
          </w:tcPr>
          <w:p>
            <w:r>
              <w:rPr>
                <w:b/>
              </w:rPr>
              <w:t>Reversible</w:t>
            </w:r>
          </w:p>
        </w:tc>
      </w:tr>
      <w:tr>
        <w:tc>
          <w:tcPr>
            <w:tcW w:type="dxa" w:w="1987"/>
            <w:vAlign w:val="top"/>
          </w:tcPr>
          <w:p>
            <w:r>
              <w:t>DRAFT</w:t>
            </w:r>
          </w:p>
        </w:tc>
        <w:tc>
          <w:tcPr>
            <w:tcW w:type="dxa" w:w="1987"/>
            <w:vAlign w:val="top"/>
          </w:tcPr>
          <w:p>
            <w:r>
              <w:t>Being built; public collection unavailable</w:t>
            </w:r>
          </w:p>
        </w:tc>
        <w:tc>
          <w:tcPr>
            <w:tcW w:type="dxa" w:w="1987"/>
            <w:vAlign w:val="top"/>
          </w:tcPr>
          <w:p>
            <w:r>
              <w:t>No</w:t>
            </w:r>
          </w:p>
        </w:tc>
        <w:tc>
          <w:tcPr>
            <w:tcW w:type="dxa" w:w="1987"/>
            <w:vAlign w:val="top"/>
          </w:tcPr>
          <w:p>
            <w:r>
              <w:t>N/A</w:t>
            </w:r>
          </w:p>
        </w:tc>
        <w:tc>
          <w:tcPr>
            <w:tcW w:type="dxa" w:w="1987"/>
            <w:vAlign w:val="top"/>
          </w:tcPr>
          <w:p>
            <w:r>
              <w:t>Yes</w:t>
            </w:r>
          </w:p>
        </w:tc>
      </w:tr>
      <w:tr>
        <w:tc>
          <w:tcPr>
            <w:tcW w:type="dxa" w:w="1987"/>
            <w:vAlign w:val="top"/>
          </w:tcPr>
          <w:p>
            <w:r>
              <w:t>ACTIVE</w:t>
            </w:r>
          </w:p>
        </w:tc>
        <w:tc>
          <w:tcPr>
            <w:tcW w:type="dxa" w:w="1987"/>
            <w:vAlign w:val="top"/>
          </w:tcPr>
          <w:p>
            <w:r>
              <w:t>Accepting new and existing responses</w:t>
            </w:r>
          </w:p>
        </w:tc>
        <w:tc>
          <w:tcPr>
            <w:tcW w:type="dxa" w:w="1987"/>
            <w:vAlign w:val="top"/>
          </w:tcPr>
          <w:p>
            <w:r>
              <w:t>Yes</w:t>
            </w:r>
          </w:p>
        </w:tc>
        <w:tc>
          <w:tcPr>
            <w:tcW w:type="dxa" w:w="1987"/>
            <w:vAlign w:val="top"/>
          </w:tcPr>
          <w:p>
            <w:r>
              <w:t>Yes</w:t>
            </w:r>
          </w:p>
        </w:tc>
        <w:tc>
          <w:tcPr>
            <w:tcW w:type="dxa" w:w="1987"/>
            <w:vAlign w:val="top"/>
          </w:tcPr>
          <w:p>
            <w:r>
              <w:t>Yes</w:t>
            </w:r>
          </w:p>
        </w:tc>
      </w:tr>
      <w:tr>
        <w:tc>
          <w:tcPr>
            <w:tcW w:type="dxa" w:w="1987"/>
            <w:vAlign w:val="top"/>
          </w:tcPr>
          <w:p>
            <w:r>
              <w:t>PENDING_CAPACITY</w:t>
            </w:r>
          </w:p>
        </w:tc>
        <w:tc>
          <w:tcPr>
            <w:tcW w:type="dxa" w:w="1987"/>
            <w:vAlign w:val="top"/>
          </w:tcPr>
          <w:p>
            <w:r>
              <w:t>Temporarily paused for capacity/manual control</w:t>
            </w:r>
          </w:p>
        </w:tc>
        <w:tc>
          <w:tcPr>
            <w:tcW w:type="dxa" w:w="1987"/>
            <w:vAlign w:val="top"/>
          </w:tcPr>
          <w:p>
            <w:r>
              <w:t>No</w:t>
            </w:r>
          </w:p>
        </w:tc>
        <w:tc>
          <w:tcPr>
            <w:tcW w:type="dxa" w:w="1987"/>
            <w:vAlign w:val="top"/>
          </w:tcPr>
          <w:p>
            <w:r>
              <w:t>Existing valid attempts may continue within edit window</w:t>
            </w:r>
          </w:p>
        </w:tc>
        <w:tc>
          <w:tcPr>
            <w:tcW w:type="dxa" w:w="1987"/>
            <w:vAlign w:val="top"/>
          </w:tcPr>
          <w:p>
            <w:r>
              <w:t>Yes</w:t>
            </w:r>
          </w:p>
        </w:tc>
      </w:tr>
      <w:tr>
        <w:tc>
          <w:tcPr>
            <w:tcW w:type="dxa" w:w="1987"/>
            <w:vAlign w:val="top"/>
          </w:tcPr>
          <w:p>
            <w:r>
              <w:t>COMPLETED</w:t>
            </w:r>
          </w:p>
        </w:tc>
        <w:tc>
          <w:tcPr>
            <w:tcW w:type="dxa" w:w="1987"/>
            <w:vAlign w:val="top"/>
          </w:tcPr>
          <w:p>
            <w:r>
              <w:t>Research deliberately finished; retained in History</w:t>
            </w:r>
          </w:p>
        </w:tc>
        <w:tc>
          <w:tcPr>
            <w:tcW w:type="dxa" w:w="1987"/>
            <w:vAlign w:val="top"/>
          </w:tcPr>
          <w:p>
            <w:r>
              <w:t>No</w:t>
            </w:r>
          </w:p>
        </w:tc>
        <w:tc>
          <w:tcPr>
            <w:tcW w:type="dxa" w:w="1987"/>
            <w:vAlign w:val="top"/>
          </w:tcPr>
          <w:p>
            <w:r>
              <w:t>No further edits</w:t>
            </w:r>
          </w:p>
        </w:tc>
        <w:tc>
          <w:tcPr>
            <w:tcW w:type="dxa" w:w="1987"/>
            <w:vAlign w:val="top"/>
          </w:tcPr>
          <w:p>
            <w:r>
              <w:t>No by default</w:t>
            </w:r>
          </w:p>
        </w:tc>
      </w:tr>
    </w:tbl>
    <w:p>
      <w:pPr>
        <w:pStyle w:val="Heading1"/>
      </w:pPr>
      <w:r>
        <w:t>5. Survey builder</w:t>
      </w:r>
    </w:p>
    <w:p>
      <w:pPr>
        <w:pStyle w:val="ListBullet"/>
      </w:pPr>
      <w:r>
        <w:t>Maximum 50 questions per survey.</w:t>
      </w:r>
    </w:p>
    <w:p>
      <w:pPr>
        <w:pStyle w:val="ListBullet"/>
      </w:pPr>
      <w:r>
        <w:t>Question types: single choice, multiple choice, free text.</w:t>
      </w:r>
    </w:p>
    <w:p>
      <w:pPr>
        <w:pStyle w:val="ListBullet"/>
      </w:pPr>
      <w:r>
        <w:t>Each question is explicitly marked Required or Optional by the survey creator.</w:t>
      </w:r>
    </w:p>
    <w:p>
      <w:pPr>
        <w:pStyle w:val="ListBullet"/>
      </w:pPr>
      <w:r>
        <w:t>Choice questions support a maximum of 11 answer options.</w:t>
      </w:r>
    </w:p>
    <w:p>
      <w:pPr>
        <w:pStyle w:val="ListBullet"/>
      </w:pPr>
      <w:r>
        <w:t>Question order is controlled by the creator.</w:t>
      </w:r>
    </w:p>
    <w:p>
      <w:pPr>
        <w:pStyle w:val="ListBullet"/>
      </w:pPr>
      <w:r>
        <w:t>Required questions cannot be left unanswered when the respondent uses the final Submit action, but partial autosaved responses are still retained.</w:t>
      </w:r>
    </w:p>
    <w:p>
      <w:pPr>
        <w:pStyle w:val="ListBullet"/>
      </w:pPr>
      <w:r>
        <w:t>Survey title/description and questionnaire structure are preserved in History.</w:t>
      </w:r>
    </w:p>
    <w:p>
      <w:pPr>
        <w:pStyle w:val="Heading1"/>
      </w:pPr>
      <w:r>
        <w:t>6. Public respondent experience</w:t>
      </w:r>
    </w:p>
    <w:p>
      <w:pPr>
        <w:pStyle w:val="ListBullet"/>
      </w:pPr>
      <w:r>
        <w:t>Public survey is accessible without respondent account registration.</w:t>
      </w:r>
    </w:p>
    <w:p>
      <w:pPr>
        <w:pStyle w:val="ListBullet"/>
      </w:pPr>
      <w:r>
        <w:t>Responsive on desktop and mobile.</w:t>
      </w:r>
    </w:p>
    <w:p>
      <w:pPr>
        <w:pStyle w:val="ListBullet"/>
      </w:pPr>
      <w:r>
        <w:t>Opening an ACTIVE or PENDING_CAPACITY public link creates/reuses a PII-free public survey session used for the Opened metric.</w:t>
      </w:r>
    </w:p>
    <w:p>
      <w:pPr>
        <w:pStyle w:val="ListBullet"/>
      </w:pPr>
      <w:r>
        <w:t>On ACTIVE survey, respondent enters name and phone before a canonical Respondent/current attempt is created.</w:t>
      </w:r>
    </w:p>
    <w:p>
      <w:pPr>
        <w:pStyle w:val="ListBullet"/>
      </w:pPr>
      <w:r>
        <w:t>Phone input uses country selector and server-side E.164 normalisation.</w:t>
      </w:r>
    </w:p>
    <w:p>
      <w:pPr>
        <w:pStyle w:val="ListBullet"/>
      </w:pPr>
      <w:r>
        <w:t>On PENDING_CAPACITY, new visitors see: 'This survey is temporarily not accepting new responses.' They do not enter name/phone and cannot start.</w:t>
      </w:r>
    </w:p>
    <w:p>
      <w:pPr>
        <w:pStyle w:val="ListBullet"/>
      </w:pPr>
      <w:r>
        <w:t>Existing valid attempts may continue during PENDING_CAPACITY.</w:t>
      </w:r>
    </w:p>
    <w:p>
      <w:pPr>
        <w:pStyle w:val="ListBullet"/>
      </w:pPr>
      <w:r>
        <w:t>Submit is a UX action: flush pending saves, validate required questions and show confirmation. It does not define analytical completion.</w:t>
      </w:r>
    </w:p>
    <w:p>
      <w:pPr>
        <w:pStyle w:val="Heading1"/>
      </w:pPr>
      <w:r>
        <w:t>7. Respondent identity and reference ID</w:t>
      </w:r>
    </w:p>
    <w:p>
      <w:pPr>
        <w:pStyle w:val="ListBullet"/>
      </w:pPr>
      <w:r>
        <w:t>Every Respondent has an internal UUID plus an immutable human-readable reference ID for researcher workflow.</w:t>
      </w:r>
    </w:p>
    <w:p>
      <w:pPr>
        <w:pStyle w:val="ListBullet"/>
      </w:pPr>
      <w:r>
        <w:t>Reference ID format is non-sequential and collision-safe, e.g. R-7K3M9W2X8Q4D.</w:t>
      </w:r>
    </w:p>
    <w:p>
      <w:pPr>
        <w:pStyle w:val="ListBullet"/>
      </w:pPr>
      <w:r>
        <w:t>Reference ID is not a credential and grants no public access.</w:t>
      </w:r>
    </w:p>
    <w:p>
      <w:pPr>
        <w:pStyle w:val="ListBullet"/>
      </w:pPr>
      <w:r>
        <w:t>Researcher/Admin can search respondents by reference ID and see decrypted name/phone.</w:t>
      </w:r>
    </w:p>
    <w:p>
      <w:pPr>
        <w:pStyle w:val="ListBullet"/>
      </w:pPr>
      <w:r>
        <w:t>Product Managers do not receive respondent IDs linked to answers or respondent-level records.</w:t>
      </w:r>
    </w:p>
    <w:p>
      <w:pPr>
        <w:pStyle w:val="ListBullet"/>
      </w:pPr>
      <w:r>
        <w:t>Phone is stored encrypted plus a separate survey-scoped lookup HMAC for duplicate detection.</w:t>
      </w:r>
    </w:p>
    <w:p>
      <w:pPr>
        <w:pStyle w:val="Heading1"/>
      </w:pPr>
      <w:r>
        <w:t>8. Same-device resume, new-device replacement and 24-hour edit window</w:t>
      </w:r>
    </w:p>
    <w:p>
      <w:pPr>
        <w:pStyle w:val="ListBullet"/>
      </w:pPr>
      <w:r>
        <w:t>Same browser/device: secure HttpOnly cookie identifies the current attempt; saved answers are restored from the database.</w:t>
      </w:r>
    </w:p>
    <w:p>
      <w:pPr>
        <w:pStyle w:val="ListBullet"/>
      </w:pPr>
      <w:r>
        <w:t>Respondent may edit/continue for 24 hours after the most recent successfully saved answer change.</w:t>
      </w:r>
    </w:p>
    <w:p>
      <w:pPr>
        <w:pStyle w:val="ListBullet"/>
      </w:pPr>
      <w:r>
        <w:t>Each successful answer change resets the 24-hour window.</w:t>
      </w:r>
    </w:p>
    <w:p>
      <w:pPr>
        <w:pStyle w:val="ListBullet"/>
      </w:pPr>
      <w:r>
        <w:t>After 24 hours without a saved change, the current attempt is logically locked/final. Same device sees 'Your response has already been recorded.' and cannot edit.</w:t>
      </w:r>
    </w:p>
    <w:p>
      <w:pPr>
        <w:pStyle w:val="ListBullet"/>
      </w:pPr>
      <w:r>
        <w:t>A simple reopen or Submit does not extend the 24-hour window.</w:t>
      </w:r>
    </w:p>
    <w:p>
      <w:pPr>
        <w:pStyle w:val="ListBullet"/>
      </w:pPr>
      <w:r>
        <w:t>New device/browser with the same phone never receives previous answers or duplicate-existence disclosure.</w:t>
      </w:r>
    </w:p>
    <w:p>
      <w:pPr>
        <w:pStyle w:val="ListBullet"/>
      </w:pPr>
      <w:r>
        <w:t>When ACTIVE, a new-device response with the same phone silently archives/revokes the previous CURRENT attempt and creates a blank new CURRENT attempt. Latest attempt wins.</w:t>
      </w:r>
    </w:p>
    <w:p>
      <w:pPr>
        <w:pStyle w:val="ListBullet"/>
      </w:pPr>
      <w:r>
        <w:t>Archived attempts are excluded from standard analytics/current raw data but remain preserved for Researcher/Admin export.</w:t>
      </w:r>
    </w:p>
    <w:p>
      <w:pPr>
        <w:pStyle w:val="ListBullet"/>
      </w:pPr>
      <w:r>
        <w:t>While PENDING_CAPACITY, a new device cannot identify or replace an attempt; only an already valid current-attempt cookie may continue.</w:t>
      </w:r>
    </w:p>
    <w:p>
      <w:pPr>
        <w:pStyle w:val="Heading1"/>
      </w:pPr>
      <w:r>
        <w:t>9. Autosave and temporary connectivity loss</w:t>
      </w:r>
    </w:p>
    <w:p>
      <w:pPr>
        <w:pStyle w:val="ListBullet"/>
      </w:pPr>
      <w:r>
        <w:t>Answers autosave continuously; server-saved encrypted database state is canonical.</w:t>
      </w:r>
    </w:p>
    <w:p>
      <w:pPr>
        <w:pStyle w:val="ListBullet"/>
      </w:pPr>
      <w:r>
        <w:t>Single choice saves immediately; multiple choice uses a short debounce; free text uses roughly 500-1000 ms debounce and flush on blur.</w:t>
      </w:r>
    </w:p>
    <w:p>
      <w:pPr>
        <w:pStyle w:val="ListBullet"/>
      </w:pPr>
      <w:r>
        <w:t>UI shows Saving / Saved / Retry-error state.</w:t>
      </w:r>
    </w:p>
    <w:p>
      <w:pPr>
        <w:pStyle w:val="ListBullet"/>
      </w:pPr>
      <w:r>
        <w:t>If connectivity fails, latest unacknowledged changes are retained in minimal persistent browser storage and retried later on the same device.</w:t>
      </w:r>
    </w:p>
    <w:p>
      <w:pPr>
        <w:pStyle w:val="ListBullet"/>
      </w:pPr>
      <w:r>
        <w:t>Cookie stores only secure attempt/session identity, not survey answers.</w:t>
      </w:r>
    </w:p>
    <w:p>
      <w:pPr>
        <w:pStyle w:val="ListBullet"/>
      </w:pPr>
      <w:r>
        <w:t>Local pending data is removed after server acknowledgement and is not a full offline-first replica.</w:t>
      </w:r>
    </w:p>
    <w:p>
      <w:pPr>
        <w:pStyle w:val="Heading1"/>
      </w:pPr>
      <w:r>
        <w:t>10. Completion and funnel definitions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Metric</w:t>
            </w:r>
          </w:p>
        </w:tc>
        <w:tc>
          <w:tcPr>
            <w:tcW w:type="dxa" w:w="4968"/>
            <w:vAlign w:val="center"/>
          </w:tcPr>
          <w:p>
            <w:r>
              <w:rPr>
                <w:b/>
              </w:rPr>
              <w:t>Definition</w:t>
            </w:r>
          </w:p>
        </w:tc>
      </w:tr>
      <w:tr>
        <w:tc>
          <w:tcPr>
            <w:tcW w:type="dxa" w:w="4968"/>
            <w:vAlign w:val="top"/>
          </w:tcPr>
          <w:p>
            <w:r>
              <w:t>Opened</w:t>
            </w:r>
          </w:p>
        </w:tc>
        <w:tc>
          <w:tcPr>
            <w:tcW w:type="dxa" w:w="4968"/>
            <w:vAlign w:val="top"/>
          </w:tcPr>
          <w:p>
            <w:r>
              <w:t>Unique public browser/cookie sessions that opened the survey link by snapshot cutoff, including opens while PENDING_CAPACITY.</w:t>
            </w:r>
          </w:p>
        </w:tc>
      </w:tr>
      <w:tr>
        <w:tc>
          <w:tcPr>
            <w:tcW w:type="dxa" w:w="4968"/>
            <w:vAlign w:val="top"/>
          </w:tcPr>
          <w:p>
            <w:r>
              <w:t>Started</w:t>
            </w:r>
          </w:p>
        </w:tc>
        <w:tc>
          <w:tcPr>
            <w:tcW w:type="dxa" w:w="4968"/>
            <w:vAlign w:val="top"/>
          </w:tcPr>
          <w:p>
            <w:r>
              <w:t>CURRENT respondents who answered at least 1 question.</w:t>
            </w:r>
          </w:p>
        </w:tc>
      </w:tr>
      <w:tr>
        <w:tc>
          <w:tcPr>
            <w:tcW w:type="dxa" w:w="4968"/>
            <w:vAlign w:val="top"/>
          </w:tcPr>
          <w:p>
            <w:r>
              <w:t>&gt;50%</w:t>
            </w:r>
          </w:p>
        </w:tc>
        <w:tc>
          <w:tcPr>
            <w:tcW w:type="dxa" w:w="4968"/>
            <w:vAlign w:val="top"/>
          </w:tcPr>
          <w:p>
            <w:r>
              <w:t>CURRENT respondents who answered strictly more than half of all survey questions.</w:t>
            </w:r>
          </w:p>
        </w:tc>
      </w:tr>
      <w:tr>
        <w:tc>
          <w:tcPr>
            <w:tcW w:type="dxa" w:w="4968"/>
            <w:vAlign w:val="top"/>
          </w:tcPr>
          <w:p>
            <w:r>
              <w:t>Completed</w:t>
            </w:r>
          </w:p>
        </w:tc>
        <w:tc>
          <w:tcPr>
            <w:tcW w:type="dxa" w:w="4968"/>
            <w:vAlign w:val="top"/>
          </w:tcPr>
          <w:p>
            <w:r>
              <w:t>CURRENT respondents who answered 100% of all questions, including optional questions.</w:t>
            </w:r>
          </w:p>
        </w:tc>
      </w:tr>
    </w:tbl>
    <w:p>
      <w:r>
        <w:t>All funnel percentages use Opened as denominator. Opened is not a perfect unique-human metric; multiple devices may count as multiple Opens.</w:t>
      </w:r>
    </w:p>
    <w:p>
      <w:pPr>
        <w:pStyle w:val="Heading1"/>
      </w:pPr>
      <w:r>
        <w:t>11. Results calculation and snapshots</w:t>
      </w:r>
    </w:p>
    <w:p>
      <w:pPr>
        <w:pStyle w:val="ListBullet"/>
      </w:pPr>
      <w:r>
        <w:t>Question results are not calculated live and are not recalculated merely by opening the Results page.</w:t>
      </w:r>
    </w:p>
    <w:p>
      <w:pPr>
        <w:pStyle w:val="ListBullet"/>
      </w:pPr>
      <w:r>
        <w:t>Survey owner or Admin may press 'Calculate results'.</w:t>
      </w:r>
    </w:p>
    <w:p>
      <w:pPr>
        <w:pStyle w:val="ListBullet"/>
      </w:pPr>
      <w:r>
        <w:t>Calculation takes one consistent logical cutoff, uses CURRENT attempts only, excludes ARCHIVED attempts, decrypts required payloads server-side, and persists an immutable aggregate Results Snapshot.</w:t>
      </w:r>
    </w:p>
    <w:p>
      <w:pPr>
        <w:pStyle w:val="ListBullet"/>
      </w:pPr>
      <w:r>
        <w:t>A later click creates a new snapshot; previous snapshots are not overwritten.</w:t>
      </w:r>
    </w:p>
    <w:p>
      <w:pPr>
        <w:pStyle w:val="ListBullet"/>
      </w:pPr>
      <w:r>
        <w:t>Calculation is allowed while ACTIVE or PENDING_CAPACITY, enabling intermediate analysis.</w:t>
      </w:r>
    </w:p>
    <w:p>
      <w:pPr>
        <w:pStyle w:val="ListBullet"/>
      </w:pPr>
      <w:r>
        <w:t>Results screen shows the latest calculated snapshot and its calculation timestamp; old snapshots may be retained for history.</w:t>
      </w:r>
    </w:p>
    <w:p>
      <w:pPr>
        <w:pStyle w:val="ListBullet"/>
      </w:pPr>
      <w:r>
        <w:t>Aggregate snapshots contain no respondent UUID/reference ID, name, phone or respondent-to-answer link.</w:t>
      </w:r>
    </w:p>
    <w:p>
      <w:pPr>
        <w:pStyle w:val="Heading1"/>
      </w:pPr>
      <w:r>
        <w:t>12. Question result rules</w:t>
      </w:r>
    </w:p>
    <w:p>
      <w:pPr>
        <w:pStyle w:val="ListBullet"/>
      </w:pPr>
      <w:r>
        <w:t>For each question, Respondents = number of CURRENT respondents who answered that question at snapshot cutoff.</w:t>
      </w:r>
    </w:p>
    <w:p>
      <w:pPr>
        <w:pStyle w:val="ListBullet"/>
      </w:pPr>
      <w:r>
        <w:t>Single choice: show every option, count and percentage, including zero-count options.</w:t>
      </w:r>
    </w:p>
    <w:p>
      <w:pPr>
        <w:pStyle w:val="ListBullet"/>
      </w:pPr>
      <w:r>
        <w:t>Multiple choice: show selecting-respondent count and percentage among respondents who answered the question; percentages may sum above 100%.</w:t>
      </w:r>
    </w:p>
    <w:p>
      <w:pPr>
        <w:pStyle w:val="ListBullet"/>
      </w:pPr>
      <w:r>
        <w:t>Free text: trim and group case-insensitively while preserving encrypted raw answers.</w:t>
      </w:r>
    </w:p>
    <w:p>
      <w:pPr>
        <w:pStyle w:val="ListBullet"/>
      </w:pPr>
      <w:r>
        <w:t>If &lt;=10 unique normalised free-text answers, show all grouped values. If &gt;10, show Top 10 and allow authorised respondent-level XLSX export.</w:t>
      </w:r>
    </w:p>
    <w:p>
      <w:pPr>
        <w:pStyle w:val="ListBullet"/>
      </w:pPr>
      <w:r>
        <w:t>Highlight every tied leader when the highest result is positive. If all options are 0%, highlight nothing.</w:t>
      </w:r>
    </w:p>
    <w:p>
      <w:pPr>
        <w:pStyle w:val="ListBullet"/>
      </w:pPr>
      <w:r>
        <w:t>No charts/visualisations in MVP.</w:t>
      </w:r>
    </w:p>
    <w:p>
      <w:pPr>
        <w:pStyle w:val="Heading1"/>
      </w:pPr>
      <w:r>
        <w:t>13. Raw data and XLSX</w:t>
      </w:r>
    </w:p>
    <w:p>
      <w:pPr>
        <w:pStyle w:val="ListBullet"/>
      </w:pPr>
      <w:r>
        <w:t>Current Raw export: one CURRENT respondent/attempt per row; columns represent questions and cells contain answers.</w:t>
      </w:r>
    </w:p>
    <w:p>
      <w:pPr>
        <w:pStyle w:val="ListBullet"/>
      </w:pPr>
      <w:r>
        <w:t>Archived Attempts export: archived attempts in a separate workbook/export.</w:t>
      </w:r>
    </w:p>
    <w:p>
      <w:pPr>
        <w:pStyle w:val="ListBullet"/>
      </w:pPr>
      <w:r>
        <w:t>Free-text question export for Researcher/Admin includes Respondent Reference ID, name, phone and answer.</w:t>
      </w:r>
    </w:p>
    <w:p>
      <w:pPr>
        <w:pStyle w:val="ListBullet"/>
      </w:pPr>
      <w:r>
        <w:t>Product Manager may export aggregate result snapshots without respondent rows/PII, but cannot export respondent-level files.</w:t>
      </w:r>
    </w:p>
    <w:p>
      <w:pPr>
        <w:pStyle w:val="ListBullet"/>
      </w:pPr>
      <w:r>
        <w:t>PII exports are generated on demand, server-authorised, streamed with private/no-store caching and audit logged.</w:t>
      </w:r>
    </w:p>
    <w:p>
      <w:pPr>
        <w:pStyle w:val="ListBullet"/>
      </w:pPr>
      <w:r>
        <w:t>Respondent-controlled spreadsheet values must be written safely as text to prevent formula injection.</w:t>
      </w:r>
    </w:p>
    <w:p>
      <w:pPr>
        <w:pStyle w:val="Heading1"/>
      </w:pPr>
      <w:r>
        <w:t>14. PII and security requirements</w:t>
      </w:r>
    </w:p>
    <w:p>
      <w:pPr>
        <w:pStyle w:val="ListBullet"/>
      </w:pPr>
      <w:r>
        <w:t>Respondent name, phone and answer payloads are encrypted at application level before database persistence.</w:t>
      </w:r>
    </w:p>
    <w:p>
      <w:pPr>
        <w:pStyle w:val="ListBullet"/>
      </w:pPr>
      <w:r>
        <w:t>If an attacker obtains only a database dump without application secrets, they should not be able to read respondent names, phones, choice answers or free-text answers.</w:t>
      </w:r>
    </w:p>
    <w:p>
      <w:pPr>
        <w:pStyle w:val="ListBullet"/>
      </w:pPr>
      <w:r>
        <w:t>Phone duplicate lookup uses a separate survey-scoped HMAC; raw phone remains decryptable for authorised Researcher/Admin use.</w:t>
      </w:r>
    </w:p>
    <w:p>
      <w:pPr>
        <w:pStyle w:val="ListBullet"/>
      </w:pPr>
      <w:r>
        <w:t>PII decryption occurs server-side only after role authorisation.</w:t>
      </w:r>
    </w:p>
    <w:p>
      <w:pPr>
        <w:pStyle w:val="ListBullet"/>
      </w:pPr>
      <w:r>
        <w:t>Product Manager PII endpoints return 403 before respondent PII is decrypted/returned.</w:t>
      </w:r>
    </w:p>
    <w:p>
      <w:pPr>
        <w:pStyle w:val="ListBullet"/>
      </w:pPr>
      <w:r>
        <w:t>Employee passwords use a modern memory-hard password hash; passwords are never reversibly encrypted.</w:t>
      </w:r>
    </w:p>
    <w:p>
      <w:pPr>
        <w:pStyle w:val="ListBullet"/>
      </w:pPr>
      <w:r>
        <w:t>Separate server secrets are used for PII encryption, phone lookup HMAC and rate-limit HMAC.</w:t>
      </w:r>
    </w:p>
    <w:p>
      <w:pPr>
        <w:pStyle w:val="ListBullet"/>
      </w:pPr>
      <w:r>
        <w:t>No PII, answer bodies, tokens, cookies, credentials or encryption secrets in normal application logs.</w:t>
      </w:r>
    </w:p>
    <w:p>
      <w:pPr>
        <w:pStyle w:val="ListBullet"/>
      </w:pPr>
      <w:r>
        <w:t>Employee invitation tokens are 256-bit random values stored only as hashes, expire after 72 hours, are single-use, and are never persisted or logged in plaintext.</w:t>
      </w:r>
    </w:p>
    <w:p>
      <w:pPr>
        <w:pStyle w:val="ListBullet"/>
      </w:pPr>
      <w:r>
        <w:t>Invitation acceptance resolves email and assigned role server-side and transactionally creates the User and credential, links and consumes the invitation, enforces the active-employee limit, and writes a safe audit event.</w:t>
      </w:r>
    </w:p>
    <w:p>
      <w:pPr>
        <w:pStyle w:val="ListBullet"/>
      </w:pPr>
      <w:r>
        <w:t>HTTPS/TLS is required for browser-app, app-database and app-email-provider communication.</w:t>
      </w:r>
    </w:p>
    <w:p>
      <w:pPr>
        <w:pStyle w:val="ListBullet"/>
      </w:pPr>
      <w:r>
        <w:t>Public survey identifiers and respondent session tokens are high-entropy/non-sequential.</w:t>
      </w:r>
    </w:p>
    <w:p>
      <w:pPr>
        <w:pStyle w:val="ListBullet"/>
      </w:pPr>
      <w:r>
        <w:t>Authorisation is enforced server-side; hidden UI controls are not a security boundary.</w:t>
      </w:r>
    </w:p>
    <w:p>
      <w:pPr>
        <w:pStyle w:val="Heading1"/>
      </w:pPr>
      <w:r>
        <w:t>15. Infrastructure usage and capacity protection</w:t>
      </w:r>
    </w:p>
    <w:p>
      <w:pPr>
        <w:pStyle w:val="ListBullet"/>
      </w:pPr>
      <w:r>
        <w:t>There is no artificial 5,000-respondent product cap. 5,000/month is a planning scenario only.</w:t>
      </w:r>
    </w:p>
    <w:p>
      <w:pPr>
        <w:pStyle w:val="ListBullet"/>
      </w:pPr>
      <w:r>
        <w:t>All authenticated employees see a simple Estimated Infrastructure Usage progress bar.</w:t>
      </w:r>
    </w:p>
    <w:p>
      <w:pPr>
        <w:pStyle w:val="ListBullet"/>
      </w:pPr>
      <w:r>
        <w:t>Admin sees detailed provider/quota breakdown and may reconcile the estimate with actual provider-dashboard usage.</w:t>
      </w:r>
    </w:p>
    <w:p>
      <w:pPr>
        <w:pStyle w:val="ListBullet"/>
      </w:pPr>
      <w:r>
        <w:t>Admin receives email alerts at 50%, 75%, 90%, 95% and 99% of relevant free-tier capacity; alerts should not spam repeatedly within the same quota period.</w:t>
      </w:r>
    </w:p>
    <w:p>
      <w:pPr>
        <w:pStyle w:val="ListBullet"/>
      </w:pPr>
      <w:r>
        <w:t>At &gt;=95%, if two or more surveys are ACTIVE, all ACTIVE surveys automatically become PENDING_CAPACITY.</w:t>
      </w:r>
    </w:p>
    <w:p>
      <w:pPr>
        <w:pStyle w:val="ListBullet"/>
      </w:pPr>
      <w:r>
        <w:t>If exactly one survey is ACTIVE at 95%, it remains ACTIVE.</w:t>
      </w:r>
    </w:p>
    <w:p>
      <w:pPr>
        <w:pStyle w:val="ListBullet"/>
      </w:pPr>
      <w:r>
        <w:t>At &gt;=95%, at most one ACTIVE survey may operate. Owner/Admin may reactivate one PENDING_CAPACITY survey; switching requires the other ACTIVE survey to pause.</w:t>
      </w:r>
    </w:p>
    <w:p>
      <w:pPr>
        <w:pStyle w:val="ListBullet"/>
      </w:pPr>
      <w:r>
        <w:t>At 99%, show critical UI state and email Admin; do not automatically archive/complete the selected active survey.</w:t>
      </w:r>
    </w:p>
    <w:p>
      <w:pPr>
        <w:pStyle w:val="ListBullet"/>
      </w:pPr>
      <w:r>
        <w:t>Admin has 'Pause all active surveys' action; this moves ACTIVE surveys to PENDING_CAPACITY and is reversible survey-by-survey.</w:t>
      </w:r>
    </w:p>
    <w:p>
      <w:pPr>
        <w:pStyle w:val="ListBullet"/>
      </w:pPr>
      <w:r>
        <w:t>Existing valid respondents may continue/autosave during PENDING_CAPACITY; only new respondent starts are blocked.</w:t>
      </w:r>
    </w:p>
    <w:p>
      <w:pPr>
        <w:pStyle w:val="ListBullet"/>
      </w:pPr>
      <w:r>
        <w:t>Provider dashboard/native usage is authoritative where no exact supported usage API exists; estimated values must be labelled Estimated.</w:t>
      </w:r>
    </w:p>
    <w:p>
      <w:pPr>
        <w:pStyle w:val="Heading1"/>
      </w:pPr>
      <w:r>
        <w:t>16. Data retention, deletion and history</w:t>
      </w:r>
    </w:p>
    <w:p>
      <w:pPr>
        <w:pStyle w:val="ListBullet"/>
      </w:pPr>
      <w:r>
        <w:t>Survey history retains completed questionnaire structure, result snapshots and required response history.</w:t>
      </w:r>
    </w:p>
    <w:p>
      <w:pPr>
        <w:pStyle w:val="ListBullet"/>
      </w:pPr>
      <w:r>
        <w:t>Normal UI deletion of data-bearing surveys is tombstone/soft delete, not destructive cascade deletion.</w:t>
      </w:r>
    </w:p>
    <w:p>
      <w:pPr>
        <w:pStyle w:val="ListBullet"/>
      </w:pPr>
      <w:r>
        <w:t>Schema should support future PII anonymisation/retention controls without requiring them in MVP.</w:t>
      </w:r>
    </w:p>
    <w:p>
      <w:pPr>
        <w:pStyle w:val="ListBullet"/>
      </w:pPr>
      <w:r>
        <w:t>Archived attempts remain preserved separately and excluded from current analytics.</w:t>
      </w:r>
    </w:p>
    <w:p>
      <w:pPr>
        <w:pStyle w:val="ListBullet"/>
      </w:pPr>
      <w:r>
        <w:t>Independent encrypted backup is created before risky migrations and periodically; provider-managed backup is also used.</w:t>
      </w:r>
    </w:p>
    <w:p>
      <w:pPr>
        <w:pStyle w:val="ListBullet"/>
      </w:pPr>
      <w:r>
        <w:t>Before production, perform an actual restore drill against a non-production database and verify decryption and survey/result integrity.</w:t>
      </w:r>
    </w:p>
    <w:p>
      <w:pPr>
        <w:pStyle w:val="Heading1"/>
      </w:pPr>
      <w:r>
        <w:t>17. External services and data minimisation</w:t>
      </w:r>
    </w:p>
    <w:p>
      <w:pPr>
        <w:pStyle w:val="ListBullet"/>
      </w:pPr>
      <w:r>
        <w:t>Hosting/application runtime: Netlify Free, subject to final verified free-tier terms.</w:t>
      </w:r>
    </w:p>
    <w:p>
      <w:pPr>
        <w:pStyle w:val="ListBullet"/>
      </w:pPr>
      <w:r>
        <w:t>Database: CockroachDB Cloud Basic, subject to final verified free-tier terms and no unexpected paid overage.</w:t>
      </w:r>
    </w:p>
    <w:p>
      <w:pPr>
        <w:pStyle w:val="ListBullet"/>
      </w:pPr>
      <w:r>
        <w:t>Employee transactional email: Brevo Free (300 account-wide sends per day), using an individually verified sender; compliant sender rewriting and Brevo branding are accepted, and no company-controlled sending domain is required.</w:t>
      </w:r>
    </w:p>
    <w:p>
      <w:pPr>
        <w:pStyle w:val="ListBullet"/>
      </w:pPr>
      <w:r>
        <w:t>Respondent survey data must not be sent to Brevo, analytics SaaS, AI providers or session-replay services.</w:t>
      </w:r>
    </w:p>
    <w:p>
      <w:pPr>
        <w:pStyle w:val="ListBullet"/>
      </w:pPr>
      <w:r>
        <w:t>The browser never receives database credentials or application encryption keys.</w:t>
      </w:r>
    </w:p>
    <w:p>
      <w:pPr>
        <w:pStyle w:val="Heading1"/>
      </w:pPr>
      <w:r>
        <w:t>18. Accepted limitations and risks</w:t>
      </w:r>
    </w:p>
    <w:p>
      <w:pPr>
        <w:pStyle w:val="ListBullet"/>
      </w:pPr>
      <w:r>
        <w:t>Infrastructure usage may be estimated rather than exact where a provider lacks a supported usage API. Provider dashboard/native alerts are authoritative.</w:t>
      </w:r>
    </w:p>
    <w:p>
      <w:pPr>
        <w:pStyle w:val="ListBullet"/>
      </w:pPr>
      <w:r>
        <w:t>Free hosting does not provide enterprise-grade SLA; temporary platform unavailability is an accepted MVP risk.</w:t>
      </w:r>
    </w:p>
    <w:p>
      <w:pPr>
        <w:pStyle w:val="ListBullet"/>
      </w:pPr>
      <w:r>
        <w:t>Opened is browser/cookie-session based, not a perfect unique-human count.</w:t>
      </w:r>
    </w:p>
    <w:p>
      <w:pPr>
        <w:pStyle w:val="ListBullet"/>
      </w:pPr>
      <w:r>
        <w:t>Because there is no SMS/OTP, a person who knows another respondent's phone could start a new response from another device and replace the previous CURRENT attempt while the survey is ACTIVE. This denial/data-replacement risk is accepted for the MVP.</w:t>
      </w:r>
    </w:p>
    <w:p>
      <w:pPr>
        <w:pStyle w:val="ListBullet"/>
      </w:pPr>
      <w:r>
        <w:t>Authorised Researcher/Admin users can copy or redistribute plaintext PII after legitimate access; exports and sensitive actions are audited.</w:t>
      </w:r>
    </w:p>
    <w:p>
      <w:pPr>
        <w:pStyle w:val="ListBullet"/>
      </w:pPr>
      <w:r>
        <w:t>Aggregate free-text values may themselves contain identifying information; they remain confidential internal research data.</w:t>
      </w:r>
    </w:p>
    <w:p>
      <w:pPr>
        <w:pStyle w:val="Heading1"/>
      </w:pPr>
      <w:r>
        <w:t>19. Non-functional implementation principles</w:t>
      </w:r>
    </w:p>
    <w:p>
      <w:pPr>
        <w:pStyle w:val="ListBullet"/>
      </w:pPr>
      <w:r>
        <w:t>Architecture v1.0 is frozen. Implementation must not silently change product behaviour.</w:t>
      </w:r>
    </w:p>
    <w:p>
      <w:pPr>
        <w:pStyle w:val="ListBullet"/>
      </w:pPr>
      <w:r>
        <w:t>Prefer simple, maintainable server-side flows over speculative scale infrastructure.</w:t>
      </w:r>
    </w:p>
    <w:p>
      <w:pPr>
        <w:pStyle w:val="ListBullet"/>
      </w:pPr>
      <w:r>
        <w:t>Use transactions/constraints for invariants such as exactly one CURRENT attempt per Respondent.</w:t>
      </w:r>
    </w:p>
    <w:p>
      <w:pPr>
        <w:pStyle w:val="ListBullet"/>
      </w:pPr>
      <w:r>
        <w:t>Use optimistic revision/idempotency protection so stale autosave cannot overwrite newer data.</w:t>
      </w:r>
    </w:p>
    <w:p>
      <w:pPr>
        <w:pStyle w:val="ListBullet"/>
      </w:pPr>
      <w:r>
        <w:t>No permanent public XLSX URLs and no public caching of PII exports.</w:t>
      </w:r>
    </w:p>
    <w:p>
      <w:pPr>
        <w:pStyle w:val="ListBullet"/>
      </w:pPr>
      <w:r>
        <w:t>Keep reads read-only; encryption-key rotation is a separate maintenance process.</w:t>
      </w:r>
    </w:p>
    <w:p>
      <w:pPr>
        <w:pStyle w:val="ListBullet"/>
      </w:pPr>
      <w:r>
        <w:t>Results snapshot calculation must use a consistent data cutoff.</w:t>
      </w:r>
    </w:p>
    <w:p>
      <w:pPr>
        <w:pStyle w:val="ListBullet"/>
      </w:pPr>
      <w:r>
        <w:t>Security must not be weakened merely to remain within a free tier.</w:t>
      </w:r>
    </w:p>
    <w:p>
      <w:pPr>
        <w:pStyle w:val="Heading1"/>
      </w:pPr>
      <w:r>
        <w:t>20. Acceptance checklist for MVP</w:t>
      </w:r>
    </w:p>
    <w:p>
      <w:r>
        <w:t>☐ Admin can invite an employee by exact email and assigned role through a 72-hour, single-use link; acceptance cannot change email or role.</w:t>
      </w:r>
    </w:p>
    <w:p>
      <w:pPr/>
      <w:r>
        <w:t>☐ Invitation tokens are stored hash-only; resend invalidates the old link; expired, consumed and disabled invitations cannot be accepted.</w:t>
      </w:r>
    </w:p>
    <w:p>
      <w:r>
        <w:rPr>
          <w:b/>
        </w:rPr>
        <w:t xml:space="preserve">☐ </w:t>
      </w:r>
      <w:r>
        <w:t>Product Manager cannot retrieve respondent PII through UI or direct API.</w:t>
      </w:r>
    </w:p>
    <w:p>
      <w:r>
        <w:rPr>
          <w:b/>
        </w:rPr>
        <w:t xml:space="preserve">☐ </w:t>
      </w:r>
      <w:r>
        <w:t>Researcher/Admin can find a respondent by Reference ID and see phone/name.</w:t>
      </w:r>
    </w:p>
    <w:p>
      <w:r>
        <w:rPr>
          <w:b/>
        </w:rPr>
        <w:t xml:space="preserve">☐ </w:t>
      </w:r>
      <w:r>
        <w:t>Employee can create a Draft with up to 50 questions and up to 11 options per choice question.</w:t>
      </w:r>
    </w:p>
    <w:p>
      <w:r>
        <w:rPr>
          <w:b/>
        </w:rPr>
        <w:t xml:space="preserve">☐ </w:t>
      </w:r>
      <w:r>
        <w:t>Active survey accepts public respondents and autosaves partial responses.</w:t>
      </w:r>
    </w:p>
    <w:p>
      <w:r>
        <w:rPr>
          <w:b/>
        </w:rPr>
        <w:t xml:space="preserve">☐ </w:t>
      </w:r>
      <w:r>
        <w:t>Same device resumes saved answers within the 24-hour edit window.</w:t>
      </w:r>
    </w:p>
    <w:p>
      <w:r>
        <w:rPr>
          <w:b/>
        </w:rPr>
        <w:t xml:space="preserve">☐ </w:t>
      </w:r>
      <w:r>
        <w:t>New device with same phone silently creates the latest CURRENT attempt and archives the previous one.</w:t>
      </w:r>
    </w:p>
    <w:p>
      <w:r>
        <w:rPr>
          <w:b/>
        </w:rPr>
        <w:t xml:space="preserve">☐ </w:t>
      </w:r>
      <w:r>
        <w:t>PENDING_CAPACITY blocks new respondents but allows existing valid attempts to finish/edit.</w:t>
      </w:r>
    </w:p>
    <w:p>
      <w:r>
        <w:rPr>
          <w:b/>
        </w:rPr>
        <w:t xml:space="preserve">☐ </w:t>
      </w:r>
      <w:r>
        <w:t>Opened continues counting link opens during PENDING_CAPACITY.</w:t>
      </w:r>
    </w:p>
    <w:p>
      <w:r>
        <w:rPr>
          <w:b/>
        </w:rPr>
        <w:t xml:space="preserve">☐ </w:t>
      </w:r>
      <w:r>
        <w:t>Calculate Results creates a stable immutable snapshot; opening Results does not recalculate it.</w:t>
      </w:r>
    </w:p>
    <w:p>
      <w:r>
        <w:rPr>
          <w:b/>
        </w:rPr>
        <w:t xml:space="preserve">☐ </w:t>
      </w:r>
      <w:r>
        <w:t>Archived attempts never enter standard analytics.</w:t>
      </w:r>
    </w:p>
    <w:p>
      <w:r>
        <w:rPr>
          <w:b/>
        </w:rPr>
        <w:t xml:space="preserve">☐ </w:t>
      </w:r>
      <w:r>
        <w:t>Tie-highlighting and all-zero behavior match requirements.</w:t>
      </w:r>
    </w:p>
    <w:p>
      <w:r>
        <w:rPr>
          <w:b/>
        </w:rPr>
        <w:t xml:space="preserve">☐ </w:t>
      </w:r>
      <w:r>
        <w:t>Respondent-level XLSX is available only to Researcher/Admin and is formula-injection safe.</w:t>
      </w:r>
    </w:p>
    <w:p>
      <w:r>
        <w:rPr>
          <w:b/>
        </w:rPr>
        <w:t xml:space="preserve">☐ </w:t>
      </w:r>
      <w:r>
        <w:t>Infrastructure progress/alerts and 95% capacity protection operate as specified.</w:t>
      </w:r>
    </w:p>
    <w:p>
      <w:r>
        <w:rPr>
          <w:b/>
        </w:rPr>
        <w:t xml:space="preserve">☐ </w:t>
      </w:r>
      <w:r>
        <w:t>Backup restore drill passes before production.</w:t>
      </w:r>
    </w:p>
    <w:p>
      <w:pPr>
        <w:pStyle w:val="Heading1"/>
      </w:pPr>
      <w:r>
        <w:t>21. Change-control rule</w:t>
      </w:r>
    </w:p>
    <w:p>
      <w:r>
        <w:t>Any future change to requirements must be explicitly approved and added to a new PRD version. Codex or another implementation agent must treat this PRD plus the frozen architecture as authoritative. If the two documents conflict, stop implementation and surface the conflict for product decision rather than choosing silently.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