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Quantitative Survey Platform</w:t>
        <w:br/>
        <w:t>PRD v1.1</w:t>
      </w:r>
    </w:p>
    <w:p>
      <w:pPr>
        <w:jc w:val="center"/>
      </w:pPr>
      <w:r>
        <w:t>Current product requirements</w:t>
      </w:r>
    </w:p>
    <w:p>
      <w:pPr>
        <w:jc w:val="center"/>
      </w:pPr>
      <w:r>
        <w:t>Version: v1.1 | Status: Current implemented product baseline | Date: 7 September 2026</w:t>
      </w:r>
    </w:p>
    <w:p>
      <w:pPr/>
      <w:r>
        <w:t>This version defines the current internal research workspace and public respondent experience, including employee administration, survey routing, immutable results and authorised exports.</w:t>
      </w:r>
    </w:p>
    <w:p>
      <w:r>
        <w:t>Purpose. This document is the product source of truth for current product behaviour. Product, Engineering and Security stakeholders use these requirements to review functionality, authorisation and data handling. Changes to this baseline follow the change-control rule in Section 21.</w:t>
      </w:r>
    </w:p>
    <w:p>
      <w:pPr>
        <w:pStyle w:val="Heading1"/>
      </w:pPr>
      <w:r>
        <w:t>1. Product objective and scope</w:t>
      </w:r>
    </w:p>
    <w:p>
      <w:r>
        <w:t>Build an internal platform for creating and running quantitative surveys, collecting partial and complete responses, calculating aggregate results on demand, and retaining respondent-level data for authorised research follow-up.</w:t>
      </w:r>
    </w:p>
    <w:p>
      <w:pPr>
        <w:pStyle w:val="ListBullet"/>
        <w:numPr>
          <w:numId w:val="1"/>
        </w:numPr>
      </w:pPr>
      <w:r>
        <w:t>Two surfaces: internal employee platform and public respondent survey.</w:t>
      </w:r>
    </w:p>
    <w:p>
      <w:pPr>
        <w:pStyle w:val="ListBullet"/>
        <w:numPr>
          <w:numId w:val="1"/>
        </w:numPr>
      </w:pPr>
      <w:r>
        <w:t>Responsive web experience for desktop and mobile.</w:t>
      </w:r>
    </w:p>
    <w:p>
      <w:pPr>
        <w:pStyle w:val="ListBullet"/>
        <w:numPr>
          <w:numId w:val="1"/>
        </w:numPr>
      </w:pPr>
      <w:r>
        <w:t>Maximum 15 active internal employee accounts.</w:t>
      </w:r>
    </w:p>
    <w:p>
      <w:pPr>
        <w:pStyle w:val="ListBullet"/>
        <w:numPr>
          <w:numId w:val="1"/>
        </w:numPr>
      </w:pPr>
      <w:r>
        <w:t>Mandatory infrastructure operating cost under the current deployment model: $0. The product must remain within verified free-tier constraints and use capacity protection rather than silently incur paid usage.</w:t>
      </w:r>
    </w:p>
    <w:p>
      <w:pPr>
        <w:pStyle w:val="ListBullet"/>
        <w:numPr>
          <w:numId w:val="1"/>
        </w:numPr>
      </w:pPr>
      <w:r>
        <w:t>No live question-result aggregation. Results are calculated only when an authorised employee explicitly requests a calculation.</w:t>
      </w:r>
    </w:p>
    <w:p>
      <w:pPr>
        <w:pStyle w:val="ListBullet"/>
        <w:numPr>
          <w:numId w:val="1"/>
        </w:numPr>
      </w:pPr>
      <w:r>
        <w:t>No SMS, OTP, Redis, queue, paid authentication, object storage, AI service, or mandatory monitoring SaaS.</w:t>
      </w:r>
    </w:p>
    <w:p>
      <w:pPr>
        <w:pStyle w:val="Heading1"/>
      </w:pPr>
      <w:r>
        <w:t>2. Internal employee roles and onboarding</w:t>
      </w:r>
    </w:p>
    <w:p>
      <w:r>
        <w:t>The platform has exactly three roles. Admin assigns the role before registration through an exact-email, tokenized invitation.</w:t>
      </w:r>
    </w:p>
    <w:p>
      <w:pPr>
        <w:pStyle w:val="ListBullet"/>
        <w:numPr>
          <w:numId w:val="1"/>
        </w:numPr>
      </w:pPr>
      <w:r>
        <w:t>Admin enters an exact email and assigns PRODUCT_MANAGER, RESEARCHER, or ADMIN. There is no employee-domain restriction in the MVP.</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trPr>
        <w:tc>
          <w:tcPr>
            <w:tcW w:type="dxa" w:w="2484"/>
            <w:vAlign w:val="center"/>
          </w:tcPr>
          <w:p>
            <w:r>
              <w:rPr>
                <w:b/>
              </w:rPr>
              <w:t>Capability</w:t>
            </w:r>
          </w:p>
        </w:tc>
        <w:tc>
          <w:tcPr>
            <w:tcW w:type="dxa" w:w="2484"/>
            <w:vAlign w:val="center"/>
          </w:tcPr>
          <w:p>
            <w:r>
              <w:rPr>
                <w:b/>
              </w:rPr>
              <w:t>Product Manager</w:t>
            </w:r>
          </w:p>
        </w:tc>
        <w:tc>
          <w:tcPr>
            <w:tcW w:type="dxa" w:w="2484"/>
            <w:vAlign w:val="center"/>
          </w:tcPr>
          <w:p>
            <w:r>
              <w:rPr>
                <w:b/>
              </w:rPr>
              <w:t>Researcher</w:t>
            </w:r>
          </w:p>
        </w:tc>
        <w:tc>
          <w:tcPr>
            <w:tcW w:type="dxa" w:w="2484"/>
            <w:vAlign w:val="center"/>
          </w:tcPr>
          <w:p>
            <w:r>
              <w:rPr>
                <w:b/>
              </w:rPr>
              <w:t>Admin</w:t>
            </w:r>
          </w:p>
        </w:tc>
      </w:tr>
      <w:tr>
        <w:trPr>
          <w:cantSplit/>
        </w:trPr>
        <w:tc>
          <w:tcPr>
            <w:tcW w:type="dxa" w:w="2484"/>
            <w:vAlign w:val="top"/>
          </w:tcPr>
          <w:p>
            <w:r>
              <w:t>View all non-deleted surveys/questionnaires</w:t>
            </w:r>
          </w:p>
        </w:tc>
        <w:tc>
          <w:tcPr>
            <w:tcW w:type="dxa" w:w="2484"/>
            <w:vAlign w:val="top"/>
          </w:tcPr>
          <w:p>
            <w:r>
              <w:t>Yes</w:t>
            </w:r>
          </w:p>
        </w:tc>
        <w:tc>
          <w:tcPr>
            <w:tcW w:type="dxa" w:w="2484"/>
            <w:vAlign w:val="top"/>
          </w:tcPr>
          <w:p>
            <w:r>
              <w:t>Yes</w:t>
            </w:r>
          </w:p>
        </w:tc>
        <w:tc>
          <w:tcPr>
            <w:tcW w:type="dxa" w:w="2484"/>
            <w:vAlign w:val="top"/>
          </w:tcPr>
          <w:p>
            <w:r>
              <w:t>Yes</w:t>
            </w:r>
          </w:p>
        </w:tc>
      </w:tr>
      <w:tr>
        <w:trPr>
          <w:cantSplit/>
        </w:trPr>
        <w:tc>
          <w:tcPr>
            <w:tcW w:type="dxa" w:w="2484"/>
            <w:vAlign w:val="top"/>
          </w:tcPr>
          <w:p>
            <w:r>
              <w:t>View operational counters and aggregate result snapshots</w:t>
            </w:r>
          </w:p>
        </w:tc>
        <w:tc>
          <w:tcPr>
            <w:tcW w:type="dxa" w:w="2484"/>
            <w:vAlign w:val="top"/>
          </w:tcPr>
          <w:p>
            <w:r>
              <w:t>Yes</w:t>
            </w:r>
          </w:p>
        </w:tc>
        <w:tc>
          <w:tcPr>
            <w:tcW w:type="dxa" w:w="2484"/>
            <w:vAlign w:val="top"/>
          </w:tcPr>
          <w:p>
            <w:r>
              <w:t>Yes</w:t>
            </w:r>
          </w:p>
        </w:tc>
        <w:tc>
          <w:tcPr>
            <w:tcW w:type="dxa" w:w="2484"/>
            <w:vAlign w:val="top"/>
          </w:tcPr>
          <w:p>
            <w:r>
              <w:t>Yes</w:t>
            </w:r>
          </w:p>
        </w:tc>
      </w:tr>
      <w:tr>
        <w:trPr>
          <w:cantSplit/>
        </w:trPr>
        <w:tc>
          <w:tcPr>
            <w:tcW w:type="dxa" w:w="2484"/>
            <w:vAlign w:val="top"/>
          </w:tcPr>
          <w:p>
            <w:r>
              <w:t>Create/duplicate survey</w:t>
            </w:r>
          </w:p>
        </w:tc>
        <w:tc>
          <w:tcPr>
            <w:tcW w:type="dxa" w:w="2484"/>
            <w:vAlign w:val="top"/>
          </w:tcPr>
          <w:p>
            <w:r>
              <w:t>Yes</w:t>
            </w:r>
          </w:p>
        </w:tc>
        <w:tc>
          <w:tcPr>
            <w:tcW w:type="dxa" w:w="2484"/>
            <w:vAlign w:val="top"/>
          </w:tcPr>
          <w:p>
            <w:r>
              <w:t>Yes</w:t>
            </w:r>
          </w:p>
        </w:tc>
        <w:tc>
          <w:tcPr>
            <w:tcW w:type="dxa" w:w="2484"/>
            <w:vAlign w:val="top"/>
          </w:tcPr>
          <w:p>
            <w:r>
              <w:t>Yes</w:t>
            </w:r>
          </w:p>
        </w:tc>
      </w:tr>
      <w:tr>
        <w:trPr>
          <w:cantSplit/>
        </w:trPr>
        <w:tc>
          <w:tcPr>
            <w:tcW w:type="dxa" w:w="2484"/>
            <w:vAlign w:val="top"/>
          </w:tcPr>
          <w:p>
            <w:r>
              <w:t>Edit/activate/pause/reactivate/complete own survey</w:t>
            </w:r>
          </w:p>
        </w:tc>
        <w:tc>
          <w:tcPr>
            <w:tcW w:type="dxa" w:w="2484"/>
            <w:vAlign w:val="top"/>
          </w:tcPr>
          <w:p>
            <w:r>
              <w:t>Yes</w:t>
            </w:r>
          </w:p>
        </w:tc>
        <w:tc>
          <w:tcPr>
            <w:tcW w:type="dxa" w:w="2484"/>
            <w:vAlign w:val="top"/>
          </w:tcPr>
          <w:p>
            <w:r>
              <w:t>Yes</w:t>
            </w:r>
          </w:p>
        </w:tc>
        <w:tc>
          <w:tcPr>
            <w:tcW w:type="dxa" w:w="2484"/>
            <w:vAlign w:val="top"/>
          </w:tcPr>
          <w:p>
            <w:r>
              <w:t>Yes</w:t>
            </w:r>
          </w:p>
        </w:tc>
      </w:tr>
      <w:tr>
        <w:trPr>
          <w:cantSplit/>
        </w:trPr>
        <w:tc>
          <w:tcPr>
            <w:tcW w:type="dxa" w:w="2484"/>
            <w:vAlign w:val="top"/>
          </w:tcPr>
          <w:p>
            <w:r>
              <w:t>Calculate results for own survey</w:t>
            </w:r>
          </w:p>
        </w:tc>
        <w:tc>
          <w:tcPr>
            <w:tcW w:type="dxa" w:w="2484"/>
            <w:vAlign w:val="top"/>
          </w:tcPr>
          <w:p>
            <w:r>
              <w:t>Yes</w:t>
            </w:r>
          </w:p>
        </w:tc>
        <w:tc>
          <w:tcPr>
            <w:tcW w:type="dxa" w:w="2484"/>
            <w:vAlign w:val="top"/>
          </w:tcPr>
          <w:p>
            <w:r>
              <w:t>Yes</w:t>
            </w:r>
          </w:p>
        </w:tc>
        <w:tc>
          <w:tcPr>
            <w:tcW w:type="dxa" w:w="2484"/>
            <w:vAlign w:val="top"/>
          </w:tcPr>
          <w:p>
            <w:r>
              <w:t>Yes</w:t>
            </w:r>
          </w:p>
        </w:tc>
      </w:tr>
      <w:tr>
        <w:trPr>
          <w:cantSplit/>
        </w:trPr>
        <w:tc>
          <w:tcPr>
            <w:tcW w:type="dxa" w:w="2484"/>
            <w:vAlign w:val="top"/>
          </w:tcPr>
          <w:p>
            <w:r>
              <w:t>Manage another owner's survey lifecycle / calculate its results</w:t>
            </w:r>
          </w:p>
        </w:tc>
        <w:tc>
          <w:tcPr>
            <w:tcW w:type="dxa" w:w="2484"/>
            <w:vAlign w:val="top"/>
          </w:tcPr>
          <w:p>
            <w:r>
              <w:t>No</w:t>
            </w:r>
          </w:p>
        </w:tc>
        <w:tc>
          <w:tcPr>
            <w:tcW w:type="dxa" w:w="2484"/>
            <w:vAlign w:val="top"/>
          </w:tcPr>
          <w:p>
            <w:r>
              <w:t>No</w:t>
            </w:r>
          </w:p>
        </w:tc>
        <w:tc>
          <w:tcPr>
            <w:tcW w:type="dxa" w:w="2484"/>
            <w:vAlign w:val="top"/>
          </w:tcPr>
          <w:p>
            <w:r>
              <w:t>Yes</w:t>
            </w:r>
          </w:p>
        </w:tc>
      </w:tr>
      <w:tr>
        <w:trPr>
          <w:cantSplit/>
        </w:trPr>
        <w:tc>
          <w:tcPr>
            <w:tcW w:type="dxa" w:w="2484"/>
            <w:vAlign w:val="top"/>
          </w:tcPr>
          <w:p>
            <w:r>
              <w:t>View respondent-level rows, IDs, names, phones, raw answers</w:t>
            </w:r>
          </w:p>
        </w:tc>
        <w:tc>
          <w:tcPr>
            <w:tcW w:type="dxa" w:w="2484"/>
            <w:vAlign w:val="top"/>
          </w:tcPr>
          <w:p>
            <w:r>
              <w:t>No</w:t>
            </w:r>
          </w:p>
        </w:tc>
        <w:tc>
          <w:tcPr>
            <w:tcW w:type="dxa" w:w="2484"/>
            <w:vAlign w:val="top"/>
          </w:tcPr>
          <w:p>
            <w:r>
              <w:t>Yes</w:t>
            </w:r>
          </w:p>
        </w:tc>
        <w:tc>
          <w:tcPr>
            <w:tcW w:type="dxa" w:w="2484"/>
            <w:vAlign w:val="top"/>
          </w:tcPr>
          <w:p>
            <w:r>
              <w:t>Yes</w:t>
            </w:r>
          </w:p>
        </w:tc>
      </w:tr>
      <w:tr>
        <w:trPr>
          <w:cantSplit/>
        </w:trPr>
        <w:tc>
          <w:tcPr>
            <w:tcW w:type="dxa" w:w="2484"/>
            <w:vAlign w:val="top"/>
          </w:tcPr>
          <w:p>
            <w:r>
              <w:t>Export respondent-level XLSX / archived attempts / free-text rows</w:t>
            </w:r>
          </w:p>
        </w:tc>
        <w:tc>
          <w:tcPr>
            <w:tcW w:type="dxa" w:w="2484"/>
            <w:vAlign w:val="top"/>
          </w:tcPr>
          <w:p>
            <w:r>
              <w:t>No</w:t>
            </w:r>
          </w:p>
        </w:tc>
        <w:tc>
          <w:tcPr>
            <w:tcW w:type="dxa" w:w="2484"/>
            <w:vAlign w:val="top"/>
          </w:tcPr>
          <w:p>
            <w:r>
              <w:t>Yes</w:t>
            </w:r>
          </w:p>
        </w:tc>
        <w:tc>
          <w:tcPr>
            <w:tcW w:type="dxa" w:w="2484"/>
            <w:vAlign w:val="top"/>
          </w:tcPr>
          <w:p>
            <w:r>
              <w:t>Yes</w:t>
            </w:r>
          </w:p>
        </w:tc>
      </w:tr>
      <w:tr>
        <w:trPr>
          <w:cantSplit/>
        </w:trPr>
        <w:tc>
          <w:tcPr>
            <w:tcW w:type="dxa" w:w="2484"/>
            <w:vAlign w:val="top"/>
          </w:tcPr>
          <w:p>
            <w:r>
              <w:t>Manage employees and roles; bulk pause; tombstone surveys</w:t>
            </w:r>
          </w:p>
        </w:tc>
        <w:tc>
          <w:tcPr>
            <w:tcW w:type="dxa" w:w="2484"/>
            <w:vAlign w:val="top"/>
          </w:tcPr>
          <w:p>
            <w:r>
              <w:t>No</w:t>
            </w:r>
          </w:p>
        </w:tc>
        <w:tc>
          <w:tcPr>
            <w:tcW w:type="dxa" w:w="2484"/>
            <w:vAlign w:val="top"/>
          </w:tcPr>
          <w:p>
            <w:r>
              <w:t>No</w:t>
            </w:r>
          </w:p>
        </w:tc>
        <w:tc>
          <w:tcPr>
            <w:tcW w:type="dxa" w:w="2484"/>
            <w:vAlign w:val="top"/>
          </w:tcPr>
          <w:p>
            <w:r>
              <w:t>Yes</w:t>
            </w:r>
          </w:p>
        </w:tc>
      </w:tr>
    </w:tbl>
    <w:p>
      <w:pPr>
        <w:pStyle w:val="ListBullet"/>
        <w:numPr>
          <w:numId w:val="1"/>
        </w:numPr>
      </w:pPr>
      <w:r>
        <w:t>The system sends /accept-invitation?token=... using a cryptographically secure, single-use invitation token that expires after 72 hours; only its hash is stored.</w:t>
      </w:r>
    </w:p>
    <w:p>
      <w:pPr>
        <w:pStyle w:val="ListBullet"/>
        <w:numPr>
          <w:numId w:val="1"/>
        </w:numPr>
      </w:pPr>
      <w:r>
        <w:t>The invitation page displays the invited email as read-only. The employee supplies display name and password only and cannot select or alter email or role.</w:t>
      </w:r>
    </w:p>
    <w:p>
      <w:pPr>
        <w:pStyle w:val="ListBullet"/>
        <w:numPr>
          <w:numId w:val="1"/>
        </w:numPr>
      </w:pPr>
      <w:r>
        <w:t>Invitation statuses: INVITED, REGISTERED, DISABLED.</w:t>
      </w:r>
    </w:p>
    <w:p>
      <w:pPr>
        <w:pStyle w:val="ListBullet"/>
        <w:numPr>
          <w:numId w:val="1"/>
        </w:numPr>
      </w:pPr>
      <w:r>
        <w:t>Acceptance atomically verifies and consumes the invitation, creates the employee and credential using the Admin-assigned email and role, and prevents token reuse.</w:t>
      </w:r>
    </w:p>
    <w:p>
      <w:pPr>
        <w:pStyle w:val="ListBullet"/>
        <w:numPr>
          <w:numId w:val="1"/>
        </w:numPr>
      </w:pPr>
      <w:r>
        <w:t>Admin may resend an INVITED invitation. Resend rotates the token, resets expiry to 72 hours, and invalidates the old link immediately. Expired invitations remain INVITED but cannot be accepted.</w:t>
      </w:r>
    </w:p>
    <w:p>
      <w:pPr>
        <w:pStyle w:val="ListBullet"/>
        <w:numPr>
          <w:numId w:val="1"/>
        </w:numPr>
      </w:pPr>
      <w:r>
        <w:t>Only Admin can change roles or disable/re-enable employees. Role changes are audited and invalidate existing sessions.</w:t>
      </w:r>
    </w:p>
    <w:p>
      <w:pPr>
        <w:pStyle w:val="ListBullet"/>
        <w:numPr>
          <w:numId w:val="1"/>
        </w:numPr>
      </w:pPr>
      <w:r>
        <w:t>Maximum 15 ACTIVE registered employees. INVITED invitations and disabled employees do not count toward the limit.</w:t>
      </w:r>
    </w:p>
    <w:p>
      <w:pPr>
        <w:pStyle w:val="ListBullet"/>
        <w:numPr>
          <w:numId w:val="1"/>
        </w:numPr>
      </w:pPr>
      <w:r>
        <w:t>The workspace must retain at least one active Admin. The sole active Admin cannot be deactivated or demoted. When multiple active Admins exist, either action is permitted only if at least one active Admin remains. Server-side transactional locking and serializable retries preserve this invariant under concurrent requests; prohibited actions produce explanatory feedback.</w:t>
      </w:r>
    </w:p>
    <w:p>
      <w:pPr>
        <w:pStyle w:val="ListBullet"/>
        <w:numPr>
          <w:numId w:val="1"/>
        </w:numPr>
      </w:pPr>
      <w:r>
        <w:t>Forgot password: secure email reset link, expiring single-use token, new password replaces old hash.</w:t>
      </w:r>
    </w:p>
    <w:p>
      <w:pPr>
        <w:pStyle w:val="ListBullet"/>
        <w:numPr>
          <w:numId w:val="1"/>
        </w:numPr>
      </w:pPr>
      <w:r>
        <w:t>Administration redirects /app/admin to /app/admin/employees with no separate landing page. Employee management includes exact-email invitations, invitation resend/disable, role changes, employee deactivation and Re-enable.</w:t>
      </w:r>
    </w:p>
    <w:p>
      <w:pPr>
        <w:pStyle w:val="ListBullet"/>
        <w:numPr>
          <w:numId w:val="1"/>
        </w:numPr>
      </w:pPr>
      <w:r>
        <w:t>Selecting a non-Admin role saves immediately. Assigning Admin requires explicit confirmation: Вы хотите назначить роль «Администратор». Вы уверены? Cancelling restores the previous role. The backend independently authorises each role change.</w:t>
      </w:r>
    </w:p>
    <w:p>
      <w:pPr>
        <w:pStyle w:val="ListBullet"/>
        <w:numPr>
          <w:numId w:val="1"/>
        </w:numPr>
      </w:pPr>
      <w:r>
        <w:t>Re-inviting an email with a disabled, unused invitation refreshes that invitation with a new token, assigned role and 72-hour expiry. An existing unused invitation uses Resend. A disabled registered employee uses Re-enable, which restores the existing account and enforces the 15-active-employee limit; it does not issue a new onboarding invitation.</w:t>
      </w:r>
    </w:p>
    <w:p>
      <w:pPr>
        <w:pStyle w:val="Heading1"/>
      </w:pPr>
      <w:r>
        <w:t>3. Survey list and lifecycle</w:t>
      </w:r>
    </w:p>
    <w:p>
      <w:pPr>
        <w:pStyle w:val="ListBullet"/>
        <w:numPr>
          <w:numId w:val="1"/>
        </w:numPr>
      </w:pPr>
      <w:r>
        <w:t>Surveys presents Draft Surveys, Active Surveys, Paused Surveys and Survey History, with Create New Survey available. Paused Surveys appears as a separate section when paused surveys exist; History contains Completed surveys.</w:t>
      </w:r>
    </w:p>
    <w:p>
      <w:pPr>
        <w:pStyle w:val="ListBullet"/>
        <w:numPr>
          <w:numId w:val="1"/>
        </w:numPr>
      </w:pPr>
      <w:r>
        <w:t>Every survey displays its author/employee.</w:t>
      </w:r>
    </w:p>
    <w:p>
      <w:pPr>
        <w:pStyle w:val="ListBullet"/>
        <w:numPr>
          <w:numId w:val="1"/>
        </w:numPr>
      </w:pPr>
      <w:r>
        <w:t>A Draft may contain zero questions. Only its owner or an Admin may edit its title, description or instrument.</w:t>
      </w:r>
    </w:p>
    <w:p>
      <w:pPr>
        <w:pStyle w:val="ListBullet"/>
        <w:numPr>
          <w:numId w:val="1"/>
        </w:numPr>
      </w:pPr>
      <w:r>
        <w:t>Activation requires at least 1 valid question and no more than 50 questions.</w:t>
      </w:r>
    </w:p>
    <w:p>
      <w:pPr>
        <w:pStyle w:val="ListBullet"/>
        <w:numPr>
          <w:numId w:val="1"/>
        </w:numPr>
      </w:pPr>
      <w:r>
        <w:t>After activation, the questionnaire instrument is immutable: question text, type, required flag, answer options, order and branching configuration cannot change.</w:t>
      </w:r>
    </w:p>
    <w:p>
      <w:pPr>
        <w:pStyle w:val="ListBullet"/>
        <w:numPr>
          <w:numId w:val="1"/>
        </w:numPr>
      </w:pPr>
      <w:r>
        <w:t>Any non-tombstoned survey in Draft, Active, Paused or Completed status can be duplicated by an authenticated employee into an independent Draft owned by that employee. Responses, lifecycle dates and results are not copied. Questions/options receive fresh identities and copied branch destinations are remapped within the duplicate.</w:t>
      </w:r>
    </w:p>
    <w:p>
      <w:pPr>
        <w:pStyle w:val="ListBullet"/>
        <w:numPr>
          <w:numId w:val="1"/>
        </w:numPr>
      </w:pPr>
      <w:r>
        <w:t>Temporary pause is reversible. Permanent completion moves the research to History.</w:t>
      </w:r>
    </w:p>
    <w:p>
      <w:pPr>
        <w:pStyle w:val="ListBullet"/>
        <w:numPr>
          <w:numId w:val="1"/>
        </w:numPr>
      </w:pPr>
      <w:r>
        <w:t>Admin may tombstone data-bearing surveys; hard delete is limited to eligible empty Drafts.</w:t>
      </w:r>
    </w:p>
    <w:p>
      <w:pPr>
        <w:pStyle w:val="Heading1"/>
      </w:pPr>
      <w:r>
        <w:t>4. Survey statuses</w:t>
      </w:r>
    </w:p>
    <w:p>
      <w:r>
        <w:t>Paused is the UI label for survey status PENDING_CAPACITY. Pause reason is stored separately as MANUAL or INFRASTRUCTURE_CAPACITY; PENDING_CAPACITY does not by itself identify the reason or the backend infrastructure protection state.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Pr>
          <w:p>
            <w:r>
              <w:rPr>
                <w:b/>
              </w:rPr>
              <w:t>Status</w:t>
            </w:r>
          </w:p>
        </w:tc>
        <w:tc>
          <w:tcPr>
            <w:tcW w:type="dxa" w:w="1987"/>
            <w:vAlign w:val="center"/>
          </w:tcPr>
          <w:p>
            <w:r>
              <w:rPr>
                <w:b/>
              </w:rPr>
              <w:t>Meaning</w:t>
            </w:r>
          </w:p>
        </w:tc>
        <w:tc>
          <w:tcPr>
            <w:tcW w:type="dxa" w:w="1987"/>
            <w:vAlign w:val="center"/>
          </w:tcPr>
          <w:p>
            <w:r>
              <w:rPr>
                <w:b/>
              </w:rPr>
              <w:t>New respondents</w:t>
            </w:r>
          </w:p>
        </w:tc>
        <w:tc>
          <w:tcPr>
            <w:tcW w:type="dxa" w:w="1987"/>
            <w:vAlign w:val="center"/>
          </w:tcPr>
          <w:p>
            <w:r>
              <w:rPr>
                <w:b/>
              </w:rPr>
              <w:t>Existing attempts</w:t>
            </w:r>
          </w:p>
        </w:tc>
        <w:tc>
          <w:tcPr>
            <w:tcW w:type="dxa" w:w="1987"/>
            <w:vAlign w:val="center"/>
          </w:tcPr>
          <w:p>
            <w:r>
              <w:rPr>
                <w:b/>
              </w:rPr>
              <w:t>Reversible</w:t>
            </w:r>
          </w:p>
        </w:tc>
      </w:tr>
      <w:tr>
        <w:trPr>
          <w:cantSplit/>
        </w:trPr>
        <w:tc>
          <w:tcPr>
            <w:tcW w:type="dxa" w:w="1987"/>
            <w:vAlign w:val="top"/>
          </w:tcPr>
          <w:p>
            <w:r>
              <w:t>DRAFT</w:t>
            </w:r>
          </w:p>
        </w:tc>
        <w:tc>
          <w:tcPr>
            <w:tcW w:type="dxa" w:w="1987"/>
            <w:vAlign w:val="top"/>
          </w:tcPr>
          <w:p>
            <w:r>
              <w:t>Being built; public collection unavailable</w:t>
            </w:r>
          </w:p>
        </w:tc>
        <w:tc>
          <w:tcPr>
            <w:tcW w:type="dxa" w:w="1987"/>
            <w:vAlign w:val="top"/>
          </w:tcPr>
          <w:p>
            <w:r>
              <w:t>No</w:t>
            </w:r>
          </w:p>
        </w:tc>
        <w:tc>
          <w:tcPr>
            <w:tcW w:type="dxa" w:w="1987"/>
            <w:vAlign w:val="top"/>
          </w:tcPr>
          <w:p>
            <w:r>
              <w:t>N/A</w:t>
            </w:r>
          </w:p>
        </w:tc>
        <w:tc>
          <w:tcPr>
            <w:tcW w:type="dxa" w:w="1987"/>
            <w:vAlign w:val="top"/>
          </w:tcPr>
          <w:p>
            <w:r>
              <w:t>Yes</w:t>
            </w:r>
          </w:p>
        </w:tc>
      </w:tr>
      <w:tr>
        <w:trPr>
          <w:cantSplit/>
        </w:trPr>
        <w:tc>
          <w:tcPr>
            <w:tcW w:type="dxa" w:w="1987"/>
            <w:vAlign w:val="top"/>
          </w:tcPr>
          <w:p>
            <w:r>
              <w:t>ACTIVE</w:t>
            </w:r>
          </w:p>
        </w:tc>
        <w:tc>
          <w:tcPr>
            <w:tcW w:type="dxa" w:w="1987"/>
            <w:vAlign w:val="top"/>
          </w:tcPr>
          <w:p>
            <w:r>
              <w:t>Accepting new and existing responses</w:t>
            </w:r>
          </w:p>
        </w:tc>
        <w:tc>
          <w:tcPr>
            <w:tcW w:type="dxa" w:w="1987"/>
            <w:vAlign w:val="top"/>
          </w:tcPr>
          <w:p>
            <w:r>
              <w:t>Yes</w:t>
            </w:r>
          </w:p>
        </w:tc>
        <w:tc>
          <w:tcPr>
            <w:tcW w:type="dxa" w:w="1987"/>
            <w:vAlign w:val="top"/>
          </w:tcPr>
          <w:p>
            <w:r>
              <w:t>Yes</w:t>
            </w:r>
          </w:p>
        </w:tc>
        <w:tc>
          <w:tcPr>
            <w:tcW w:type="dxa" w:w="1987"/>
            <w:vAlign w:val="top"/>
          </w:tcPr>
          <w:p>
            <w:r>
              <w:t>Yes</w:t>
            </w:r>
          </w:p>
        </w:tc>
      </w:tr>
      <w:tr>
        <w:trPr>
          <w:cantSplit/>
        </w:trPr>
        <w:tc>
          <w:tcPr>
            <w:tcW w:type="dxa" w:w="1987"/>
            <w:vAlign w:val="top"/>
          </w:tcPr>
          <w:p>
            <w:r>
              <w:t>Paused</w:t>
            </w:r>
          </w:p>
        </w:tc>
        <w:tc>
          <w:tcPr>
            <w:tcW w:type="dxa" w:w="1987"/>
            <w:vAlign w:val="top"/>
          </w:tcPr>
          <w:p>
            <w:r>
              <w:t>Temporarily paused; status and pause reason are defined above.</w:t>
            </w:r>
          </w:p>
        </w:tc>
        <w:tc>
          <w:tcPr>
            <w:tcW w:type="dxa" w:w="1987"/>
            <w:vAlign w:val="top"/>
          </w:tcPr>
          <w:p>
            <w:r>
              <w:t>No</w:t>
            </w:r>
          </w:p>
        </w:tc>
        <w:tc>
          <w:tcPr>
            <w:tcW w:type="dxa" w:w="1987"/>
            <w:vAlign w:val="top"/>
          </w:tcPr>
          <w:p>
            <w:r>
              <w:t>Capacity: eligible CURRENT attempts within edit window may save/submit. Manual: no further writes or submission.</w:t>
            </w:r>
          </w:p>
        </w:tc>
        <w:tc>
          <w:tcPr>
            <w:tcW w:type="dxa" w:w="1987"/>
            <w:vAlign w:val="top"/>
          </w:tcPr>
          <w:p>
            <w:r>
              <w:t>Yes</w:t>
            </w:r>
          </w:p>
        </w:tc>
      </w:tr>
      <w:tr>
        <w:trPr>
          <w:cantSplit/>
        </w:trPr>
        <w:tc>
          <w:tcPr>
            <w:tcW w:type="dxa" w:w="1987"/>
            <w:vAlign w:val="top"/>
          </w:tcPr>
          <w:p>
            <w:r>
              <w:t>COMPLETED</w:t>
            </w:r>
          </w:p>
        </w:tc>
        <w:tc>
          <w:tcPr>
            <w:tcW w:type="dxa" w:w="1987"/>
            <w:vAlign w:val="top"/>
          </w:tcPr>
          <w:p>
            <w:r>
              <w:t>Research deliberately finished; retained in History</w:t>
            </w:r>
          </w:p>
        </w:tc>
        <w:tc>
          <w:tcPr>
            <w:tcW w:type="dxa" w:w="1987"/>
            <w:vAlign w:val="top"/>
          </w:tcPr>
          <w:p>
            <w:r>
              <w:t>No</w:t>
            </w:r>
          </w:p>
        </w:tc>
        <w:tc>
          <w:tcPr>
            <w:tcW w:type="dxa" w:w="1987"/>
            <w:vAlign w:val="top"/>
          </w:tcPr>
          <w:p>
            <w:r>
              <w:t>No further edits</w:t>
            </w:r>
          </w:p>
        </w:tc>
        <w:tc>
          <w:tcPr>
            <w:tcW w:type="dxa" w:w="1987"/>
            <w:vAlign w:val="top"/>
          </w:tcPr>
          <w:p>
            <w:r>
              <w:t>No by default</w:t>
            </w:r>
          </w:p>
        </w:tc>
      </w:tr>
    </w:tbl>
    <w:p>
      <w:pPr>
        <w:pStyle w:val="Heading1"/>
      </w:pPr>
      <w:r>
        <w:t>5. Survey builder</w:t>
      </w:r>
    </w:p>
    <w:p>
      <w:pPr>
        <w:pStyle w:val="ListBullet"/>
        <w:numPr>
          <w:numId w:val="1"/>
        </w:numPr>
      </w:pPr>
      <w:r>
        <w:t>Maximum 50 questions per survey.</w:t>
      </w:r>
    </w:p>
    <w:p>
      <w:pPr>
        <w:pStyle w:val="ListBullet"/>
        <w:numPr>
          <w:numId w:val="1"/>
        </w:numPr>
      </w:pPr>
      <w:r>
        <w:t>Question types: single choice, multiple choice, free text.</w:t>
      </w:r>
    </w:p>
    <w:p>
      <w:pPr>
        <w:pStyle w:val="ListBullet"/>
        <w:numPr>
          <w:numId w:val="1"/>
        </w:numPr>
      </w:pPr>
      <w:r>
        <w:t>Each question is explicitly marked Required or Optional by the survey creator.</w:t>
      </w:r>
    </w:p>
    <w:p>
      <w:pPr>
        <w:pStyle w:val="ListBullet"/>
        <w:numPr>
          <w:numId w:val="1"/>
        </w:numPr>
      </w:pPr>
      <w:r>
        <w:t>Choice questions permit at most 11 answer options while authoring; activation requires 2–11 valid options for every Single Choice or Multiple Choice question. Free Text questions have no answer options.</w:t>
      </w:r>
    </w:p>
    <w:p>
      <w:pPr>
        <w:pStyle w:val="ListBullet"/>
        <w:numPr>
          <w:numId w:val="1"/>
        </w:numPr>
      </w:pPr>
      <w:r>
        <w:t>Creators reorder questions by dragging the question cards and reorder answer options by dragging their option blocks. Interactive controls remain usable within the cards; option dragging does not reorder questions or transfer options between questions.</w:t>
      </w:r>
    </w:p>
    <w:p>
      <w:pPr>
        <w:pStyle w:val="ListBullet"/>
        <w:numPr>
          <w:numId w:val="1"/>
        </w:numPr>
      </w:pPr>
      <w:r>
        <w:t>Final Submit validates Required questions on the current reachable route. Optional questions and questions skipped by routing do not block Submit; partial autosaved responses are retained. Analytical completion is defined separately in Section 10.</w:t>
      </w:r>
    </w:p>
    <w:p>
      <w:pPr>
        <w:pStyle w:val="ListBullet"/>
        <w:numPr>
          <w:numId w:val="1"/>
        </w:numPr>
      </w:pPr>
      <w:r>
        <w:t>Survey title/description and questionnaire structure are preserved in History.</w:t>
      </w:r>
    </w:p>
    <w:p>
      <w:pPr>
        <w:pStyle w:val="ListBullet"/>
        <w:numPr>
          <w:numId w:val="1"/>
        </w:numPr>
      </w:pPr>
      <w:r>
        <w:t>Survey titles are trimmed and contain 1–300 characters; optional descriptions permit up to 4,000 characters. Question text is non-empty and at most 4,000 characters; option labels are non-empty and at most 1,000 characters. Free-text responses permit up to 10,000 characters.</w:t>
      </w:r>
    </w:p>
    <w:p>
      <w:pPr>
        <w:pStyle w:val="ListBullet"/>
        <w:numPr>
          <w:numId w:val="1"/>
        </w:numPr>
      </w:pPr>
      <w:r>
        <w:t>Save Draft is a secondary action and Activate is primary. For a valid Draft, Activate persists the currently displayed builder changes before activation; a separate Save Draft click is unnecessary. Invalid content prevents activation and produces validation feedback.</w:t>
      </w:r>
    </w:p>
    <w:p>
      <w:pPr>
        <w:pStyle w:val="Heading2"/>
      </w:pPr>
      <w:r>
        <w:t>5.1 Survey branching and skip logic</w:t>
      </w:r>
    </w:p>
    <w:p>
      <w:pPr>
        <w:pStyle w:val="ListBullet"/>
        <w:numPr>
          <w:numId w:val="1"/>
        </w:numPr>
      </w:pPr>
      <w:r>
        <w:t>Only Single Choice supports branching. Each option selects Continue to next question (NEXT), Go to a later question (QUESTION), or End survey (END). Multiple Choice and Free Text do not support custom branching. NEXT is the default linear behaviour.</w:t>
      </w:r>
    </w:p>
    <w:p>
      <w:pPr>
        <w:pStyle w:val="ListBullet"/>
        <w:numPr>
          <w:numId w:val="1"/>
        </w:numPr>
      </w:pPr>
      <w:r>
        <w:t>Question destinations use stable question identities and must refer to a later question in the same instrument. Missing, deleted, same-question, backward, cyclic or malformed routes are invalid. Server validation rejects invalid structure when saving; activation cannot succeed with an invalid displayed branch configuration.</w:t>
      </w:r>
    </w:p>
    <w:p>
      <w:pPr>
        <w:pStyle w:val="ListBullet"/>
        <w:numPr>
          <w:numId w:val="1"/>
        </w:numPr>
      </w:pPr>
      <w:r>
        <w:t>Question reordering preserves destination identities. If a move makes a destination backward or otherwise invalid, the builder marks it for correction and the survey cannot be activated until resolved. Branching is immutable after activation.</w:t>
      </w:r>
    </w:p>
    <w:p>
      <w:pPr>
        <w:pStyle w:val="ListBullet"/>
        <w:numPr>
          <w:numId w:val="1"/>
        </w:numPr>
      </w:pPr>
      <w:r>
        <w:t>The respondent sees only the route reachable from the first question under saved answers. NEXT advances to the next question in instrument order; QUESTION skips to its later destination; END stops the route at that question. An unanswered Single Choice question with any custom branch stops route expansion until answered.</w:t>
      </w:r>
    </w:p>
    <w:p>
      <w:pPr>
        <w:pStyle w:val="ListBullet"/>
        <w:numPr>
          <w:numId w:val="1"/>
        </w:numPr>
      </w:pPr>
      <w:r>
        <w:t>Selecting END ends the routed questionnaire; the respondent still uses the existing Submit action to validate reached Required answers and obtain the successful completion message. Selecting END alone does not automatically submit.</w:t>
      </w:r>
    </w:p>
    <w:p>
      <w:pPr>
        <w:pStyle w:val="ListBullet"/>
        <w:numPr>
          <w:numId w:val="1"/>
        </w:numPr>
      </w:pPr>
      <w:r>
        <w:t>On an earlier answer change, the server recalculates reachability and removes answers that are now off-path from the stored encrypted payload. Such answers cease to contribute to progress, results or current-answer exports. Answers still on the route remain; returning to a previously pruned branch does not restore deleted answers. Writes to unreachable questions are rejected.</w:t>
      </w:r>
    </w:p>
    <w:p>
      <w:pPr>
        <w:pStyle w:val="ListBullet"/>
        <w:numPr>
          <w:numId w:val="1"/>
        </w:numPr>
      </w:pPr>
      <w:r>
        <w:t>Duplication copies NEXT, QUESTION and END settings, assigns fresh question and option identities and remaps destinations to the corresponding duplicate questions. No duplicate route retains a source question identity.</w:t>
      </w:r>
    </w:p>
    <w:p>
      <w:pPr>
        <w:pStyle w:val="Heading1"/>
      </w:pPr>
      <w:r>
        <w:t>6. Public respondent experience</w:t>
      </w:r>
    </w:p>
    <w:p>
      <w:pPr>
        <w:pStyle w:val="ListBullet"/>
        <w:numPr>
          <w:numId w:val="1"/>
        </w:numPr>
      </w:pPr>
      <w:r>
        <w:t>Public survey is accessible without respondent account registration.</w:t>
      </w:r>
    </w:p>
    <w:p>
      <w:pPr>
        <w:pStyle w:val="ListBullet"/>
        <w:numPr>
          <w:numId w:val="1"/>
        </w:numPr>
      </w:pPr>
      <w:r>
        <w:t>Responsive on desktop and mobile.</w:t>
      </w:r>
    </w:p>
    <w:p>
      <w:pPr>
        <w:pStyle w:val="ListBullet"/>
        <w:numPr>
          <w:numId w:val="1"/>
        </w:numPr>
      </w:pPr>
      <w:r>
        <w:t>The public survey link is an absolute URL derived from the configured application origin and high-entropy survey identifier. The displayed link has a copy-icon control with copied/error feedback.</w:t>
      </w:r>
    </w:p>
    <w:p>
      <w:pPr>
        <w:pStyle w:val="ListBullet"/>
        <w:numPr>
          <w:numId w:val="1"/>
        </w:numPr>
      </w:pPr>
      <w:r>
        <w:t>Opening an ACTIVE or PENDING_CAPACITY public link creates/reuses a PII-free public survey session used for the Opened metric.</w:t>
      </w:r>
    </w:p>
    <w:p>
      <w:pPr>
        <w:pStyle w:val="ListBullet"/>
        <w:numPr>
          <w:numId w:val="1"/>
        </w:numPr>
      </w:pPr>
      <w:r>
        <w:t>On ACTIVE survey, respondent enters name and phone before a canonical Respondent/current attempt is created.</w:t>
      </w:r>
    </w:p>
    <w:p>
      <w:pPr>
        <w:pStyle w:val="ListBullet"/>
        <w:numPr>
          <w:numId w:val="1"/>
        </w:numPr>
      </w:pPr>
      <w:r>
        <w:t>Phone input uses a country selector and shared frontend/backend validation with E.164 normalisation. International numbers remain subject to their country-specific validity rules.</w:t>
      </w:r>
    </w:p>
    <w:p>
      <w:pPr>
        <w:pStyle w:val="ListBullet"/>
        <w:numPr>
          <w:numId w:val="1"/>
        </w:numPr>
      </w:pPr>
      <w:r>
        <w:t>For country code +7, the canonical phone must contain exactly 11 digits including 7 and excluding the plus sign; +7968******* is valid. Incomplete or extra-digit values are rejected with clear feedback. Invalid pasted numbers must not be silently truncated into another valid number. Frontend/backend validation shares the same normalisation rules; other countries retain their own validity and length rules.</w:t>
      </w:r>
    </w:p>
    <w:p>
      <w:pPr>
        <w:pStyle w:val="ListBullet"/>
        <w:numPr>
          <w:numId w:val="1"/>
        </w:numPr>
      </w:pPr>
      <w:r>
        <w:t>On PENDING_CAPACITY, new visitors see: 'This survey is temporarily not accepting new responses.' They do not enter name/phone and cannot start.</w:t>
      </w:r>
    </w:p>
    <w:p>
      <w:pPr>
        <w:pStyle w:val="ListBullet"/>
        <w:numPr>
          <w:numId w:val="1"/>
        </w:numPr>
      </w:pPr>
      <w:r>
        <w:t>During an infrastructure/capacity pause, an existing CURRENT attempt with a valid cookie may continue saving and submitting within its edit window. A manual pause blocks further answer mutations and submission for existing attempts as well as new starts; the respondent receives an explanatory paused state.</w:t>
      </w:r>
    </w:p>
    <w:p>
      <w:pPr>
        <w:pStyle w:val="ListBullet"/>
        <w:numPr>
          <w:numId w:val="1"/>
        </w:numPr>
      </w:pPr>
      <w:r>
        <w:t>Submit flushes pending saves, validates reached Required questions and displays exactly: Thank you. Your response has been recorded. Submit does not itself define analytical completion or extend the edit window. Linear surveys retain their existing behaviour; branched surveys use the current reachable route.</w:t>
      </w:r>
    </w:p>
    <w:p>
      <w:pPr>
        <w:pStyle w:val="Heading1"/>
      </w:pPr>
      <w:r>
        <w:t>7. Respondent identity and reference ID</w:t>
      </w:r>
    </w:p>
    <w:p>
      <w:pPr>
        <w:pStyle w:val="ListBullet"/>
        <w:numPr>
          <w:numId w:val="1"/>
        </w:numPr>
      </w:pPr>
      <w:r>
        <w:t>Every Respondent has an internal UUID plus an immutable human-readable reference ID for researcher workflow.</w:t>
      </w:r>
    </w:p>
    <w:p>
      <w:pPr>
        <w:pStyle w:val="ListBullet"/>
        <w:numPr>
          <w:numId w:val="1"/>
        </w:numPr>
      </w:pPr>
      <w:r>
        <w:t>Reference ID format is non-sequential and collision-safe, e.g. R-7K3M9W2X8Q4D.</w:t>
      </w:r>
    </w:p>
    <w:p>
      <w:pPr>
        <w:pStyle w:val="ListBullet"/>
        <w:numPr>
          <w:numId w:val="1"/>
        </w:numPr>
      </w:pPr>
      <w:r>
        <w:t>Reference ID is not a credential and grants no public access.</w:t>
      </w:r>
    </w:p>
    <w:p>
      <w:pPr>
        <w:pStyle w:val="ListBullet"/>
        <w:numPr>
          <w:numId w:val="1"/>
        </w:numPr>
      </w:pPr>
      <w:r>
        <w:t>Researcher/Admin can filter Respondents by exact Reference ID and by Survey and see authorised decrypted name/phone. Reference IDs are trimmed and normalised to uppercase for exact matching; combined filters use AND semantics.</w:t>
      </w:r>
    </w:p>
    <w:p>
      <w:pPr>
        <w:pStyle w:val="ListBullet"/>
        <w:numPr>
          <w:numId w:val="1"/>
        </w:numPr>
      </w:pPr>
      <w:r>
        <w:t>Product Managers do not receive respondent IDs linked to answers or respondent-level records.</w:t>
      </w:r>
    </w:p>
    <w:p>
      <w:pPr>
        <w:pStyle w:val="ListBullet"/>
        <w:numPr>
          <w:numId w:val="1"/>
        </w:numPr>
      </w:pPr>
      <w:r>
        <w:t>Phone is stored encrypted plus a separate survey-scoped lookup HMAC for duplicate detection.</w:t>
      </w:r>
    </w:p>
    <w:p>
      <w:pPr>
        <w:pStyle w:val="ListBullet"/>
        <w:numPr>
          <w:numId w:val="1"/>
        </w:numPr>
      </w:pPr>
      <w:r>
        <w:t>Changing Survey immediately submits the GET filter form, preserves the entered Reference ID and resets pagination to the first page. The displayed respondent total uses the same filters as the rows; pagination links retain applicable filters. Respondent-level access remains restricted to Researcher/Admin.</w:t>
      </w:r>
    </w:p>
    <w:p>
      <w:pPr>
        <w:pStyle w:val="Heading1"/>
      </w:pPr>
      <w:r>
        <w:t>8. Same-device resume, new-device replacement and 24-hour edit window</w:t>
      </w:r>
    </w:p>
    <w:p>
      <w:pPr>
        <w:pStyle w:val="ListBullet"/>
        <w:numPr>
          <w:numId w:val="1"/>
        </w:numPr>
      </w:pPr>
      <w:r>
        <w:t>Same browser/device: secure HttpOnly cookie identifies the current attempt; saved answers are restored from the database.</w:t>
      </w:r>
    </w:p>
    <w:p>
      <w:pPr>
        <w:pStyle w:val="ListBullet"/>
        <w:numPr>
          <w:numId w:val="1"/>
        </w:numPr>
      </w:pPr>
      <w:r>
        <w:t>The respondent may edit/continue for 24 hours after the most recent successfully saved answer change; before the first saved change, the window runs from attempt creation. The attempt must still be CURRENT and its survey must permit edits.</w:t>
      </w:r>
    </w:p>
    <w:p>
      <w:pPr>
        <w:pStyle w:val="ListBullet"/>
        <w:numPr>
          <w:numId w:val="1"/>
        </w:numPr>
      </w:pPr>
      <w:r>
        <w:t>Each successful answer change resets the 24-hour window.</w:t>
      </w:r>
    </w:p>
    <w:p>
      <w:pPr>
        <w:pStyle w:val="ListBullet"/>
        <w:numPr>
          <w:numId w:val="1"/>
        </w:numPr>
      </w:pPr>
      <w:r>
        <w:t>After 24 hours without a saved change, the current attempt is logically locked/final. Same device sees 'Your response has already been recorded.' and cannot edit.</w:t>
      </w:r>
    </w:p>
    <w:p>
      <w:pPr>
        <w:pStyle w:val="ListBullet"/>
        <w:numPr>
          <w:numId w:val="1"/>
        </w:numPr>
      </w:pPr>
      <w:r>
        <w:t>A simple reopen or Submit does not extend the 24-hour window.</w:t>
      </w:r>
    </w:p>
    <w:p>
      <w:pPr>
        <w:pStyle w:val="ListBullet"/>
        <w:numPr>
          <w:numId w:val="1"/>
        </w:numPr>
      </w:pPr>
      <w:r>
        <w:t>New device/browser with the same phone never receives previous answers or duplicate-existence disclosure.</w:t>
      </w:r>
    </w:p>
    <w:p>
      <w:pPr>
        <w:pStyle w:val="ListBullet"/>
        <w:numPr>
          <w:numId w:val="1"/>
        </w:numPr>
      </w:pPr>
      <w:r>
        <w:t>When ACTIVE, a new-device response with the same phone silently archives/revokes the previous CURRENT attempt and creates a blank new CURRENT attempt. Latest attempt wins.</w:t>
      </w:r>
    </w:p>
    <w:p>
      <w:pPr>
        <w:pStyle w:val="ListBullet"/>
        <w:numPr>
          <w:numId w:val="1"/>
        </w:numPr>
      </w:pPr>
      <w:r>
        <w:t>Archived attempts are excluded from standard analytics/current raw data but remain preserved for Researcher/Admin export.</w:t>
      </w:r>
    </w:p>
    <w:p>
      <w:pPr>
        <w:pStyle w:val="ListBullet"/>
        <w:numPr>
          <w:numId w:val="1"/>
        </w:numPr>
      </w:pPr>
      <w:r>
        <w:t>While PENDING_CAPACITY, a new device cannot identify or replace an attempt. Continuation requires an already valid CURRENT-attempt cookie, an unexpired edit window and an infrastructure/capacity pause; a manual pause does not permit answer writes or submission.</w:t>
      </w:r>
    </w:p>
    <w:p>
      <w:pPr>
        <w:pStyle w:val="Heading1"/>
      </w:pPr>
      <w:r>
        <w:t>9. Autosave and temporary connectivity loss</w:t>
      </w:r>
    </w:p>
    <w:p>
      <w:pPr>
        <w:pStyle w:val="ListBullet"/>
        <w:numPr>
          <w:numId w:val="1"/>
        </w:numPr>
      </w:pPr>
      <w:r>
        <w:t>Answers autosave continuously; server-saved encrypted database state is canonical.</w:t>
      </w:r>
    </w:p>
    <w:p>
      <w:pPr>
        <w:pStyle w:val="ListBullet"/>
        <w:numPr>
          <w:numId w:val="1"/>
        </w:numPr>
      </w:pPr>
      <w:r>
        <w:t>Single choice saves immediately; multiple choice uses a short debounce; free text uses roughly 500-1000 ms debounce and flush on blur.</w:t>
      </w:r>
    </w:p>
    <w:p>
      <w:pPr>
        <w:pStyle w:val="ListBullet"/>
        <w:numPr>
          <w:numId w:val="1"/>
        </w:numPr>
      </w:pPr>
      <w:r>
        <w:t>UI shows Saving / Saved / Retry-error state.</w:t>
      </w:r>
    </w:p>
    <w:p>
      <w:pPr>
        <w:pStyle w:val="ListBullet"/>
        <w:numPr>
          <w:numId w:val="1"/>
        </w:numPr>
      </w:pPr>
      <w:r>
        <w:t>If connectivity fails, latest unacknowledged changes are retained in minimal persistent browser storage and retried later on the same device.</w:t>
      </w:r>
    </w:p>
    <w:p>
      <w:pPr>
        <w:pStyle w:val="ListBullet"/>
        <w:numPr>
          <w:numId w:val="1"/>
        </w:numPr>
      </w:pPr>
      <w:r>
        <w:t>Cookie stores only secure attempt/session identity, not survey answers.</w:t>
      </w:r>
    </w:p>
    <w:p>
      <w:pPr>
        <w:pStyle w:val="ListBullet"/>
        <w:numPr>
          <w:numId w:val="1"/>
        </w:numPr>
      </w:pPr>
      <w:r>
        <w:t>Local pending data is removed after server acknowledgement and is not a full offline-first replica.</w:t>
      </w:r>
    </w:p>
    <w:p>
      <w:pPr>
        <w:pStyle w:val="Heading1"/>
      </w:pPr>
      <w:r>
        <w:t>10. Completion and funnel definitions</w:t>
      </w:r>
    </w:p>
    <w:tbl>
      <w:tblPr>
        <w:tblStyle w:val="TableGrid"/>
        <w:tblW w:type="auto" w:w="0"/>
        <w:jc w:val="center"/>
        <w:tblLook w:firstColumn="1" w:firstRow="1" w:lastColumn="0" w:lastRow="0" w:noHBand="0" w:noVBand="1" w:val="04A0"/>
      </w:tblPr>
      <w:tblGrid>
        <w:gridCol w:w="4968"/>
        <w:gridCol w:w="4968"/>
      </w:tblGrid>
      <w:tr>
        <w:trPr>
          <w:cantSplit/>
          <w:tblHeader/>
        </w:trPr>
        <w:tc>
          <w:tcPr>
            <w:tcW w:type="dxa" w:w="4968"/>
            <w:vAlign w:val="center"/>
          </w:tcPr>
          <w:p>
            <w:r>
              <w:rPr>
                <w:b/>
              </w:rPr>
              <w:t>Metric</w:t>
            </w:r>
          </w:p>
        </w:tc>
        <w:tc>
          <w:tcPr>
            <w:tcW w:type="dxa" w:w="4968"/>
            <w:vAlign w:val="center"/>
          </w:tcPr>
          <w:p>
            <w:r>
              <w:rPr>
                <w:b/>
              </w:rPr>
              <w:t>Definition</w:t>
            </w:r>
          </w:p>
        </w:tc>
      </w:tr>
      <w:tr>
        <w:trPr>
          <w:cantSplit/>
        </w:trPr>
        <w:tc>
          <w:tcPr>
            <w:tcW w:type="dxa" w:w="4968"/>
            <w:vAlign w:val="top"/>
          </w:tcPr>
          <w:p>
            <w:r>
              <w:t>Opened</w:t>
            </w:r>
          </w:p>
        </w:tc>
        <w:tc>
          <w:tcPr>
            <w:tcW w:type="dxa" w:w="4968"/>
            <w:vAlign w:val="top"/>
          </w:tcPr>
          <w:p>
            <w:r>
              <w:t>Unique public browser/cookie sessions that opened the survey link by snapshot cutoff, including opens while PENDING_CAPACITY.</w:t>
            </w:r>
          </w:p>
        </w:tc>
      </w:tr>
      <w:tr>
        <w:trPr>
          <w:cantSplit/>
        </w:trPr>
        <w:tc>
          <w:tcPr>
            <w:tcW w:type="dxa" w:w="4968"/>
            <w:vAlign w:val="top"/>
          </w:tcPr>
          <w:p>
            <w:r>
              <w:t>Started</w:t>
            </w:r>
          </w:p>
        </w:tc>
        <w:tc>
          <w:tcPr>
            <w:tcW w:type="dxa" w:w="4968"/>
            <w:vAlign w:val="top"/>
          </w:tcPr>
          <w:p>
            <w:r>
              <w:t>CURRENT attempts with at least one non-empty current-path answer at cutoff.</w:t>
            </w:r>
          </w:p>
        </w:tc>
      </w:tr>
      <w:tr>
        <w:trPr>
          <w:cantSplit/>
        </w:trPr>
        <w:tc>
          <w:tcPr>
            <w:tcW w:type="dxa" w:w="4968"/>
            <w:vAlign w:val="top"/>
          </w:tcPr>
          <w:p>
            <w:r>
              <w:t>&gt;50%</w:t>
            </w:r>
          </w:p>
        </w:tc>
        <w:tc>
          <w:tcPr>
            <w:tcW w:type="dxa" w:w="4968"/>
            <w:vAlign w:val="top"/>
          </w:tcPr>
          <w:p>
            <w:r>
              <w:t>CURRENT attempts whose answered count × 2 is strictly greater than their reachable coverage basis.</w:t>
            </w:r>
          </w:p>
        </w:tc>
      </w:tr>
      <w:tr>
        <w:trPr>
          <w:cantSplit/>
        </w:trPr>
        <w:tc>
          <w:tcPr>
            <w:tcW w:type="dxa" w:w="4968"/>
            <w:vAlign w:val="top"/>
          </w:tcPr>
          <w:p>
            <w:r>
              <w:t>Completed</w:t>
            </w:r>
          </w:p>
        </w:tc>
        <w:tc>
          <w:tcPr>
            <w:tcW w:type="dxa" w:w="4968"/>
            <w:vAlign w:val="top"/>
          </w:tcPr>
          <w:p>
            <w:r>
              <w:t>CURRENT attempts whose answered count equals their reachable coverage basis, including reached Optional questions; off-path questions are excluded.</w:t>
            </w:r>
          </w:p>
        </w:tc>
      </w:tr>
    </w:tbl>
    <w:p>
      <w:r>
        <w:t>All funnel percentages use Opened as denominator. Opened is not a perfect unique-human metric; multiple devices may count as multiple Opens.</w:t>
      </w:r>
    </w:p>
    <w:p>
      <w:pPr/>
      <w:r>
        <w:t>For each CURRENT attempt, the answered count is the number of stored non-empty answers after off-path pruning. The coverage basis is the number of questions currently reachable from its answers, including reached Optional questions and any unanswered routing question that stops further expansion. A new blank attempt initially uses the instrument question count as its coverage basis; each saved answer change refreshes the basis to the reachable count and updates the answered count. For a linear survey this basis is the full instrument.</w:t>
      </w:r>
    </w:p>
    <w:p>
      <w:pPr/>
      <w:r>
        <w:t>Analytical Completed requires an answer to every question in that basis, including Optional questions. Successful Submit requires only reached Required answers and therefore need not imply analytical Completed. Intentionally skipped questions never count against either measure; the &gt;50% test is strictly answered count × 2 &gt; coverage basis.</w:t>
      </w:r>
    </w:p>
    <w:p>
      <w:pPr>
        <w:pStyle w:val="Heading1"/>
      </w:pPr>
      <w:r>
        <w:t>11. Results calculation and snapshots</w:t>
      </w:r>
    </w:p>
    <w:p>
      <w:pPr>
        <w:pStyle w:val="ListBullet"/>
        <w:numPr>
          <w:numId w:val="1"/>
        </w:numPr>
      </w:pPr>
      <w:r>
        <w:t>Question results are not calculated live and are not recalculated merely by opening the Results page.</w:t>
      </w:r>
    </w:p>
    <w:p>
      <w:pPr>
        <w:pStyle w:val="ListBullet"/>
        <w:numPr>
          <w:numId w:val="1"/>
        </w:numPr>
      </w:pPr>
      <w:r>
        <w:t>Survey owner or Admin may press 'Calculate results'.</w:t>
      </w:r>
    </w:p>
    <w:p>
      <w:pPr>
        <w:pStyle w:val="ListBullet"/>
        <w:numPr>
          <w:numId w:val="1"/>
        </w:numPr>
      </w:pPr>
      <w:r>
        <w:t>Calculation takes one consistent logical cutoff, uses CURRENT attempts only, excludes ARCHIVED attempts, decrypts required payloads server-side, and persists an immutable aggregate Results Snapshot.</w:t>
      </w:r>
    </w:p>
    <w:p>
      <w:pPr>
        <w:pStyle w:val="ListBullet"/>
        <w:numPr>
          <w:numId w:val="1"/>
        </w:numPr>
      </w:pPr>
      <w:r>
        <w:t>A later click creates a new snapshot; previous snapshots are not overwritten.</w:t>
      </w:r>
    </w:p>
    <w:p>
      <w:pPr>
        <w:pStyle w:val="ListBullet"/>
        <w:numPr>
          <w:numId w:val="1"/>
        </w:numPr>
      </w:pPr>
      <w:r>
        <w:t>The owner or Admin may calculate results while ACTIVE, PENDING_CAPACITY or COMPLETED, including intermediate analysis before completion.</w:t>
      </w:r>
    </w:p>
    <w:p>
      <w:pPr>
        <w:pStyle w:val="ListBullet"/>
        <w:numPr>
          <w:numId w:val="1"/>
        </w:numPr>
      </w:pPr>
      <w:r>
        <w:t>Results displays the latest calculated snapshot, its snapshot number and data cutoff. Snapshot history lists retained snapshot numbers and cutoffs. Opening Results does not calculate a new snapshot.</w:t>
      </w:r>
    </w:p>
    <w:p>
      <w:pPr>
        <w:pStyle w:val="ListBullet"/>
        <w:numPr>
          <w:numId w:val="1"/>
        </w:numPr>
      </w:pPr>
      <w:r>
        <w:t>Aggregate snapshots contain no respondent identity fields (UUID, Reference ID, name or phone) or respondent-to-answer links. Grouped free-text content remains subject to the confidentiality limitation in Section 18.</w:t>
      </w:r>
    </w:p>
    <w:p>
      <w:pPr>
        <w:pStyle w:val="Heading1"/>
      </w:pPr>
      <w:r>
        <w:t>12. Question result rules</w:t>
      </w:r>
    </w:p>
    <w:p>
      <w:pPr>
        <w:pStyle w:val="ListBullet"/>
        <w:numPr>
          <w:numId w:val="1"/>
        </w:numPr>
      </w:pPr>
      <w:r>
        <w:t>For each question, Respondents is the number of CURRENT attempts with a non-empty current-path answer at snapshot cutoff. Reached but unanswered questions do not add to this denominator; respondents who skip the question by branching are excluded rather than counted as a no-answer option.</w:t>
      </w:r>
    </w:p>
    <w:p>
      <w:pPr>
        <w:pStyle w:val="ListBullet"/>
        <w:numPr>
          <w:numId w:val="1"/>
        </w:numPr>
      </w:pPr>
      <w:r>
        <w:t>Single choice: show every option, count and percentage, including zero-count options.</w:t>
      </w:r>
    </w:p>
    <w:p>
      <w:pPr>
        <w:pStyle w:val="ListBullet"/>
        <w:numPr>
          <w:numId w:val="1"/>
        </w:numPr>
      </w:pPr>
      <w:r>
        <w:t>Multiple choice: show selecting-respondent count and percentage among respondents who answered the question; percentages may sum above 100%.</w:t>
      </w:r>
    </w:p>
    <w:p>
      <w:pPr>
        <w:pStyle w:val="ListBullet"/>
        <w:numPr>
          <w:numId w:val="1"/>
        </w:numPr>
      </w:pPr>
      <w:r>
        <w:t>Free text is trimmed, Unicode-normalised (NFKC) and grouped case-insensitively, while raw answers remain encrypted. Groups are ordered by descending count with label ordering for ties.</w:t>
      </w:r>
    </w:p>
    <w:p>
      <w:pPr>
        <w:pStyle w:val="ListBullet"/>
        <w:numPr>
          <w:numId w:val="1"/>
        </w:numPr>
      </w:pPr>
      <w:r>
        <w:t>If &lt;=10 unique normalised free-text answers, show all grouped values. If &gt;10, show Top 10 and allow authorised respondent-level XLSX export.</w:t>
      </w:r>
    </w:p>
    <w:p>
      <w:pPr>
        <w:pStyle w:val="ListBullet"/>
        <w:numPr>
          <w:numId w:val="1"/>
        </w:numPr>
      </w:pPr>
      <w:r>
        <w:t>Highlight every tied leader when the highest result is positive. If all options are 0%, highlight nothing.</w:t>
      </w:r>
    </w:p>
    <w:p>
      <w:pPr>
        <w:pStyle w:val="ListBullet"/>
        <w:numPr>
          <w:numId w:val="1"/>
        </w:numPr>
      </w:pPr>
      <w:r>
        <w:t>Question percentages are count divided by the question’s answered-respondent denominator, multiplied by 100 and rounded deterministically to two decimal places; a zero denominator yields zero. Single Choice allows at most one selected option per respondent; independent rounding may produce a total slightly different from 100%. Multiple Choice percentages are not normalised to 100%.</w:t>
      </w:r>
    </w:p>
    <w:p>
      <w:pPr>
        <w:pStyle w:val="ListBullet"/>
        <w:numPr>
          <w:numId w:val="1"/>
        </w:numPr>
      </w:pPr>
      <w:r>
        <w:t>Results supports a snapshot-based visual PDF report as defined in Section 13.1.</w:t>
      </w:r>
    </w:p>
    <w:p>
      <w:pPr>
        <w:pStyle w:val="Heading1"/>
      </w:pPr>
      <w:r>
        <w:t>13. Raw data and XLSX</w:t>
      </w:r>
    </w:p>
    <w:p>
      <w:pPr>
        <w:pStyle w:val="ListBullet"/>
        <w:numPr>
          <w:numId w:val="1"/>
        </w:numPr>
      </w:pPr>
      <w:r>
        <w:t>Current Raw XLSX export contains one CURRENT respondent/attempt per row, with question columns and answer cells. It uses current stored respondent data at export time, not the displayed aggregate snapshot cutoff. Pruned off-path answers are absent; blank cells do not represent selections.</w:t>
      </w:r>
    </w:p>
    <w:p>
      <w:pPr>
        <w:pStyle w:val="ListBullet"/>
        <w:numPr>
          <w:numId w:val="1"/>
        </w:numPr>
      </w:pPr>
      <w:r>
        <w:t>Archived Attempts XLSX export contains archived attempts in a separate workbook, excluded from standard current analytics. It preserves the stored archived attempt data rather than merging it into a current response.</w:t>
      </w:r>
    </w:p>
    <w:p>
      <w:pPr>
        <w:pStyle w:val="ListBullet"/>
        <w:numPr>
          <w:numId w:val="1"/>
        </w:numPr>
      </w:pPr>
      <w:r>
        <w:t>Free-text question export for Researcher/Admin includes Respondent Reference ID, name, phone and answer.</w:t>
      </w:r>
    </w:p>
    <w:p>
      <w:pPr>
        <w:pStyle w:val="ListBullet"/>
        <w:numPr>
          <w:numId w:val="1"/>
        </w:numPr>
      </w:pPr>
      <w:r>
        <w:t>Product Manager may export aggregate result snapshots without respondent rows/PII, but cannot export respondent-level files.</w:t>
      </w:r>
    </w:p>
    <w:p>
      <w:pPr>
        <w:pStyle w:val="ListBullet"/>
        <w:numPr>
          <w:numId w:val="1"/>
        </w:numPr>
      </w:pPr>
      <w:r>
        <w:t>PII exports are generated on demand, server-authorised, streamed with private/no-store caching and audit logged.</w:t>
      </w:r>
    </w:p>
    <w:p>
      <w:pPr>
        <w:pStyle w:val="ListBullet"/>
        <w:numPr>
          <w:numId w:val="1"/>
        </w:numPr>
      </w:pPr>
      <w:r>
        <w:t>Respondent-controlled spreadsheet values must be written safely as text to prevent formula injection.</w:t>
      </w:r>
    </w:p>
    <w:p>
      <w:pPr>
        <w:pStyle w:val="ListBullet"/>
        <w:numPr>
          <w:numId w:val="1"/>
        </w:numPr>
      </w:pPr>
      <w:r>
        <w:t>Results exposes Generate PDF, Aggregate snapshot and authorised respondent XLSX actions directly. Current Raw and Archived Attempts each have a visible numeric Part selector starting at 1; users select subsequent parts without editing URLs. Multipart partitioning and invalid-part validation remain enforced server-side.</w:t>
      </w:r>
    </w:p>
    <w:p>
      <w:pPr>
        <w:pStyle w:val="Heading2"/>
      </w:pPr>
      <w:r>
        <w:t>13.1 PDF results report</w:t>
      </w:r>
    </w:p>
    <w:p>
      <w:pPr>
        <w:pStyle w:val="ListBullet"/>
        <w:numPr>
          <w:numId w:val="1"/>
        </w:numPr>
      </w:pPr>
      <w:r>
        <w:t>Generate PDF is available in the Results action area only once a snapshot exists. It requests the displayed snapshot number and generates the report from that immutable aggregate snapshot and cutoff, without invoking Calculate Results or live aggregation.</w:t>
      </w:r>
    </w:p>
    <w:p>
      <w:pPr>
        <w:pStyle w:val="ListBullet"/>
        <w:numPr>
          <w:numId w:val="1"/>
        </w:numPr>
      </w:pPr>
      <w:r>
        <w:t>The report uses landscape A4. Its title is the survey name; the subtitle is Survey period from activation date to snapshot data cutoff, displayed as UTC calendar dates. An unavailable activation date displays Not available. No separate technical generation date appears.</w:t>
      </w:r>
    </w:p>
    <w:p>
      <w:pPr>
        <w:pStyle w:val="ListBullet"/>
        <w:numPr>
          <w:numId w:val="1"/>
        </w:numPr>
      </w:pPr>
      <w:r>
        <w:t>Summary metrics show Total respondents (snapshot Identified), Completed responses (snapshot analytical Completed) and Questions in survey (the full instrument count). These remain the supplied snapshot values, including reachable-path completion semantics.</w:t>
      </w:r>
    </w:p>
    <w:p>
      <w:pPr>
        <w:pStyle w:val="ListBullet"/>
        <w:numPr>
          <w:numId w:val="1"/>
        </w:numPr>
      </w:pPr>
      <w:r>
        <w:t>Each question card includes its Q-number, full question text, answered-respondent denominator and horizontal bars for answer options or grouped free text. Labels wrap separately from bars and count/percentage values, for example 102 (41%), to remain readable without overlap.</w:t>
      </w:r>
    </w:p>
    <w:p>
      <w:pPr>
        <w:pStyle w:val="ListBullet"/>
        <w:numPr>
          <w:numId w:val="1"/>
        </w:numPr>
      </w:pPr>
      <w:r>
        <w:t>The layout targets at most four regular question charts per page in two columns. Long prompts, long labels or many displayed values receive additional layout weight, reducing charts per page. Readability takes precedence over four charts on every page.</w:t>
      </w:r>
    </w:p>
    <w:p>
      <w:pPr>
        <w:pStyle w:val="ListBullet"/>
        <w:numPr>
          <w:numId w:val="1"/>
        </w:numPr>
      </w:pPr>
      <w:r>
        <w:t>The report background is graphite #262626 with readable light text, yellow #F5C242 accents and neutral grey non-leading bars. All supplied positive tied leaders have yellow bars and emphasised yellow values; an all-zero question has no highlighted leader. Separators are restrained.</w:t>
      </w:r>
    </w:p>
    <w:p>
      <w:pPr>
        <w:pStyle w:val="ListBullet"/>
        <w:numPr>
          <w:numId w:val="1"/>
        </w:numPr>
      </w:pPr>
      <w:r>
        <w:t>PDF percentages and leader flags are taken directly from the snapshot, with up to two decimal places and insignificant trailing zeros omitted. No separate analytics or total-normalisation calculation occurs. Multiple Choice totals may exceed 100%; Single Choice retains the snapshot’s independent rounding.</w:t>
      </w:r>
    </w:p>
    <w:p>
      <w:pPr>
        <w:pStyle w:val="ListBullet"/>
        <w:numPr>
          <w:numId w:val="1"/>
        </w:numPr>
      </w:pPr>
      <w:r>
        <w:t>Free Text uses the same grouped Top-10 snapshot values and horizontal layout. Empty grouped results display No responses. Footer identification consists of survey name and Page X of Y, without a generation timestamp.</w:t>
      </w:r>
    </w:p>
    <w:p>
      <w:pPr>
        <w:pStyle w:val="ListBullet"/>
        <w:numPr>
          <w:numId w:val="1"/>
        </w:numPr>
      </w:pPr>
      <w:r>
        <w:t>All authenticated employee roles with aggregate Results access may download the PDF for a non-tombstoned Active, Paused or Completed survey. The report contains aggregate data only and includes no respondent name, phone, Reference ID, UUID or respondent-to-answer rows. It uses private/no-store download responses and creates no permanent public report URL.</w:t>
      </w:r>
    </w:p>
    <w:p>
      <w:pPr>
        <w:pStyle w:val="ListBullet"/>
        <w:numPr>
          <w:numId w:val="1"/>
        </w:numPr>
      </w:pPr>
      <w:r>
        <w:t>Grouped free-text labels remain confidential research content. The report does not join respondent identity data or perform automatic redaction of identifying information typed into free-text answers; the existing aggregate free-text privacy limitation in Section 18 applies.</w:t>
      </w:r>
    </w:p>
    <w:p>
      <w:pPr>
        <w:pStyle w:val="Heading1"/>
      </w:pPr>
      <w:r>
        <w:t>14. PII and security requirements</w:t>
      </w:r>
    </w:p>
    <w:p>
      <w:pPr>
        <w:pStyle w:val="ListBullet"/>
        <w:numPr>
          <w:numId w:val="1"/>
        </w:numPr>
      </w:pPr>
      <w:r>
        <w:t>Respondent name, phone and answer payloads are encrypted at application level before database persistence.</w:t>
      </w:r>
    </w:p>
    <w:p>
      <w:pPr>
        <w:pStyle w:val="ListBullet"/>
        <w:numPr>
          <w:numId w:val="1"/>
        </w:numPr>
      </w:pPr>
      <w:r>
        <w:t>If an attacker obtains only a database dump without application secrets, they should not be able to read respondent names, phones, choice answers or free-text answers.</w:t>
      </w:r>
    </w:p>
    <w:p>
      <w:pPr>
        <w:pStyle w:val="ListBullet"/>
        <w:numPr>
          <w:numId w:val="1"/>
        </w:numPr>
      </w:pPr>
      <w:r>
        <w:t>Phone duplicate lookup uses a separate survey-scoped HMAC; raw phone remains decryptable for authorised Researcher/Admin use.</w:t>
      </w:r>
    </w:p>
    <w:p>
      <w:pPr>
        <w:pStyle w:val="ListBullet"/>
        <w:numPr>
          <w:numId w:val="1"/>
        </w:numPr>
      </w:pPr>
      <w:r>
        <w:t>PII decryption occurs server-side only after role authorisation.</w:t>
      </w:r>
    </w:p>
    <w:p>
      <w:pPr>
        <w:pStyle w:val="ListBullet"/>
        <w:numPr>
          <w:numId w:val="1"/>
        </w:numPr>
      </w:pPr>
      <w:r>
        <w:t>Product Manager PII endpoints return 403 before respondent PII is decrypted/returned.</w:t>
      </w:r>
    </w:p>
    <w:p>
      <w:pPr>
        <w:pStyle w:val="ListBullet"/>
        <w:numPr>
          <w:numId w:val="1"/>
        </w:numPr>
      </w:pPr>
      <w:r>
        <w:t>Employee passwords use a modern memory-hard password hash; passwords are never reversibly encrypted.</w:t>
      </w:r>
    </w:p>
    <w:p>
      <w:pPr>
        <w:pStyle w:val="ListBullet"/>
        <w:numPr>
          <w:numId w:val="1"/>
        </w:numPr>
      </w:pPr>
      <w:r>
        <w:t>Separate server secrets are used for PII encryption, phone lookup HMAC and rate-limit HMAC.</w:t>
      </w:r>
    </w:p>
    <w:p>
      <w:pPr>
        <w:pStyle w:val="ListBullet"/>
        <w:numPr>
          <w:numId w:val="1"/>
        </w:numPr>
      </w:pPr>
      <w:r>
        <w:t>No PII, answer bodies, tokens, cookies, credentials or encryption secrets in normal application logs.</w:t>
      </w:r>
    </w:p>
    <w:p>
      <w:pPr>
        <w:pStyle w:val="ListBullet"/>
        <w:numPr>
          <w:numId w:val="1"/>
        </w:numPr>
      </w:pPr>
      <w:r>
        <w:t>Employee invitation tokens are 256-bit random values stored only as hashes, expire after 72 hours, are single-use, and are never persisted or logged in plaintext.</w:t>
      </w:r>
    </w:p>
    <w:p>
      <w:pPr>
        <w:pStyle w:val="ListBullet"/>
        <w:numPr>
          <w:numId w:val="1"/>
        </w:numPr>
      </w:pPr>
      <w:r>
        <w:t>Invitation acceptance resolves email and assigned role server-side and transactionally creates the User and credential, links and consumes the invitation, enforces the active-employee limit, and writes a safe audit event.</w:t>
      </w:r>
    </w:p>
    <w:p>
      <w:pPr>
        <w:pStyle w:val="ListBullet"/>
        <w:numPr>
          <w:numId w:val="1"/>
        </w:numPr>
      </w:pPr>
      <w:r>
        <w:t>HTTPS/TLS is required for browser-app, app-database and app-email-provider communication.</w:t>
      </w:r>
    </w:p>
    <w:p>
      <w:pPr>
        <w:pStyle w:val="ListBullet"/>
        <w:numPr>
          <w:numId w:val="1"/>
        </w:numPr>
      </w:pPr>
      <w:r>
        <w:t>Public survey identifiers and respondent session tokens are high-entropy/non-sequential.</w:t>
      </w:r>
    </w:p>
    <w:p>
      <w:pPr>
        <w:pStyle w:val="ListBullet"/>
        <w:numPr>
          <w:numId w:val="1"/>
        </w:numPr>
      </w:pPr>
      <w:r>
        <w:t>Authorisation is enforced server-side; hidden UI controls are not a security boundary.</w:t>
      </w:r>
    </w:p>
    <w:p>
      <w:pPr>
        <w:pStyle w:val="ListBullet"/>
        <w:numPr>
          <w:numId w:val="1"/>
        </w:numPr>
      </w:pPr>
      <w:r>
        <w:t>Authentication and public-entry endpoints enforce server-side rate limits with HMAC-protected subjects and clear retry feedback. Sensitive state changes retain origin/CSRF checks and safe audit controls.</w:t>
      </w:r>
    </w:p>
    <w:p>
      <w:pPr>
        <w:pStyle w:val="ListBullet"/>
        <w:numPr>
          <w:numId w:val="1"/>
        </w:numPr>
      </w:pPr>
      <w:r>
        <w:t>Production responses enforce CSP, HTTPS/HSTS, anti-framing, nosniff, same-origin opener isolation and restricted browser permissions. Invitation pages use no-referrer and private/no-store caching; production source maps and the powered-by header are disabled.</w:t>
      </w:r>
    </w:p>
    <w:p>
      <w:pPr>
        <w:pStyle w:val="ListBullet"/>
        <w:numPr>
          <w:numId w:val="1"/>
        </w:numPr>
      </w:pPr>
      <w:r>
        <w:t>Branch validation, reachable-path answer acceptance, pruning and snapshot/export authorisation are server-side boundaries. Aggregate PDF downloads do not grant access to respondent-level records.</w:t>
      </w:r>
    </w:p>
    <w:p>
      <w:pPr>
        <w:pStyle w:val="Heading1"/>
      </w:pPr>
      <w:r>
        <w:t>15. Infrastructure usage and capacity protection</w:t>
      </w:r>
    </w:p>
    <w:p>
      <w:pPr>
        <w:pStyle w:val="ListBullet"/>
        <w:numPr>
          <w:numId w:val="1"/>
        </w:numPr>
      </w:pPr>
      <w:r>
        <w:t>There is no artificial 5,000-respondent product cap. 5,000/month is a planning scenario only.</w:t>
      </w:r>
    </w:p>
    <w:p>
      <w:pPr>
        <w:pStyle w:val="ListBullet"/>
        <w:numPr>
          <w:numId w:val="1"/>
        </w:numPr>
      </w:pPr>
      <w:r>
        <w:t>Infrastructure monitoring and automatic capacity enforcement are backend safeguards. Administration opens directly to employee management and does not expose an employee usage bar, provider breakdown dashboard or provider reconciliation workflow.</w:t>
      </w:r>
    </w:p>
    <w:p>
      <w:pPr>
        <w:pStyle w:val="ListBullet"/>
        <w:numPr>
          <w:numId w:val="1"/>
        </w:numPr>
      </w:pPr>
      <w:r>
        <w:t>Backend usage readings include estimates from recorded application activity and observed deployments. Netlify usage is not authoritative live account-wide credit visibility; no live provider account integration is implied. Application estimates cannot account for all activity outside the application.</w:t>
      </w:r>
    </w:p>
    <w:p>
      <w:pPr>
        <w:pStyle w:val="ListBullet"/>
        <w:numPr>
          <w:numId w:val="1"/>
        </w:numPr>
      </w:pPr>
      <w:r>
        <w:t>Admin receives email alerts at 50%, 75%, 90%, 95% and 99% of relevant free-tier capacity; alerts should not spam repeatedly within the same quota period.</w:t>
      </w:r>
    </w:p>
    <w:p>
      <w:pPr>
        <w:pStyle w:val="ListBullet"/>
        <w:numPr>
          <w:numId w:val="1"/>
        </w:numPr>
      </w:pPr>
      <w:r>
        <w:t>At &gt;=95%, if two or more surveys are ACTIVE, all ACTIVE surveys automatically become PENDING_CAPACITY.</w:t>
      </w:r>
    </w:p>
    <w:p>
      <w:pPr>
        <w:pStyle w:val="ListBullet"/>
        <w:numPr>
          <w:numId w:val="1"/>
        </w:numPr>
      </w:pPr>
      <w:r>
        <w:t>If exactly one survey is ACTIVE at 95%, it remains ACTIVE.</w:t>
      </w:r>
    </w:p>
    <w:p>
      <w:pPr>
        <w:pStyle w:val="ListBullet"/>
        <w:numPr>
          <w:numId w:val="1"/>
        </w:numPr>
      </w:pPr>
      <w:r>
        <w:t>At &gt;=95%, at most one ACTIVE survey may operate. Owner/Admin may reactivate one PENDING_CAPACITY survey; switching requires the other ACTIVE survey to pause.</w:t>
      </w:r>
    </w:p>
    <w:p>
      <w:pPr>
        <w:pStyle w:val="ListBullet"/>
        <w:numPr>
          <w:numId w:val="1"/>
        </w:numPr>
      </w:pPr>
      <w:r>
        <w:t>At 99%, the backend protection state becomes critical and Admin email alerts apply. The selected active survey is not automatically archived or completed. This does not introduce a product-facing infrastructure dashboard.</w:t>
      </w:r>
    </w:p>
    <w:p>
      <w:pPr>
        <w:pStyle w:val="ListBullet"/>
        <w:numPr>
          <w:numId w:val="1"/>
        </w:numPr>
      </w:pPr>
      <w:r>
        <w:t>The Admin-only Pause all active surveys action is in Surveys, requires confirmation, and provides completion/error feedback. It applies a MANUAL pause to all ACTIVE surveys and can be reversed survey by survey under the activation/capacity rules.</w:t>
      </w:r>
    </w:p>
    <w:p>
      <w:pPr>
        <w:pStyle w:val="ListBullet"/>
        <w:numPr>
          <w:numId w:val="1"/>
        </w:numPr>
      </w:pPr>
      <w:r>
        <w:t>Only infrastructure/capacity pauses permit eligible existing attempts to continue within the edit window. Manual pauses, including Pause all, block answer mutations and submission. Every paused survey blocks new respondent starts and replacement attempts.</w:t>
      </w:r>
    </w:p>
    <w:p>
      <w:pPr>
        <w:pStyle w:val="ListBullet"/>
        <w:numPr>
          <w:numId w:val="1"/>
        </w:numPr>
      </w:pPr>
      <w:r>
        <w:t>Capacity enforcement uses the effective backend readings for hosting/database resources; email quota readings trigger alerts but do not drive survey pausing. Provider-native account limits remain external constraints rather than a manual reconciliation workflow in the product.</w:t>
      </w:r>
    </w:p>
    <w:p>
      <w:pPr>
        <w:pStyle w:val="Heading1"/>
      </w:pPr>
      <w:r>
        <w:t>16. Data retention, deletion and history</w:t>
      </w:r>
    </w:p>
    <w:p>
      <w:pPr>
        <w:pStyle w:val="ListBullet"/>
        <w:numPr>
          <w:numId w:val="1"/>
        </w:numPr>
      </w:pPr>
      <w:r>
        <w:t>Survey history retains completed questionnaire structure, result snapshots and required response history.</w:t>
      </w:r>
    </w:p>
    <w:p>
      <w:pPr>
        <w:pStyle w:val="ListBullet"/>
        <w:numPr>
          <w:numId w:val="1"/>
        </w:numPr>
      </w:pPr>
      <w:r>
        <w:t>Normal UI deletion of data-bearing surveys is tombstone/soft delete, not destructive cascade deletion.</w:t>
      </w:r>
    </w:p>
    <w:p>
      <w:pPr>
        <w:pStyle w:val="ListBullet"/>
        <w:numPr>
          <w:numId w:val="1"/>
        </w:numPr>
      </w:pPr>
      <w:r>
        <w:t>Completed and archived records remain retained; no automatic time-based PII deletion or anonymisation workflow is exposed in the current product.</w:t>
      </w:r>
    </w:p>
    <w:p>
      <w:pPr>
        <w:pStyle w:val="ListBullet"/>
        <w:numPr>
          <w:numId w:val="1"/>
        </w:numPr>
      </w:pPr>
      <w:r>
        <w:t>Archived attempts remain preserved separately and excluded from current analytics.</w:t>
      </w:r>
    </w:p>
    <w:p>
      <w:pPr>
        <w:pStyle w:val="ListBullet"/>
        <w:numPr>
          <w:numId w:val="1"/>
        </w:numPr>
      </w:pPr>
      <w:r>
        <w:t>Independent encrypted backup is created before risky migrations and periodically; provider-managed backup is also used.</w:t>
      </w:r>
    </w:p>
    <w:p>
      <w:pPr>
        <w:pStyle w:val="Heading1"/>
      </w:pPr>
      <w:r>
        <w:t>17. External services and data minimisation</w:t>
      </w:r>
    </w:p>
    <w:p>
      <w:pPr>
        <w:pStyle w:val="ListBullet"/>
        <w:numPr>
          <w:numId w:val="1"/>
        </w:numPr>
      </w:pPr>
      <w:r>
        <w:t>Hosting/application runtime: Netlify, operated within the configured free-tier capacity model.</w:t>
      </w:r>
    </w:p>
    <w:p>
      <w:pPr>
        <w:pStyle w:val="ListBullet"/>
        <w:numPr>
          <w:numId w:val="1"/>
        </w:numPr>
      </w:pPr>
      <w:r>
        <w:t>Database: CockroachDB Cloud Basic, operated within the configured free-tier capacity model and without silently accepting paid overage.</w:t>
      </w:r>
    </w:p>
    <w:p>
      <w:pPr>
        <w:pStyle w:val="ListBullet"/>
        <w:numPr>
          <w:numId w:val="1"/>
        </w:numPr>
      </w:pPr>
      <w:r>
        <w:t>Employee transactional email: Brevo, with a configured daily limit of 300 sends. An individually verified sender is supported; sender rewriting and Brevo branding are accepted, and no company-controlled sending domain is required. Application send counts are not guaranteed account-wide usage visibility.</w:t>
      </w:r>
    </w:p>
    <w:p>
      <w:pPr>
        <w:pStyle w:val="ListBullet"/>
        <w:numPr>
          <w:numId w:val="1"/>
        </w:numPr>
      </w:pPr>
      <w:r>
        <w:t>Respondent survey data must not be sent to Brevo, analytics SaaS, AI providers or session-replay services.</w:t>
      </w:r>
    </w:p>
    <w:p>
      <w:pPr>
        <w:pStyle w:val="ListBullet"/>
        <w:numPr>
          <w:numId w:val="1"/>
        </w:numPr>
      </w:pPr>
      <w:r>
        <w:t>The browser never receives database credentials or application encryption keys.</w:t>
      </w:r>
    </w:p>
    <w:p>
      <w:pPr>
        <w:pStyle w:val="Heading1"/>
      </w:pPr>
      <w:r>
        <w:t>18. Accepted limitations and risks</w:t>
      </w:r>
    </w:p>
    <w:p>
      <w:pPr>
        <w:pStyle w:val="ListBullet"/>
        <w:numPr>
          <w:numId w:val="1"/>
        </w:numPr>
      </w:pPr>
      <w:r>
        <w:t>Infrastructure estimates are not exact provider account-wide usage. Provider-native limits/alerts may reflect usage the application cannot observe; automatic protection operates on available backend readings.</w:t>
      </w:r>
    </w:p>
    <w:p>
      <w:pPr>
        <w:pStyle w:val="ListBullet"/>
        <w:numPr>
          <w:numId w:val="1"/>
        </w:numPr>
      </w:pPr>
      <w:r>
        <w:t>Free hosting does not provide enterprise-grade SLA; temporary platform unavailability is an accepted MVP risk.</w:t>
      </w:r>
    </w:p>
    <w:p>
      <w:pPr>
        <w:pStyle w:val="ListBullet"/>
        <w:numPr>
          <w:numId w:val="1"/>
        </w:numPr>
      </w:pPr>
      <w:r>
        <w:t>Opened is browser/cookie-session based, not a perfect unique-human count.</w:t>
      </w:r>
    </w:p>
    <w:p>
      <w:pPr>
        <w:pStyle w:val="ListBullet"/>
        <w:numPr>
          <w:numId w:val="1"/>
        </w:numPr>
      </w:pPr>
      <w:r>
        <w:t>Because there is no SMS/OTP, a person who knows another respondent's phone could start a new response from another device and replace the previous CURRENT attempt while the survey is ACTIVE. This denial/data-replacement risk is accepted for the MVP.</w:t>
      </w:r>
    </w:p>
    <w:p>
      <w:pPr>
        <w:pStyle w:val="ListBullet"/>
        <w:numPr>
          <w:numId w:val="1"/>
        </w:numPr>
      </w:pPr>
      <w:r>
        <w:t>Authorised Researcher/Admin users can copy or redistribute plaintext PII after legitimate access; exports and sensitive actions are audited.</w:t>
      </w:r>
    </w:p>
    <w:p>
      <w:pPr>
        <w:pStyle w:val="ListBullet"/>
        <w:numPr>
          <w:numId w:val="1"/>
        </w:numPr>
      </w:pPr>
      <w:r>
        <w:t>Aggregate free-text values may themselves contain identifying information; they remain confidential internal research data.</w:t>
      </w:r>
    </w:p>
    <w:p>
      <w:pPr>
        <w:pStyle w:val="Heading1"/>
      </w:pPr>
      <w:r>
        <w:t>19. Non-functional implementation principles</w:t>
      </w:r>
    </w:p>
    <w:p>
      <w:pPr>
        <w:pStyle w:val="ListBullet"/>
        <w:numPr>
          <w:numId w:val="1"/>
        </w:numPr>
      </w:pPr>
      <w:r>
        <w:t>This PRD defines current product behaviour. Implementation changes must not silently alter the approved product baseline.</w:t>
      </w:r>
    </w:p>
    <w:p>
      <w:pPr>
        <w:pStyle w:val="ListBullet"/>
        <w:numPr>
          <w:numId w:val="1"/>
        </w:numPr>
      </w:pPr>
      <w:r>
        <w:t>Prefer simple, maintainable server-side flows over speculative scale infrastructure.</w:t>
      </w:r>
    </w:p>
    <w:p>
      <w:pPr>
        <w:pStyle w:val="ListBullet"/>
        <w:numPr>
          <w:numId w:val="1"/>
        </w:numPr>
      </w:pPr>
      <w:r>
        <w:t>Use transactions/constraints for invariants such as exactly one CURRENT attempt per Respondent.</w:t>
      </w:r>
    </w:p>
    <w:p>
      <w:pPr>
        <w:pStyle w:val="ListBullet"/>
        <w:numPr>
          <w:numId w:val="1"/>
        </w:numPr>
      </w:pPr>
      <w:r>
        <w:t>Use optimistic revision/idempotency protection so stale autosave cannot overwrite newer data.</w:t>
      </w:r>
    </w:p>
    <w:p>
      <w:pPr>
        <w:pStyle w:val="ListBullet"/>
        <w:numPr>
          <w:numId w:val="1"/>
        </w:numPr>
      </w:pPr>
      <w:r>
        <w:t>No permanent public XLSX or PDF report URLs and no public caching of respondent exports or aggregate PDF downloads.</w:t>
      </w:r>
    </w:p>
    <w:p>
      <w:pPr>
        <w:pStyle w:val="ListBullet"/>
        <w:numPr>
          <w:numId w:val="1"/>
        </w:numPr>
      </w:pPr>
      <w:r>
        <w:t>Keep reads read-only; encryption-key rotation is a separate maintenance process.</w:t>
      </w:r>
    </w:p>
    <w:p>
      <w:pPr>
        <w:pStyle w:val="ListBullet"/>
        <w:numPr>
          <w:numId w:val="1"/>
        </w:numPr>
      </w:pPr>
      <w:r>
        <w:t>Results snapshot calculation must use a consistent data cutoff.</w:t>
      </w:r>
    </w:p>
    <w:p>
      <w:pPr>
        <w:pStyle w:val="ListBullet"/>
        <w:numPr>
          <w:numId w:val="1"/>
        </w:numPr>
      </w:pPr>
      <w:r>
        <w:t>Security must not be weakened merely to remain within a free tier.</w:t>
      </w:r>
    </w:p>
    <w:p>
      <w:pPr>
        <w:pStyle w:val="Heading2"/>
      </w:pPr>
      <w:r>
        <w:t>19.1 Internal and respondent visual systems</w:t>
      </w:r>
    </w:p>
    <w:p>
      <w:pPr>
        <w:pStyle w:val="ListBullet"/>
        <w:numPr>
          <w:numId w:val="1"/>
        </w:numPr>
      </w:pPr>
      <w:r>
        <w:t>The internal workspace uses graphite #262626 as its primary background and yellow #F5C242 accents. Primary actions use yellow with dark #171717 text/icons; supporting text uses light grey. Secondary controls use restrained graphite/neutral surfaces and grey borders/text. Destructive controls use red, and success feedback may use green.</w:t>
      </w:r>
    </w:p>
    <w:p>
      <w:pPr>
        <w:pStyle w:val="ListBullet"/>
        <w:numPr>
          <w:numId w:val="1"/>
        </w:numPr>
      </w:pPr>
      <w:r>
        <w:t>Internal forms use dark/graphite controls with grey borders/text and yellow focus or selection treatment. The desktop sidebar is sticky with viewport-height scrolling, adapts to a wrapping layout on smaller screens and displays route-aware active navigation with accessible current-page state.</w:t>
      </w:r>
    </w:p>
    <w:p>
      <w:pPr>
        <w:pStyle w:val="ListBullet"/>
        <w:numPr>
          <w:numId w:val="1"/>
        </w:numPr>
      </w:pPr>
      <w:r>
        <w:t>The respondent experience is visually separate: white/light background, near-black text, grey-bordered question blocks, light controls and green primary actions including Submit. Unselected radios and checkboxes have white fill and grey outline; selected radios use a near-black indicator, while selected checkboxes use near-black fill and a white check.</w:t>
      </w:r>
    </w:p>
    <w:p>
      <w:pPr>
        <w:pStyle w:val="ListBullet"/>
        <w:numPr>
          <w:numId w:val="1"/>
        </w:numPr>
      </w:pPr>
      <w:r>
        <w:t>Question headings and Required/Optional labels sit readably inside question blocks and wrap without colliding with borders. Choice groups retain accessible fieldset/group labelling; free-text inputs retain associated labels.</w:t>
      </w:r>
    </w:p>
    <w:p>
      <w:pPr>
        <w:pStyle w:val="Heading1"/>
      </w:pPr>
      <w:r>
        <w:t>20. Product acceptance criteria</w:t>
      </w:r>
    </w:p>
    <w:p>
      <w:r>
        <w:t>Admin can invite an employee by exact email and assigned role through a 72-hour, single-use link; acceptance cannot change email or role.</w:t>
      </w:r>
    </w:p>
    <w:p>
      <w:pPr/>
      <w:r>
        <w:t>Invitation tokens are stored hash-only; resend invalidates the old link; expired, consumed and disabled invitations cannot be accepted.</w:t>
      </w:r>
    </w:p>
    <w:p>
      <w:r>
        <w:rPr>
          <w:b/>
        </w:rPr>
        <w:t xml:space="preserve"/>
      </w:r>
      <w:r>
        <w:t>Product Manager cannot retrieve respondent PII through UI or direct API.</w:t>
      </w:r>
    </w:p>
    <w:p>
      <w:r>
        <w:t>Researcher/Admin can filter by Survey and exact Reference ID together; the count reflects the filtered set.</w:t>
      </w:r>
    </w:p>
    <w:p>
      <w:r>
        <w:t>The builder supports up to 50 questions, validates 2–11 choice options at activation and persists displayed changes before activating.</w:t>
      </w:r>
    </w:p>
    <w:p>
      <w:r>
        <w:rPr>
          <w:b/>
        </w:rPr>
        <w:t xml:space="preserve"/>
      </w:r>
      <w:r>
        <w:t>Active survey accepts public respondents and autosaves partial responses.</w:t>
      </w:r>
    </w:p>
    <w:p>
      <w:r>
        <w:rPr>
          <w:b/>
        </w:rPr>
        <w:t xml:space="preserve"/>
      </w:r>
      <w:r>
        <w:t>Same device resumes saved answers within the 24-hour edit window.</w:t>
      </w:r>
    </w:p>
    <w:p>
      <w:r>
        <w:rPr>
          <w:b/>
        </w:rPr>
        <w:t xml:space="preserve"/>
      </w:r>
      <w:r>
        <w:t>New device with same phone silently creates the latest CURRENT attempt and archives the previous one.</w:t>
      </w:r>
    </w:p>
    <w:p>
      <w:r>
        <w:t>Infrastructure pauses permit eligible existing attempts within the edit window; manual pauses reject further answer writes and submission.</w:t>
      </w:r>
    </w:p>
    <w:p>
      <w:r>
        <w:rPr>
          <w:b/>
        </w:rPr>
        <w:t xml:space="preserve"/>
      </w:r>
      <w:r>
        <w:t>Opened continues counting link opens during PENDING_CAPACITY.</w:t>
      </w:r>
    </w:p>
    <w:p>
      <w:r>
        <w:rPr>
          <w:b/>
        </w:rPr>
        <w:t xml:space="preserve"/>
      </w:r>
      <w:r>
        <w:t>Calculate Results creates a stable immutable snapshot; opening Results does not recalculate it.</w:t>
      </w:r>
    </w:p>
    <w:p>
      <w:r>
        <w:rPr>
          <w:b/>
        </w:rPr>
        <w:t xml:space="preserve"/>
      </w:r>
      <w:r>
        <w:t>Archived attempts never enter standard analytics.</w:t>
      </w:r>
    </w:p>
    <w:p>
      <w:r>
        <w:rPr>
          <w:b/>
        </w:rPr>
        <w:t xml:space="preserve"/>
      </w:r>
      <w:r>
        <w:t>Tie-highlighting and all-zero behavior match requirements.</w:t>
      </w:r>
    </w:p>
    <w:p>
      <w:r>
        <w:rPr>
          <w:b/>
        </w:rPr>
        <w:t xml:space="preserve"/>
      </w:r>
      <w:r>
        <w:t>Respondent-level XLSX is available only to Researcher/Admin and is formula-injection safe.</w:t>
      </w:r>
    </w:p>
    <w:p>
      <w:r>
        <w:t>Backend threshold alerts and 95% capacity protection operate as specified without an Administration usage dashboard.</w:t>
      </w:r>
    </w:p>
    <w:p>
      <w:pPr/>
      <w:r>
        <w:t>Last-active-Admin protection holds for concurrent demotion/deactivation; cancelling Admin assignment preserves the prior role.</w:t>
      </w:r>
    </w:p>
    <w:p>
      <w:pPr/>
      <w:r>
        <w:t>Single Choice branching supports forward destinations and END, rejects invalid routes, and remaps correctly on duplication of every supported non-tombstoned status.</w:t>
      </w:r>
    </w:p>
    <w:p>
      <w:pPr/>
      <w:r>
        <w:t>Route changes prune off-path answers; submission, completion, question results and current-answer exports use the resulting route consistently.</w:t>
      </w:r>
    </w:p>
    <w:p>
      <w:pPr/>
      <w:r>
        <w:t>+7 phone validation rejects incomplete and overlong pasted values on both frontend and backend.</w:t>
      </w:r>
    </w:p>
    <w:p>
      <w:pPr/>
      <w:r>
        <w:t>PDF uses the displayed immutable snapshot without recalculation, preserves percentage/tie semantics, excludes identity fields and is privately downloaded.</w:t>
      </w:r>
    </w:p>
    <w:p>
      <w:pPr/>
      <w:r>
        <w:t>Current/archived XLSX part controls are visible; internal and respondent themes remain distinct.</w:t>
      </w:r>
    </w:p>
    <w:p>
      <w:pPr>
        <w:pStyle w:val="Heading1"/>
      </w:pPr>
      <w:r>
        <w:t>21. Change-control rule</w:t>
      </w:r>
    </w:p>
    <w:p>
      <w:r>
        <w:t>This v1.1 baseline supersedes v1.0 for current product behaviour; v1.0 is retained unchanged as a historical version. Any subsequent product-requirement change requires explicit approval and a new PRD version. Material conflicts between requirements and implementation must be surfaced for product decision rather than resolved through undocumented product changes.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Survey Platform PRD v1.1</dc:title>
  <dc:subject>Current implemented product requirements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