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160"/>
      </w:pPr>
      <w:r>
        <w:rPr>
          <w:rFonts w:ascii="Calibri" w:hAnsi="Calibri"/>
          <w:b/>
          <w:color w:val="1F4D78"/>
          <w:sz w:val="20"/>
        </w:rPr>
        <w:t>FUNCTIONAL SPECIFICATION</w:t>
      </w:r>
    </w:p>
    <w:p>
      <w:pPr>
        <w:spacing w:after="120"/>
      </w:pPr>
      <w:r>
        <w:rPr>
          <w:rFonts w:ascii="Calibri" w:hAnsi="Calibri"/>
          <w:b/>
          <w:color w:val="0B1121"/>
          <w:sz w:val="60"/>
        </w:rPr>
        <w:t>KroniqOS</w:t>
      </w:r>
    </w:p>
    <w:p>
      <w:pPr>
        <w:spacing w:after="480"/>
      </w:pPr>
      <w:r>
        <w:rPr>
          <w:rFonts w:ascii="Calibri" w:hAnsi="Calibri"/>
          <w:color w:val="5B6472"/>
          <w:sz w:val="30"/>
        </w:rPr>
        <w:t>System behaviour, user flows, roles, data responsibilities and acceptance rules.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Document control</w:t>
            </w:r>
          </w:p>
        </w:tc>
        <w:tc>
          <w:tcPr>
            <w:tcW w:type="dxa" w:w="66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Product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KroniqOS — multi-tenant business operations platform</w:t>
            </w:r>
          </w:p>
        </w:tc>
      </w:tr>
      <w:tr>
        <w:tc>
          <w:tcPr>
            <w:tcW w:type="dxa" w:w="27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Prepared for</w:t>
            </w:r>
          </w:p>
        </w:tc>
        <w:tc>
          <w:tcPr>
            <w:tcW w:type="dxa" w:w="66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Product Management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1.0</w:t>
            </w:r>
          </w:p>
        </w:tc>
      </w:tr>
      <w:tr>
        <w:tc>
          <w:tcPr>
            <w:tcW w:type="dxa" w:w="27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Date</w:t>
            </w:r>
          </w:p>
        </w:tc>
        <w:tc>
          <w:tcPr>
            <w:tcW w:type="dxa" w:w="66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15 August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Current implemented scope and operating specification</w:t>
            </w:r>
          </w:p>
        </w:tc>
      </w:tr>
      <w:tr>
        <w:tc>
          <w:tcPr>
            <w:tcW w:type="dxa" w:w="27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Technology</w:t>
            </w:r>
          </w:p>
        </w:tc>
        <w:tc>
          <w:tcPr>
            <w:tcW w:type="dxa" w:w="66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React, TypeScript, Ant Design, Tailwind, Zustand, Dexie, Supabase, Edge Functions</w:t>
            </w:r>
          </w:p>
        </w:tc>
      </w:tr>
    </w:tbl>
    <w:p>
      <w:pPr>
        <w:spacing w:after="40"/>
      </w:pPr>
    </w:p>
    <w:p>
      <w:r>
        <w:t>This document reflects the implemented product scope. It is intended to support planning, demos, acceptance testing, training, and future release decisions.</w:t>
      </w:r>
    </w:p>
    <w:p>
      <w:r>
        <w:br w:type="page"/>
      </w:r>
    </w:p>
    <w:p>
      <w:pPr>
        <w:pStyle w:val="Heading1"/>
      </w:pPr>
      <w:r>
        <w:t>1. System context</w:t>
      </w:r>
    </w:p>
    <w:p>
      <w:r>
        <w:t>KroniqOS contains two protected application surfaces and one public surface: the tenant operations application, the KroniqOS platform control application, and an optional tenant storefront. All tenant data is scoped to an organisation and normally to one or more stores.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2500"/>
        <w:gridCol w:w="4760"/>
      </w:tblGrid>
      <w:tr>
        <w:tc>
          <w:tcPr>
            <w:tcW w:type="dxa" w:w="21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Surface</w:t>
            </w:r>
          </w:p>
        </w:tc>
        <w:tc>
          <w:tcPr>
            <w:tcW w:type="dxa" w:w="25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Audience</w:t>
            </w:r>
          </w:p>
        </w:tc>
        <w:tc>
          <w:tcPr>
            <w:tcW w:type="dxa" w:w="47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Tenant application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Tenant staff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Run retail, service, finance and configuration operations for one organisation.</w:t>
            </w:r>
          </w:p>
        </w:tc>
      </w:tr>
      <w:tr>
        <w:tc>
          <w:tcPr>
            <w:tcW w:type="dxa" w:w="21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 application</w:t>
            </w:r>
          </w:p>
        </w:tc>
        <w:tc>
          <w:tcPr>
            <w:tcW w:type="dxa" w:w="25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KroniqOS platform staff</w:t>
            </w:r>
          </w:p>
        </w:tc>
        <w:tc>
          <w:tcPr>
            <w:tcW w:type="dxa" w:w="4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Operate organisations, plans, billing, support/safety, status, analytics and platform audit.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Public storefront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Customers of a Growth tenant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Browse tenant catalogue/content and begin ordering without dashboard access.</w:t>
            </w:r>
          </w:p>
        </w:tc>
      </w:tr>
    </w:tbl>
    <w:p>
      <w:pPr>
        <w:spacing w:after="40"/>
      </w:pPr>
    </w:p>
    <w:p>
      <w:pPr>
        <w:pStyle w:val="Heading1"/>
      </w:pPr>
      <w:r>
        <w:t>2. Authentication, tenancy and RBAC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50"/>
        <w:gridCol w:w="5000"/>
        <w:gridCol w:w="2610"/>
      </w:tblGrid>
      <w:tr>
        <w:tc>
          <w:tcPr>
            <w:tcW w:type="dxa" w:w="175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Function</w:t>
            </w:r>
          </w:p>
        </w:tc>
        <w:tc>
          <w:tcPr>
            <w:tcW w:type="dxa" w:w="50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Behaviour</w:t>
            </w:r>
          </w:p>
        </w:tc>
        <w:tc>
          <w:tcPr>
            <w:tcW w:type="dxa" w:w="261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Authorisation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Tenant sign-in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User signs in using Supabase Auth email/password and is routed to their tenant workspace when active membership/profile is resolved.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Authenticated user with valid active tenant membership.</w:t>
            </w:r>
          </w:p>
        </w:tc>
      </w:tr>
      <w:tr>
        <w:tc>
          <w:tcPr>
            <w:tcW w:type="dxa" w:w="17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 sign-in</w:t>
            </w:r>
          </w:p>
        </w:tc>
        <w:tc>
          <w:tcPr>
            <w:tcW w:type="dxa" w:w="50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User signs in at platform route; platform access is checked separately from tenant membership.</w:t>
            </w:r>
          </w:p>
        </w:tc>
        <w:tc>
          <w:tcPr>
            <w:tcW w:type="dxa" w:w="261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 owner/operator/support/finance/viewer as assigned.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Company registration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Prospective owner creates account then completes company/organisation onboarding.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Unauthenticated registration; email confirmation follows Supabase project settings.</w:t>
            </w:r>
          </w:p>
        </w:tc>
      </w:tr>
      <w:tr>
        <w:tc>
          <w:tcPr>
            <w:tcW w:type="dxa" w:w="17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Tenant role enforcement</w:t>
            </w:r>
          </w:p>
        </w:tc>
        <w:tc>
          <w:tcPr>
            <w:tcW w:type="dxa" w:w="50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Menu visibility reflects role, but RPCs/RLS validate role/store on all protected data mutations.</w:t>
            </w:r>
          </w:p>
        </w:tc>
        <w:tc>
          <w:tcPr>
            <w:tcW w:type="dxa" w:w="261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Cashier, manager, admin.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Staff lifecycle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Admin creates staff using Edge Function. Deactivated/suspended memberships must remove tenant access.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Tenant admin for staff actions; service role remains server-side only.</w:t>
            </w:r>
          </w:p>
        </w:tc>
      </w:tr>
      <w:tr>
        <w:tc>
          <w:tcPr>
            <w:tcW w:type="dxa" w:w="17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 role enforcement</w:t>
            </w:r>
          </w:p>
        </w:tc>
        <w:tc>
          <w:tcPr>
            <w:tcW w:type="dxa" w:w="50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 pages and RPCs enforce platform RBAC; access by manually typing a URL must not provide data.</w:t>
            </w:r>
          </w:p>
        </w:tc>
        <w:tc>
          <w:tcPr>
            <w:tcW w:type="dxa" w:w="261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 role required per operation.</w:t>
            </w:r>
          </w:p>
        </w:tc>
      </w:tr>
    </w:tbl>
    <w:p>
      <w:pPr>
        <w:spacing w:after="40"/>
      </w:pPr>
    </w:p>
    <w:p>
      <w:pPr>
        <w:pStyle w:val="Heading1"/>
      </w:pPr>
      <w:r>
        <w:t>3. Tenant navigation and responsive behaviour</w:t>
      </w:r>
    </w:p>
    <w:p>
      <w:pPr>
        <w:pStyle w:val="ListBullet"/>
      </w:pPr>
      <w:r>
        <w:t>Desktop tenant navigation is collapsible; content width reflows when it opens or closes.</w:t>
      </w:r>
    </w:p>
    <w:p>
      <w:pPr>
        <w:pStyle w:val="ListBullet"/>
      </w:pPr>
      <w:r>
        <w:t>Mobile tenant navigation uses a bottom bar for Home, Checkout, Cart, relevant module shortcut, and More. More opens the sidebar; tapping outside closes it.</w:t>
      </w:r>
    </w:p>
    <w:p>
      <w:pPr>
        <w:pStyle w:val="ListBullet"/>
      </w:pPr>
      <w:r>
        <w:t>Mobile header uses a three-dot account menu for user name, role and sign out.</w:t>
      </w:r>
    </w:p>
    <w:p>
      <w:pPr>
        <w:pStyle w:val="ListBullet"/>
      </w:pPr>
      <w:r>
        <w:t>Platform desktop sidebar stays visible. On mobile it becomes an off-canvas drawer opened by the header hamburger; selection or outside tap dismisses it.</w:t>
      </w:r>
    </w:p>
    <w:p>
      <w:pPr>
        <w:pStyle w:val="ListBullet"/>
      </w:pPr>
      <w:r>
        <w:t>The footer occupies the bottom of short pages without overlaying content.</w:t>
      </w:r>
    </w:p>
    <w:p>
      <w:pPr>
        <w:pStyle w:val="Heading1"/>
      </w:pPr>
      <w:r>
        <w:t>4. Retail checkout functional flow</w:t>
      </w:r>
    </w:p>
    <w:p>
      <w:pPr>
        <w:pStyle w:val="ListNumber"/>
      </w:pPr>
      <w:r>
        <w:t>Cashier opens Checkout. The local product catalogue is shown in a paginated/searchable product list; cart begins empty and payment defaults to Cash.</w:t>
      </w:r>
    </w:p>
    <w:p>
      <w:pPr>
        <w:pStyle w:val="ListNumber"/>
      </w:pPr>
      <w:r>
        <w:t>Cashier searches by name, SKU or barcode. A recognised scanner input with Enter adds the product. Selecting a product opens a quantity entry modal so a large quantity can be entered directly.</w:t>
      </w:r>
    </w:p>
    <w:p>
      <w:pPr>
        <w:pStyle w:val="ListNumber"/>
      </w:pPr>
      <w:r>
        <w:t>Cart displays line quantity, unit price and totals. Cashier may change quantity; authorised users may apply discount or, in historical mode, set original sale price.</w:t>
      </w:r>
    </w:p>
    <w:p>
      <w:pPr>
        <w:pStyle w:val="ListNumber"/>
      </w:pPr>
      <w:r>
        <w:t>Cashier selects Cash, Card/POS, Transfer or Credit. Cash tendered begins at the exact total; user changes it only when change is required.</w:t>
      </w:r>
    </w:p>
    <w:p>
      <w:pPr>
        <w:pStyle w:val="ListNumber"/>
      </w:pPr>
      <w:r>
        <w:t>Credit opens a modal requiring customer name and phone and optionally accepts initial payment and expected payment date. Credit amount is sale total minus initial payment.</w:t>
      </w:r>
    </w:p>
    <w:p>
      <w:pPr>
        <w:pStyle w:val="ListNumber"/>
      </w:pPr>
      <w:r>
        <w:t>Cashier completes sale. Online checkout is confirmed against server; offline-compatible checkout is stored locally with durable client ID and added to sync outbox.</w:t>
      </w:r>
    </w:p>
    <w:p>
      <w:pPr>
        <w:pStyle w:val="ListNumber"/>
      </w:pPr>
      <w:r>
        <w:t>Cart, customer credit details, cash tender and payment method reset after a successful completion. The next sale defaults to Cash.</w:t>
      </w:r>
    </w:p>
    <w:p>
      <w:pPr>
        <w:pStyle w:val="ListNumber"/>
      </w:pPr>
      <w:r>
        <w:t>Receipt is viewable/printable. On a dual-screen machine the customer-display action opens the customer display view in a separate window; it must not replace the cashier tab.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50"/>
        <w:gridCol w:w="6310"/>
      </w:tblGrid>
      <w:tr>
        <w:tc>
          <w:tcPr>
            <w:tcW w:type="dxa" w:w="305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Checkout exception</w:t>
            </w:r>
          </w:p>
        </w:tc>
        <w:tc>
          <w:tcPr>
            <w:tcW w:type="dxa" w:w="631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Required behaviour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No matching barcode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Show not-found message. Manager/admin can create product with scanned barcode prefilled; cashier cannot create catalogue item.</w:t>
            </w:r>
          </w:p>
        </w:tc>
      </w:tr>
      <w:tr>
        <w:tc>
          <w:tcPr>
            <w:tcW w:type="dxa" w:w="3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Insufficient cash tender</w:t>
            </w:r>
          </w:p>
        </w:tc>
        <w:tc>
          <w:tcPr>
            <w:tcW w:type="dxa" w:w="631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Disable completion and clearly show amount remaining.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Offline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Keep selling from cached catalogue. Sync badge shows pending count. Do not silently drop records.</w:t>
            </w:r>
          </w:p>
        </w:tc>
      </w:tr>
      <w:tr>
        <w:tc>
          <w:tcPr>
            <w:tcW w:type="dxa" w:w="3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Sync rejected</w:t>
            </w:r>
          </w:p>
        </w:tc>
        <w:tc>
          <w:tcPr>
            <w:tcW w:type="dxa" w:w="631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Keep queue record and show actionable reason. Typical examples include role, product ID, price/total validation or stock validation.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Hold sale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Persist locally, clear active cart, make sale visible directly below completion controls, resume restores exact cart; discard is explicit.</w:t>
            </w:r>
          </w:p>
        </w:tc>
      </w:tr>
      <w:tr>
        <w:tc>
          <w:tcPr>
            <w:tcW w:type="dxa" w:w="3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Historical sale</w:t>
            </w:r>
          </w:p>
        </w:tc>
        <w:tc>
          <w:tcPr>
            <w:tcW w:type="dxa" w:w="631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Manager/admin-only date picker. Past sale does not deduct current stock unless stock correction is explicitly checked; it is labelled in history.</w:t>
            </w:r>
          </w:p>
        </w:tc>
      </w:tr>
    </w:tbl>
    <w:p>
      <w:pPr>
        <w:spacing w:after="40"/>
      </w:pPr>
    </w:p>
    <w:p>
      <w:pPr>
        <w:pStyle w:val="Heading1"/>
      </w:pPr>
      <w:r>
        <w:t>5. Inventory, catalogue and deliveries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3500"/>
        <w:gridCol w:w="3760"/>
      </w:tblGrid>
      <w:tr>
        <w:tc>
          <w:tcPr>
            <w:tcW w:type="dxa" w:w="21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 case</w:t>
            </w:r>
          </w:p>
        </w:tc>
        <w:tc>
          <w:tcPr>
            <w:tcW w:type="dxa" w:w="35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Inputs</w:t>
            </w:r>
          </w:p>
        </w:tc>
        <w:tc>
          <w:tcPr>
            <w:tcW w:type="dxa" w:w="37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System 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Add product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Barcode/SKU first, name, description, category, cost price, selling price, stock/low-stock threshold.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Online server creates store-scoped product; product limit is checked; local catalogue refreshes.</w:t>
            </w:r>
          </w:p>
        </w:tc>
      </w:tr>
      <w:tr>
        <w:tc>
          <w:tcPr>
            <w:tcW w:type="dxa" w:w="21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Edit product</w:t>
            </w:r>
          </w:p>
        </w:tc>
        <w:tc>
          <w:tcPr>
            <w:tcW w:type="dxa" w:w="35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Product fields, online availability, up to two product images where storefront entitlement permits.</w:t>
            </w:r>
          </w:p>
        </w:tc>
        <w:tc>
          <w:tcPr>
            <w:tcW w:type="dxa" w:w="3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Online update persists to Supabase and product/storefront reads refresh.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Category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Existing category or free-text category when adding product.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Category is created/reused online and assigned to product.</w:t>
            </w:r>
          </w:p>
        </w:tc>
      </w:tr>
      <w:tr>
        <w:tc>
          <w:tcPr>
            <w:tcW w:type="dxa" w:w="21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Receive supplier delivery</w:t>
            </w:r>
          </w:p>
        </w:tc>
        <w:tc>
          <w:tcPr>
            <w:tcW w:type="dxa" w:w="35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Product, stock location, supplier, quantity, unit cost, received date.</w:t>
            </w:r>
          </w:p>
        </w:tc>
        <w:tc>
          <w:tcPr>
            <w:tcW w:type="dxa" w:w="3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Online inventory movement increases location stock; delivery log is created; cost price and price-history audit are updated as applicable.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Count stock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Physical count.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Online adjustment records variance and count movement.</w:t>
            </w:r>
          </w:p>
        </w:tc>
      </w:tr>
      <w:tr>
        <w:tc>
          <w:tcPr>
            <w:tcW w:type="dxa" w:w="21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Adjust stock</w:t>
            </w:r>
          </w:p>
        </w:tc>
        <w:tc>
          <w:tcPr>
            <w:tcW w:type="dxa" w:w="35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Quantity delta / desired count and reason.</w:t>
            </w:r>
          </w:p>
        </w:tc>
        <w:tc>
          <w:tcPr>
            <w:tcW w:type="dxa" w:w="3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Online inventory ledger records adjustment and actor; local product cache refreshes.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Warehouse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Optional named locations including shop floor and warehouse.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Stock can be received into a location; checkout stock is expected from shop floor.</w:t>
            </w:r>
          </w:p>
        </w:tc>
      </w:tr>
    </w:tbl>
    <w:p>
      <w:pPr>
        <w:spacing w:after="40"/>
      </w:pPr>
    </w:p>
    <w:p>
      <w:pPr>
        <w:pStyle w:val="Heading1"/>
      </w:pPr>
      <w:r>
        <w:t>6. Sales, returns, shifts, reports and imports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Feature</w:t>
            </w:r>
          </w:p>
        </w:tc>
        <w:tc>
          <w:tcPr>
            <w:tcW w:type="dxa" w:w="66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Functional rule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Sales list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Supports date and payment/cashier filters, receipt details with individual line items and quantities, local/online visibility, CSV export and authorised historical bulk upload.</w:t>
            </w:r>
          </w:p>
        </w:tc>
      </w:tr>
      <w:tr>
        <w:tc>
          <w:tcPr>
            <w:tcW w:type="dxa" w:w="27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Returns/exchanges</w:t>
            </w:r>
          </w:p>
        </w:tc>
        <w:tc>
          <w:tcPr>
            <w:tcW w:type="dxa" w:w="66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Online manager/admin workflow. User selects original sale, individual line items and quantities; server prevents over-return, restores stock and writes actor/date audit trail.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Cash shifts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Cashier/manager opens and closes a shift. System calculates expected cash, permits counted cash and variance reason, and keeps an auditable closing record.</w:t>
            </w:r>
          </w:p>
        </w:tc>
      </w:tr>
      <w:tr>
        <w:tc>
          <w:tcPr>
            <w:tcW w:type="dxa" w:w="27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Profit reports</w:t>
            </w:r>
          </w:p>
        </w:tc>
        <w:tc>
          <w:tcPr>
            <w:tcW w:type="dxa" w:w="66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Admin sees period, date/month/year filters and per-line quantity, unit selling price, sale-time unit cost, COGS and profit. All summary values are derived from included sale lines.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Bulk CSV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Expenses and historical sales offer warning guidance, sample CSV download, file selection, preview and row-level error handling. Import is server-backed and does not bypass roles.</w:t>
            </w:r>
          </w:p>
        </w:tc>
      </w:tr>
      <w:tr>
        <w:tc>
          <w:tcPr>
            <w:tcW w:type="dxa" w:w="27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Date selection</w:t>
            </w:r>
          </w:p>
        </w:tc>
        <w:tc>
          <w:tcPr>
            <w:tcW w:type="dxa" w:w="66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Operational dates use Ant Design DatePicker. Filter periods spanning two dates use RangePicker. Stored server values are formatted YYYY-MM-DD.</w:t>
            </w:r>
          </w:p>
        </w:tc>
      </w:tr>
    </w:tbl>
    <w:p>
      <w:pPr>
        <w:spacing w:after="40"/>
      </w:pPr>
    </w:p>
    <w:p>
      <w:pPr>
        <w:pStyle w:val="Heading1"/>
      </w:pPr>
      <w:r>
        <w:t>7. Customer credit and expenses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650"/>
        <w:gridCol w:w="6710"/>
      </w:tblGrid>
      <w:tr>
        <w:tc>
          <w:tcPr>
            <w:tcW w:type="dxa" w:w="265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Credit lifecycle</w:t>
            </w:r>
          </w:p>
        </w:tc>
        <w:tc>
          <w:tcPr>
            <w:tcW w:type="dxa" w:w="671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Behaviour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Create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 credit checkout creates or links customer profile, records total, initial payment if provided, outstanding balance, optional due date and credit status.</w:t>
            </w:r>
          </w:p>
        </w:tc>
      </w:tr>
      <w:tr>
        <w:tc>
          <w:tcPr>
            <w:tcW w:type="dxa" w:w="26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Register</w:t>
            </w:r>
          </w:p>
        </w:tc>
        <w:tc>
          <w:tcPr>
            <w:tcW w:type="dxa" w:w="671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Credit page shows customer, original amount, amount paid, balance, due date and status including paid/active/overdue where calculated.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Partial payment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Manager/admin records amount and payment date. Server validates entitlement and remaining balance, then appends payment history.</w:t>
            </w:r>
          </w:p>
        </w:tc>
      </w:tr>
      <w:tr>
        <w:tc>
          <w:tcPr>
            <w:tcW w:type="dxa" w:w="26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Payment evidence</w:t>
            </w:r>
          </w:p>
        </w:tc>
        <w:tc>
          <w:tcPr>
            <w:tcW w:type="dxa" w:w="671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Credit detail can show printable payment history for reconciliation and customer communication.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Expense creation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Manager/admin records category (select or add), description, amount and expense date. Expense is immediately online-authoritative and displayed in reports/dashboard.</w:t>
            </w:r>
          </w:p>
        </w:tc>
      </w:tr>
    </w:tbl>
    <w:p>
      <w:pPr>
        <w:spacing w:after="40"/>
      </w:pPr>
    </w:p>
    <w:p>
      <w:pPr>
        <w:pStyle w:val="Heading1"/>
      </w:pPr>
      <w:r>
        <w:t>8. Service/project operations</w:t>
      </w:r>
    </w:p>
    <w:p>
      <w:pPr>
        <w:pStyle w:val="ListNumber"/>
      </w:pPr>
      <w:r>
        <w:t>Tenant enables Services business mode through platform/organisation configuration. Service-only businesses see service-relevant dashboard/menu; businesses with both modes see both.</w:t>
      </w:r>
    </w:p>
    <w:p>
      <w:pPr>
        <w:pStyle w:val="ListNumber"/>
      </w:pPr>
      <w:r>
        <w:t>Admin/manager creates reusable service definitions containing title, description and optional benchmark price.</w:t>
      </w:r>
    </w:p>
    <w:p>
      <w:pPr>
        <w:pStyle w:val="ListNumber"/>
      </w:pPr>
      <w:r>
        <w:t>New Project wizard: select existing client or add client/company name and required phone; email/address optional. Then select service, title, description, project date, estimated delivery, value, optional deposit and PDF document.</w:t>
      </w:r>
    </w:p>
    <w:p>
      <w:pPr>
        <w:pStyle w:val="ListNumber"/>
      </w:pPr>
      <w:r>
        <w:t>Project details drawer shows client, service, status, stage, dates, quoted amount, received amount and balance.</w:t>
      </w:r>
    </w:p>
    <w:p>
      <w:pPr>
        <w:pStyle w:val="ListNumber"/>
      </w:pPr>
      <w:r>
        <w:t>Team can record project payments, choose payment method/date/reference/note, add project expenses, assign staff, attach documents and update workflow stage/comment.</w:t>
      </w:r>
    </w:p>
    <w:p>
      <w:pPr>
        <w:pStyle w:val="ListNumber"/>
      </w:pPr>
      <w:r>
        <w:t>Stage activity/history is retained. When configured, stage update can be used to prepare/send a WhatsApp client update.</w:t>
      </w:r>
    </w:p>
    <w:p>
      <w:pPr>
        <w:pStyle w:val="ListNumber"/>
      </w:pPr>
      <w:r>
        <w:t>Invoice print includes tenant/company logo and name, contract details, payment breakdown and outstanding balance.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Project status</w:t>
            </w:r>
          </w:p>
        </w:tc>
        <w:tc>
          <w:tcPr>
            <w:tcW w:type="dxa" w:w="65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Interpretation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New / ongoing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Project has been created and is moving through stages.</w:t>
            </w:r>
          </w:p>
        </w:tc>
      </w:tr>
      <w:tr>
        <w:tc>
          <w:tcPr>
            <w:tcW w:type="dxa" w:w="28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Due soon / overdue</w:t>
            </w:r>
          </w:p>
        </w:tc>
        <w:tc>
          <w:tcPr>
            <w:tcW w:type="dxa" w:w="6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Derived from estimated delivery date and current date; should be visually clear to operations.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Completed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Team closes project when delivery/work is done; financial balance may still be visible for collection.</w:t>
            </w:r>
          </w:p>
        </w:tc>
      </w:tr>
    </w:tbl>
    <w:p>
      <w:pPr>
        <w:spacing w:after="40"/>
      </w:pPr>
    </w:p>
    <w:p>
      <w:pPr>
        <w:pStyle w:val="Heading1"/>
      </w:pPr>
      <w:r>
        <w:t>9. Storefront and content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Capability</w:t>
            </w:r>
          </w:p>
        </w:tc>
        <w:tc>
          <w:tcPr>
            <w:tcW w:type="dxa" w:w="68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Rule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Entitlement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Only Growth or higher plan tenants see storefront management/navigation and may activate public shop.</w:t>
            </w:r>
          </w:p>
        </w:tc>
      </w:tr>
      <w:tr>
        <w:tc>
          <w:tcPr>
            <w:tcW w:type="dxa" w:w="25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Branding</w:t>
            </w:r>
          </w:p>
        </w:tc>
        <w:tc>
          <w:tcPr>
            <w:tcW w:type="dxa" w:w="68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Company name is source of storefront name; Growth tenant may upload logo, choose primary colour and use up to two hero images.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Products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Tenant can add product description, online availability/publish state and up to two product images to protect storage usage.</w:t>
            </w:r>
          </w:p>
        </w:tc>
      </w:tr>
      <w:tr>
        <w:tc>
          <w:tcPr>
            <w:tcW w:type="dxa" w:w="25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Page layout</w:t>
            </w:r>
          </w:p>
        </w:tc>
        <w:tc>
          <w:tcPr>
            <w:tcW w:type="dxa" w:w="68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Public pages include professional header/hero/product listing/footer, product details, About and Contact with mini hero image and breadcrumb.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Homepage sections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Tenant manages featured/recent product blocks, categories, custom sections, vision/mission, testimonials and calls to action.</w:t>
            </w:r>
          </w:p>
        </w:tc>
      </w:tr>
      <w:tr>
        <w:tc>
          <w:tcPr>
            <w:tcW w:type="dxa" w:w="25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Search and ordering</w:t>
            </w:r>
          </w:p>
        </w:tc>
        <w:tc>
          <w:tcPr>
            <w:tcW w:type="dxa" w:w="68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Storefront provides catalogue search and ordering foundation. It must only show products published/available online for that tenant.</w:t>
            </w:r>
          </w:p>
        </w:tc>
      </w:tr>
    </w:tbl>
    <w:p>
      <w:pPr>
        <w:spacing w:after="40"/>
      </w:pPr>
    </w:p>
    <w:p>
      <w:pPr>
        <w:pStyle w:val="Heading1"/>
      </w:pPr>
      <w:r>
        <w:t>10. SaaS platform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67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Functional behaviour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Organisation operations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List/filter organisation, open profile, see stores/status/staff count/owners, change plan, resend supported onboarding/invites, suspend/reactivate where authorised.</w:t>
            </w:r>
          </w:p>
        </w:tc>
      </w:tr>
      <w:tr>
        <w:tc>
          <w:tcPr>
            <w:tcW w:type="dxa" w:w="26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Plan editor</w:t>
            </w:r>
          </w:p>
        </w:tc>
        <w:tc>
          <w:tcPr>
            <w:tcW w:type="dxa" w:w="6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Platform-authorised users update plan name, description, monthly price, active state, numeric limits and feature flags. Changes create platform audit events.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Billing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Tracks trials, current plan/period, payment history, Paystack subscription configuration and past-due/suspension rules. External billing requires deployed/configured Edge Functions and Paystack secrets.</w:t>
            </w:r>
          </w:p>
        </w:tc>
      </w:tr>
      <w:tr>
        <w:tc>
          <w:tcPr>
            <w:tcW w:type="dxa" w:w="26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Audit log</w:t>
            </w:r>
          </w:p>
        </w:tc>
        <w:tc>
          <w:tcPr>
            <w:tcW w:type="dxa" w:w="6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Search and date range filter system actions such as plan, suspension, settings and operational actions; shows actor, organisation, timestamp and before/after data.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Analytics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Date range reports active organisations, new sign-ups, churn, stores, staff, sales volume, subscription revenue, trials started and trial-to-paid conversion.</w:t>
            </w:r>
          </w:p>
        </w:tc>
      </w:tr>
      <w:tr>
        <w:tc>
          <w:tcPr>
            <w:tcW w:type="dxa" w:w="26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Support &amp; safety</w:t>
            </w:r>
          </w:p>
        </w:tc>
        <w:tc>
          <w:tcPr>
            <w:tcW w:type="dxa" w:w="6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Support notes/tickets, time-limited/audited organisation view access, maintenance notices and system-status controls.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 team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Platform RBAC dashboard controls owner, operator, support, finance and viewer permissions.</w:t>
            </w:r>
          </w:p>
        </w:tc>
      </w:tr>
    </w:tbl>
    <w:p>
      <w:pPr>
        <w:spacing w:after="40"/>
      </w:pPr>
    </w:p>
    <w:p>
      <w:pPr>
        <w:pStyle w:val="Heading1"/>
      </w:pPr>
      <w:r>
        <w:t>11. Data, sync and security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Concern</w:t>
            </w:r>
          </w:p>
        </w:tc>
        <w:tc>
          <w:tcPr>
            <w:tcW w:type="dxa" w:w="67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Requirement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Tenant boundary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Every tenant record is scoped by organisation/store and protected by Supabase RLS; user must not read/write other organisation data.</w:t>
            </w:r>
          </w:p>
        </w:tc>
      </w:tr>
      <w:tr>
        <w:tc>
          <w:tcPr>
            <w:tcW w:type="dxa" w:w="26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Offline database</w:t>
            </w:r>
          </w:p>
        </w:tc>
        <w:tc>
          <w:tcPr>
            <w:tcW w:type="dxa" w:w="6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Dexie/IndexedDB stores checkout-relevant catalogue, cart/held-sale state, sale items, sync outbox and local receipts. It is not the full business system of record.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Sync method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Background sync pushes durable checkout/outbox items idempotently, then pulls relevant cloud records. UI shows pending count and sync error reason.</w:t>
            </w:r>
          </w:p>
        </w:tc>
      </w:tr>
      <w:tr>
        <w:tc>
          <w:tcPr>
            <w:tcW w:type="dxa" w:w="26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Financial integrity</w:t>
            </w:r>
          </w:p>
        </w:tc>
        <w:tc>
          <w:tcPr>
            <w:tcW w:type="dxa" w:w="6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Server recalculates/validates totals and permissions. Currency storage uses integer minor units where applicable.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Audit data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Returns, stock movements, deliveries, price changes, shift close, credit payments, project actions, plan changes and platform actions retain timestamps and actors.</w:t>
            </w:r>
          </w:p>
        </w:tc>
      </w:tr>
      <w:tr>
        <w:tc>
          <w:tcPr>
            <w:tcW w:type="dxa" w:w="26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Secrets</w:t>
            </w:r>
          </w:p>
        </w:tc>
        <w:tc>
          <w:tcPr>
            <w:tcW w:type="dxa" w:w="67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Supabase service-role key and Paystack private keys are Edge Function/server secrets only. Browser uses publishable key.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Backups/monitoring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Operational process must define database backups, error tracking, alerting, CI/CD checks, incident ownership and recovery testing before scaled rollout.</w:t>
            </w:r>
          </w:p>
        </w:tc>
      </w:tr>
    </w:tbl>
    <w:p>
      <w:pPr>
        <w:spacing w:after="40"/>
      </w:pPr>
    </w:p>
    <w:p>
      <w:pPr>
        <w:pStyle w:val="Heading1"/>
      </w:pPr>
      <w:r>
        <w:t>12. PM test scenarios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Scenario</w:t>
            </w:r>
          </w:p>
        </w:tc>
        <w:tc>
          <w:tcPr>
            <w:tcW w:type="dxa" w:w="6360"/>
            <w:shd w:fill="EE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Pass condition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Offline cash sale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Disable network; complete sale; reload; queue remains. Restore network; sale syncs once and appears in cloud sales.</w:t>
            </w:r>
          </w:p>
        </w:tc>
      </w:tr>
      <w:tr>
        <w:tc>
          <w:tcPr>
            <w:tcW w:type="dxa" w:w="30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Credit sale</w:t>
            </w:r>
          </w:p>
        </w:tc>
        <w:tc>
          <w:tcPr>
            <w:tcW w:type="dxa" w:w="6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Enter client, phone, due date and optional deposit; completion clears checkout; credit register reflects balance; partial payment updates history/status.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Supplier price increase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Receive delivery with new unit cost/date; stock rises; current cost and cost/price history update; later sale profit uses its own snapshot.</w:t>
            </w:r>
          </w:p>
        </w:tc>
      </w:tr>
      <w:tr>
        <w:tc>
          <w:tcPr>
            <w:tcW w:type="dxa" w:w="30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Partial return</w:t>
            </w:r>
          </w:p>
        </w:tc>
        <w:tc>
          <w:tcPr>
            <w:tcW w:type="dxa" w:w="6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Manager selects one sold item and partial quantity; server rejects over-return; inventory restores correct quantity and return actor appears in audit.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Historical entry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Admin records a past sale with original price; record appears in sales/reports as historical and stock remains unchanged unless correction is selected.</w:t>
            </w:r>
          </w:p>
        </w:tc>
      </w:tr>
      <w:tr>
        <w:tc>
          <w:tcPr>
            <w:tcW w:type="dxa" w:w="30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Service project</w:t>
            </w:r>
          </w:p>
        </w:tc>
        <w:tc>
          <w:tcPr>
            <w:tcW w:type="dxa" w:w="6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Create new client in project wizard; include date/PDF; add payment, expense and stage; invoice prints company branding and payment breakdown.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Plan entitlement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Starter tenant cannot access storefront. After Growth entitlement, storefront management becomes available. Product limit blocks additional product creation when reached.</w:t>
            </w:r>
          </w:p>
        </w:tc>
      </w:tr>
      <w:tr>
        <w:tc>
          <w:tcPr>
            <w:tcW w:type="dxa" w:w="30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Mobile platform</w:t>
            </w:r>
          </w:p>
        </w:tc>
        <w:tc>
          <w:tcPr>
            <w:tcW w:type="dxa" w:w="6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0B1121"/>
                <w:sz w:val="19"/>
              </w:rPr>
              <w:t>At mobile width hamburger opens platform sidebar, outside tap/selection closes it, and content remains unobscured.</w:t>
            </w:r>
          </w:p>
        </w:tc>
      </w:tr>
    </w:tbl>
    <w:p>
      <w:pPr>
        <w:spacing w:after="40"/>
      </w:pPr>
    </w:p>
    <w:p>
      <w:pPr>
        <w:pStyle w:val="Heading1"/>
      </w:pPr>
      <w:r>
        <w:t>13. Operational runbook and unresolved follow-ups</w:t>
      </w:r>
    </w:p>
    <w:p>
      <w:pPr>
        <w:pStyle w:val="ListBullet"/>
      </w:pPr>
      <w:r>
        <w:t>Run migrations in timestamp order and deploy Edge Functions after their related database functions/tables exist.</w:t>
      </w:r>
    </w:p>
    <w:p>
      <w:pPr>
        <w:pStyle w:val="ListBullet"/>
      </w:pPr>
      <w:r>
        <w:t>For billing, configure Paystack secrets and webhook endpoints in Supabase before enabling upgrades as a production promise.</w:t>
      </w:r>
    </w:p>
    <w:p>
      <w:pPr>
        <w:pStyle w:val="ListBullet"/>
      </w:pPr>
      <w:r>
        <w:t>Maintain a tested support path for “Sync needs attention”; never instruct staff to clear IndexedDB before confirming pending transactions are reconciled.</w:t>
      </w:r>
    </w:p>
    <w:p>
      <w:pPr>
        <w:pStyle w:val="ListBullet"/>
      </w:pPr>
      <w:r>
        <w:t>Confirm all critical server functions use the actual current role/membership source and write RLS tests for admin, manager and cashier.</w:t>
      </w:r>
    </w:p>
    <w:p>
      <w:pPr>
        <w:pStyle w:val="ListBullet"/>
      </w:pPr>
      <w:r>
        <w:t>Before multi-store launch, define branch onboarding, inventory transfer, reporting aggregation and user membership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472"/>
        <w:sz w:val="16"/>
      </w:rPr>
      <w:t>Confidential — Product planning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B6472"/>
        <w:sz w:val="16"/>
      </w:rPr>
      <w:t>KRONIQOS  |  Functional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1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12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