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after="480"/>
        <w:ind/>
        <w:jc w:val="left"/>
        <w:rPr/>
      </w:pPr>
      <w:r>
        <w:rPr>
          <w:b/>
          <w:bCs/>
          <w:color w:val="241a61"/>
          <w:sz w:val="20"/>
          <w:szCs w:val="20"/>
        </w:rPr>
        <w:t xml:space="preserve">LIGA MUNICIPAL DE FÚTBOL AMATEUR DE MORELIA, A.C.</w:t>
      </w:r>
      <w:r/>
    </w:p>
    <w:p>
      <w:pPr>
        <w:pStyle w:val="727"/>
        <w:pBdr/>
        <w:spacing/>
        <w:ind/>
        <w:rPr/>
      </w:pPr>
      <w:r>
        <w:t xml:space="preserve">Especificación de Requisitos de Software (ERS)</w:t>
      </w:r>
      <w:r/>
    </w:p>
    <w:p>
      <w:pPr>
        <w:pStyle w:val="728"/>
        <w:pBdr>
          <w:bottom w:val="single" w:color="241a61" w:sz="6" w:space="4"/>
        </w:pBdr>
        <w:spacing w:after="360"/>
        <w:ind/>
        <w:rPr/>
      </w:pPr>
      <w:r>
        <w:t xml:space="preserve">Sistema de Gestión de la Liga Municipal de Futbol Amateur Morelia</w:t>
      </w:r>
      <w:r/>
    </w:p>
    <w:p>
      <w:pPr>
        <w:pBdr/>
        <w:spacing w:after="40"/>
        <w:ind/>
        <w:jc w:val="left"/>
        <w:rPr/>
      </w:pPr>
      <w:r>
        <w:rPr>
          <w:color w:val="404040"/>
        </w:rPr>
        <w:t xml:space="preserve">Elaborado conforme a ISO/IEC/IEEE 29148:2018</w:t>
      </w:r>
      <w:r/>
    </w:p>
    <w:p>
      <w:pPr>
        <w:pBdr/>
        <w:spacing w:after="720"/>
        <w:ind/>
        <w:jc w:val="left"/>
        <w:rPr/>
      </w:pPr>
      <w:r>
        <w:rPr>
          <w:color w:val="404040"/>
        </w:rPr>
        <w:t xml:space="preserve">Contenido de esta versión: Sección 1 — Introducción</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3000"/>
        <w:gridCol w:w="6404"/>
      </w:tblGrid>
      <w:tr>
        <w:trPr>
          <w:cantSplit/>
          <w:trHeight w:val="380"/>
        </w:trPr>
        <w:tc>
          <w:tcPr>
            <w:shd w:val="clear" w:color="auto" w:fill="f3f2f8"/>
            <w:tcBorders/>
            <w:tcW w:w="3000" w:type="dxa"/>
          </w:tcPr>
          <w:p>
            <w:pPr>
              <w:pStyle w:val="731"/>
              <w:pBdr/>
              <w:spacing/>
              <w:ind/>
              <w:rPr/>
            </w:pPr>
            <w:r>
              <w:rPr>
                <w:b/>
                <w:bCs/>
              </w:rPr>
              <w:t xml:space="preserve">Proyecto</w:t>
            </w:r>
            <w:r/>
          </w:p>
        </w:tc>
        <w:tc>
          <w:tcPr>
            <w:tcBorders/>
            <w:tcW w:w="6404" w:type="dxa"/>
          </w:tcPr>
          <w:p>
            <w:pPr>
              <w:pStyle w:val="731"/>
              <w:pBdr/>
              <w:spacing/>
              <w:ind/>
              <w:rPr/>
            </w:pPr>
            <w:r>
              <w:t xml:space="preserve">Sistema de Gestión de la Liga Municipal de Futbol Amateur Morelia</w:t>
            </w:r>
            <w:r/>
          </w:p>
        </w:tc>
      </w:tr>
      <w:tr>
        <w:trPr>
          <w:cantSplit/>
          <w:trHeight w:val="380"/>
        </w:trPr>
        <w:tc>
          <w:tcPr>
            <w:shd w:val="clear" w:color="auto" w:fill="f3f2f8"/>
            <w:tcBorders/>
            <w:tcW w:w="3000" w:type="dxa"/>
          </w:tcPr>
          <w:p>
            <w:pPr>
              <w:pStyle w:val="731"/>
              <w:pBdr/>
              <w:spacing/>
              <w:ind/>
              <w:rPr/>
            </w:pPr>
            <w:r>
              <w:rPr>
                <w:b/>
                <w:bCs/>
              </w:rPr>
              <w:t xml:space="preserve">Cliente</w:t>
            </w:r>
            <w:r/>
          </w:p>
        </w:tc>
        <w:tc>
          <w:tcPr>
            <w:tcBorders/>
            <w:tcW w:w="6404" w:type="dxa"/>
          </w:tcPr>
          <w:p>
            <w:pPr>
              <w:pStyle w:val="731"/>
              <w:pBdr/>
              <w:spacing/>
              <w:ind/>
              <w:rPr/>
            </w:pPr>
            <w:r>
              <w:t xml:space="preserve">Liga Municipal de Fútbol Amateur de Morelia, A.C.</w:t>
            </w:r>
            <w:r/>
          </w:p>
        </w:tc>
      </w:tr>
      <w:tr>
        <w:trPr>
          <w:cantSplit/>
          <w:trHeight w:val="380"/>
        </w:trPr>
        <w:tc>
          <w:tcPr>
            <w:shd w:val="clear" w:color="auto" w:fill="f3f2f8"/>
            <w:tcBorders/>
            <w:tcW w:w="3000" w:type="dxa"/>
          </w:tcPr>
          <w:p>
            <w:pPr>
              <w:pStyle w:val="731"/>
              <w:pBdr/>
              <w:spacing/>
              <w:ind/>
              <w:rPr/>
            </w:pPr>
            <w:r>
              <w:rPr>
                <w:b/>
                <w:bCs/>
              </w:rPr>
              <w:t xml:space="preserve">Versión del documento</w:t>
            </w:r>
            <w:r/>
          </w:p>
        </w:tc>
        <w:tc>
          <w:tcPr>
            <w:tcBorders/>
            <w:tcW w:w="6404" w:type="dxa"/>
          </w:tcPr>
          <w:p>
            <w:pPr>
              <w:pStyle w:val="731"/>
              <w:pBdr/>
              <w:tabs>
                <w:tab w:val="left" w:leader="none" w:pos="699"/>
              </w:tabs>
              <w:spacing/>
              <w:ind/>
              <w:rPr>
                <w:bCs w:val="0"/>
                <w:i w:val="0"/>
              </w:rPr>
            </w:pPr>
            <w:r>
              <w:rPr>
                <w:i w:val="0"/>
                <w:iCs w:val="0"/>
                <w:color w:val="808080"/>
                <w:lang w:val="en-US"/>
              </w:rPr>
              <w:t xml:space="preserve">1.0.0</w:t>
            </w:r>
            <w:r>
              <w:rPr>
                <w:bCs w:val="0"/>
                <w:i w:val="0"/>
              </w:rPr>
            </w:r>
          </w:p>
        </w:tc>
      </w:tr>
      <w:tr>
        <w:trPr>
          <w:cantSplit/>
          <w:trHeight w:val="380"/>
        </w:trPr>
        <w:tc>
          <w:tcPr>
            <w:shd w:val="clear" w:color="auto" w:fill="f3f2f8"/>
            <w:tcBorders/>
            <w:tcW w:w="3000" w:type="dxa"/>
          </w:tcPr>
          <w:p>
            <w:pPr>
              <w:pStyle w:val="731"/>
              <w:pBdr/>
              <w:spacing/>
              <w:ind/>
              <w:rPr/>
            </w:pPr>
            <w:r>
              <w:rPr>
                <w:b/>
                <w:bCs/>
              </w:rPr>
              <w:t xml:space="preserve">Fecha</w:t>
            </w:r>
            <w:r/>
          </w:p>
        </w:tc>
        <w:tc>
          <w:tcPr>
            <w:tcBorders/>
            <w:tcW w:w="6404" w:type="dxa"/>
          </w:tcPr>
          <w:p>
            <w:pPr>
              <w:pStyle w:val="731"/>
              <w:pBdr/>
              <w:spacing/>
              <w:ind/>
              <w:rPr/>
            </w:pPr>
            <w:r>
              <w:rPr>
                <w:i/>
                <w:iCs/>
                <w:color w:val="808080"/>
              </w:rPr>
              <w:t xml:space="preserve">[Completar]</w:t>
            </w:r>
            <w:r/>
          </w:p>
        </w:tc>
      </w:tr>
      <w:tr>
        <w:trPr>
          <w:cantSplit/>
          <w:trHeight w:val="380"/>
        </w:trPr>
        <w:tc>
          <w:tcPr>
            <w:shd w:val="clear" w:color="auto" w:fill="f3f2f8"/>
            <w:tcBorders/>
            <w:tcW w:w="3000" w:type="dxa"/>
          </w:tcPr>
          <w:p>
            <w:pPr>
              <w:pStyle w:val="731"/>
              <w:pBdr/>
              <w:spacing/>
              <w:ind/>
              <w:rPr/>
            </w:pPr>
            <w:r>
              <w:rPr>
                <w:b/>
                <w:bCs/>
              </w:rPr>
              <w:t xml:space="preserve">Estado</w:t>
            </w:r>
            <w:r/>
          </w:p>
        </w:tc>
        <w:tc>
          <w:tcPr>
            <w:tcBorders/>
            <w:tcW w:w="6404" w:type="dxa"/>
          </w:tcPr>
          <w:p>
            <w:pPr>
              <w:pStyle w:val="731"/>
              <w:pBdr/>
              <w:spacing/>
              <w:ind/>
              <w:rPr/>
            </w:pPr>
            <w:r>
              <w:t xml:space="preserve">Borrador</w:t>
            </w:r>
            <w:r/>
          </w:p>
        </w:tc>
      </w:tr>
      <w:tr>
        <w:trPr>
          <w:cantSplit/>
          <w:trHeight w:val="380"/>
        </w:trPr>
        <w:tc>
          <w:tcPr>
            <w:shd w:val="clear" w:color="auto" w:fill="f3f2f8"/>
            <w:tcBorders/>
            <w:tcW w:w="3000" w:type="dxa"/>
          </w:tcPr>
          <w:p>
            <w:pPr>
              <w:pStyle w:val="731"/>
              <w:pBdr/>
              <w:spacing/>
              <w:ind/>
              <w:rPr/>
            </w:pPr>
            <w:r>
              <w:rPr>
                <w:b/>
                <w:bCs/>
              </w:rPr>
              <w:t xml:space="preserve">Elaborado por</w:t>
            </w:r>
            <w:r/>
          </w:p>
        </w:tc>
        <w:tc>
          <w:tcPr>
            <w:tcBorders/>
            <w:tcW w:w="6404" w:type="dxa"/>
          </w:tcPr>
          <w:p>
            <w:pPr>
              <w:pStyle w:val="731"/>
              <w:pBdr/>
              <w:spacing/>
              <w:ind/>
              <w:rPr/>
            </w:pPr>
            <w:r>
              <w:rPr>
                <w:i/>
                <w:iCs/>
                <w:color w:val="808080"/>
              </w:rPr>
              <w:t xml:space="preserve">[Completar]</w:t>
            </w:r>
            <w:r/>
          </w:p>
        </w:tc>
      </w:tr>
      <w:tr>
        <w:trPr>
          <w:cantSplit/>
          <w:trHeight w:val="380"/>
        </w:trPr>
        <w:tc>
          <w:tcPr>
            <w:shd w:val="clear" w:color="auto" w:fill="f3f2f8"/>
            <w:tcBorders/>
            <w:tcW w:w="3000" w:type="dxa"/>
          </w:tcPr>
          <w:p>
            <w:pPr>
              <w:pStyle w:val="731"/>
              <w:pBdr/>
              <w:spacing/>
              <w:ind/>
              <w:rPr/>
            </w:pPr>
            <w:r>
              <w:rPr>
                <w:b/>
                <w:bCs/>
              </w:rPr>
              <w:t xml:space="preserve">Revisado por</w:t>
            </w:r>
            <w:r/>
          </w:p>
        </w:tc>
        <w:tc>
          <w:tcPr>
            <w:tcBorders/>
            <w:tcW w:w="6404" w:type="dxa"/>
          </w:tcPr>
          <w:p>
            <w:pPr>
              <w:pStyle w:val="731"/>
              <w:pBdr/>
              <w:spacing/>
              <w:ind/>
              <w:rPr/>
            </w:pPr>
            <w:r>
              <w:rPr>
                <w:i/>
                <w:iCs/>
                <w:color w:val="808080"/>
              </w:rPr>
              <w:t xml:space="preserve">[Completar]</w:t>
            </w:r>
            <w:r/>
          </w:p>
        </w:tc>
      </w:tr>
      <w:tr>
        <w:trPr>
          <w:cantSplit/>
          <w:trHeight w:val="380"/>
        </w:trPr>
        <w:tc>
          <w:tcPr>
            <w:shd w:val="clear" w:color="auto" w:fill="f3f2f8"/>
            <w:tcBorders/>
            <w:tcW w:w="3000" w:type="dxa"/>
          </w:tcPr>
          <w:p>
            <w:pPr>
              <w:pStyle w:val="731"/>
              <w:pBdr/>
              <w:spacing/>
              <w:ind/>
              <w:rPr/>
            </w:pPr>
            <w:r>
              <w:rPr>
                <w:b/>
                <w:bCs/>
              </w:rPr>
              <w:t xml:space="preserve">Aprobado por (Liga)</w:t>
            </w:r>
            <w:r/>
          </w:p>
        </w:tc>
        <w:tc>
          <w:tcPr>
            <w:tcBorders/>
            <w:tcW w:w="6404" w:type="dxa"/>
          </w:tcPr>
          <w:p>
            <w:pPr>
              <w:pStyle w:val="731"/>
              <w:pBdr/>
              <w:spacing/>
              <w:ind/>
              <w:rPr/>
            </w:pPr>
            <w:r>
              <w:rPr>
                <w:i/>
                <w:iCs/>
                <w:color w:val="808080"/>
              </w:rPr>
              <w:t xml:space="preserve">[Completar]</w:t>
            </w:r>
            <w:r/>
          </w:p>
        </w:tc>
      </w:tr>
    </w:tbl>
    <w:p>
      <w:pPr>
        <w:pBdr/>
        <w:spacing w:after="60" w:before="0"/>
        <w:ind/>
        <w:rPr/>
      </w:pPr>
      <w:r/>
      <w:r/>
    </w:p>
    <w:p>
      <w:pPr>
        <w:pBdr/>
        <w:spacing/>
        <w:ind/>
        <w:rPr/>
      </w:pPr>
      <w:r>
        <w:br w:type="page" w:clear="all"/>
      </w:r>
      <w:r/>
    </w:p>
    <w:p>
      <w:pPr>
        <w:pStyle w:val="729"/>
        <w:pBdr/>
        <w:spacing/>
        <w:ind/>
        <w:rPr/>
      </w:pPr>
      <w:r>
        <w:t xml:space="preserve">Historial de cambios</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300"/>
        <w:gridCol w:w="1300"/>
        <w:gridCol w:w="1900"/>
        <w:gridCol w:w="3404"/>
        <w:gridCol w:w="1500"/>
      </w:tblGrid>
      <w:tr>
        <w:trPr>
          <w:cantSplit/>
          <w:tblHeader/>
        </w:trPr>
        <w:tc>
          <w:tcPr>
            <w:shd w:val="clear" w:color="auto" w:fill="241a61"/>
            <w:tcBorders/>
            <w:tcW w:w="1300" w:type="dxa"/>
            <w:vAlign w:val="center"/>
          </w:tcPr>
          <w:p>
            <w:pPr>
              <w:pStyle w:val="731"/>
              <w:pBdr/>
              <w:spacing/>
              <w:ind/>
              <w:rPr/>
            </w:pPr>
            <w:r>
              <w:rPr>
                <w:b/>
                <w:bCs/>
                <w:color w:val="ffffff"/>
              </w:rPr>
              <w:t xml:space="preserve">Versión</w:t>
            </w:r>
            <w:r/>
          </w:p>
        </w:tc>
        <w:tc>
          <w:tcPr>
            <w:shd w:val="clear" w:color="auto" w:fill="241a61"/>
            <w:tcBorders/>
            <w:tcW w:w="1300" w:type="dxa"/>
            <w:vAlign w:val="center"/>
          </w:tcPr>
          <w:p>
            <w:pPr>
              <w:pStyle w:val="731"/>
              <w:pBdr/>
              <w:spacing/>
              <w:ind/>
              <w:rPr/>
            </w:pPr>
            <w:r>
              <w:rPr>
                <w:b/>
                <w:bCs/>
                <w:color w:val="ffffff"/>
              </w:rPr>
              <w:t xml:space="preserve">Fecha</w:t>
            </w:r>
            <w:r/>
          </w:p>
        </w:tc>
        <w:tc>
          <w:tcPr>
            <w:shd w:val="clear" w:color="auto" w:fill="241a61"/>
            <w:tcBorders/>
            <w:tcW w:w="1900" w:type="dxa"/>
            <w:vAlign w:val="center"/>
          </w:tcPr>
          <w:p>
            <w:pPr>
              <w:pStyle w:val="731"/>
              <w:pBdr/>
              <w:spacing/>
              <w:ind/>
              <w:rPr/>
            </w:pPr>
            <w:r>
              <w:rPr>
                <w:b/>
                <w:bCs/>
                <w:color w:val="ffffff"/>
              </w:rPr>
              <w:t xml:space="preserve">Autor(es)</w:t>
            </w:r>
            <w:r/>
          </w:p>
        </w:tc>
        <w:tc>
          <w:tcPr>
            <w:shd w:val="clear" w:color="auto" w:fill="241a61"/>
            <w:tcBorders/>
            <w:tcW w:w="3404" w:type="dxa"/>
            <w:vAlign w:val="center"/>
          </w:tcPr>
          <w:p>
            <w:pPr>
              <w:pStyle w:val="731"/>
              <w:pBdr/>
              <w:spacing/>
              <w:ind/>
              <w:rPr/>
            </w:pPr>
            <w:r>
              <w:rPr>
                <w:b/>
                <w:bCs/>
                <w:color w:val="ffffff"/>
              </w:rPr>
              <w:t xml:space="preserve">Descripción del cambio</w:t>
            </w:r>
            <w:r/>
          </w:p>
        </w:tc>
        <w:tc>
          <w:tcPr>
            <w:shd w:val="clear" w:color="auto" w:fill="241a61"/>
            <w:tcBorders/>
            <w:tcW w:w="1500" w:type="dxa"/>
            <w:vAlign w:val="center"/>
          </w:tcPr>
          <w:p>
            <w:pPr>
              <w:pStyle w:val="731"/>
              <w:pBdr/>
              <w:spacing/>
              <w:ind/>
              <w:rPr/>
            </w:pPr>
            <w:r>
              <w:rPr>
                <w:b/>
                <w:bCs/>
                <w:color w:val="ffffff"/>
              </w:rPr>
              <w:t xml:space="preserve">Aprobó</w:t>
            </w:r>
            <w:r/>
          </w:p>
        </w:tc>
      </w:tr>
      <w:tr>
        <w:trPr>
          <w:cantSplit/>
          <w:trHeight w:val="400"/>
        </w:trPr>
        <w:tc>
          <w:tcPr>
            <w:tcBorders/>
            <w:tcW w:w="1300" w:type="dxa"/>
          </w:tcPr>
          <w:p>
            <w:pPr>
              <w:pStyle w:val="731"/>
              <w:pBdr/>
              <w:spacing/>
              <w:ind/>
              <w:rPr/>
            </w:pPr>
            <w:r>
              <w:rPr>
                <w:i/>
                <w:iCs/>
                <w:color w:val="808080"/>
              </w:rPr>
              <w:t xml:space="preserve">[Completar]</w:t>
            </w:r>
            <w:r/>
          </w:p>
        </w:tc>
        <w:tc>
          <w:tcPr>
            <w:tcBorders/>
            <w:tcW w:w="1300" w:type="dxa"/>
          </w:tcPr>
          <w:p>
            <w:pPr>
              <w:pStyle w:val="731"/>
              <w:pBdr/>
              <w:spacing/>
              <w:ind/>
              <w:rPr/>
            </w:pPr>
            <w:r>
              <w:rPr>
                <w:i/>
                <w:iCs/>
                <w:color w:val="808080"/>
              </w:rPr>
              <w:t xml:space="preserve">[Completar]</w:t>
            </w:r>
            <w:r/>
          </w:p>
        </w:tc>
        <w:tc>
          <w:tcPr>
            <w:tcBorders/>
            <w:tcW w:w="1900" w:type="dxa"/>
          </w:tcPr>
          <w:p>
            <w:pPr>
              <w:pStyle w:val="731"/>
              <w:pBdr/>
              <w:spacing/>
              <w:ind/>
              <w:rPr/>
            </w:pPr>
            <w:r>
              <w:rPr>
                <w:i/>
                <w:iCs/>
                <w:color w:val="808080"/>
              </w:rPr>
              <w:t xml:space="preserve">[Completar]</w:t>
            </w:r>
            <w:r/>
          </w:p>
        </w:tc>
        <w:tc>
          <w:tcPr>
            <w:tcBorders/>
            <w:tcW w:w="3404" w:type="dxa"/>
          </w:tcPr>
          <w:p>
            <w:pPr>
              <w:pStyle w:val="731"/>
              <w:pBdr/>
              <w:spacing/>
              <w:ind/>
              <w:rPr/>
            </w:pPr>
            <w:r>
              <w:t xml:space="preserve">Elaboración de la sección 1 (Introducción): propósito, alcance, definiciones, referencias, visión general del documento y modelado del sistema.</w:t>
            </w:r>
            <w:r/>
          </w:p>
        </w:tc>
        <w:tc>
          <w:tcPr>
            <w:tcBorders/>
            <w:tcW w:w="1500" w:type="dxa"/>
          </w:tcPr>
          <w:p>
            <w:pPr>
              <w:pStyle w:val="731"/>
              <w:pBdr/>
              <w:spacing/>
              <w:ind/>
              <w:rPr/>
            </w:pPr>
            <w:r>
              <w:rPr>
                <w:i/>
                <w:iCs/>
                <w:color w:val="808080"/>
              </w:rPr>
              <w:t xml:space="preserve">[Completar]</w:t>
            </w:r>
            <w:r/>
          </w:p>
        </w:tc>
      </w:tr>
      <w:tr>
        <w:trPr>
          <w:cantSplit/>
          <w:trHeight w:val="400"/>
        </w:trPr>
        <w:tc>
          <w:tcPr>
            <w:tcBorders/>
            <w:tcW w:w="1300" w:type="dxa"/>
          </w:tcPr>
          <w:p>
            <w:pPr>
              <w:pStyle w:val="731"/>
              <w:pBdr/>
              <w:spacing/>
              <w:ind/>
              <w:rPr/>
            </w:pPr>
            <w:r/>
            <w:r/>
          </w:p>
        </w:tc>
        <w:tc>
          <w:tcPr>
            <w:tcBorders/>
            <w:tcW w:w="1300" w:type="dxa"/>
          </w:tcPr>
          <w:p>
            <w:pPr>
              <w:pStyle w:val="731"/>
              <w:pBdr/>
              <w:spacing/>
              <w:ind/>
              <w:rPr/>
            </w:pPr>
            <w:r/>
            <w:r/>
          </w:p>
        </w:tc>
        <w:tc>
          <w:tcPr>
            <w:tcBorders/>
            <w:tcW w:w="1900" w:type="dxa"/>
          </w:tcPr>
          <w:p>
            <w:pPr>
              <w:pStyle w:val="731"/>
              <w:pBdr/>
              <w:spacing/>
              <w:ind/>
              <w:rPr/>
            </w:pPr>
            <w:r/>
            <w:r/>
          </w:p>
        </w:tc>
        <w:tc>
          <w:tcPr>
            <w:tcBorders/>
            <w:tcW w:w="3404" w:type="dxa"/>
          </w:tcPr>
          <w:p>
            <w:pPr>
              <w:pStyle w:val="731"/>
              <w:pBdr/>
              <w:spacing/>
              <w:ind/>
              <w:rPr/>
            </w:pPr>
            <w:r/>
            <w:r/>
          </w:p>
        </w:tc>
        <w:tc>
          <w:tcPr>
            <w:tcBorders/>
            <w:tcW w:w="1500" w:type="dxa"/>
          </w:tcPr>
          <w:p>
            <w:pPr>
              <w:pStyle w:val="731"/>
              <w:pBdr/>
              <w:spacing/>
              <w:ind/>
              <w:rPr/>
            </w:pPr>
            <w:r/>
            <w:r/>
          </w:p>
        </w:tc>
      </w:tr>
      <w:tr>
        <w:trPr>
          <w:cantSplit/>
          <w:trHeight w:val="400"/>
        </w:trPr>
        <w:tc>
          <w:tcPr>
            <w:tcBorders/>
            <w:tcW w:w="1300" w:type="dxa"/>
          </w:tcPr>
          <w:p>
            <w:pPr>
              <w:pStyle w:val="731"/>
              <w:pBdr/>
              <w:spacing/>
              <w:ind/>
              <w:rPr/>
            </w:pPr>
            <w:r/>
            <w:r/>
          </w:p>
        </w:tc>
        <w:tc>
          <w:tcPr>
            <w:tcBorders/>
            <w:tcW w:w="1300" w:type="dxa"/>
          </w:tcPr>
          <w:p>
            <w:pPr>
              <w:pStyle w:val="731"/>
              <w:pBdr/>
              <w:spacing/>
              <w:ind/>
              <w:rPr/>
            </w:pPr>
            <w:r/>
            <w:r/>
          </w:p>
        </w:tc>
        <w:tc>
          <w:tcPr>
            <w:tcBorders/>
            <w:tcW w:w="1900" w:type="dxa"/>
          </w:tcPr>
          <w:p>
            <w:pPr>
              <w:pStyle w:val="731"/>
              <w:pBdr/>
              <w:spacing/>
              <w:ind/>
              <w:rPr/>
            </w:pPr>
            <w:r/>
            <w:r/>
          </w:p>
        </w:tc>
        <w:tc>
          <w:tcPr>
            <w:tcBorders/>
            <w:tcW w:w="3404" w:type="dxa"/>
          </w:tcPr>
          <w:p>
            <w:pPr>
              <w:pStyle w:val="731"/>
              <w:pBdr/>
              <w:spacing/>
              <w:ind/>
              <w:rPr/>
            </w:pPr>
            <w:r/>
            <w:r/>
          </w:p>
        </w:tc>
        <w:tc>
          <w:tcPr>
            <w:tcBorders/>
            <w:tcW w:w="1500" w:type="dxa"/>
          </w:tcPr>
          <w:p>
            <w:pPr>
              <w:pStyle w:val="731"/>
              <w:pBdr/>
              <w:spacing/>
              <w:ind/>
              <w:rPr/>
            </w:pPr>
            <w:r/>
            <w:r/>
          </w:p>
        </w:tc>
      </w:tr>
    </w:tbl>
    <w:p>
      <w:pPr>
        <w:pBdr/>
        <w:spacing w:after="60" w:before="0"/>
        <w:ind/>
        <w:rPr/>
      </w:pPr>
      <w:r/>
      <w:r/>
    </w:p>
    <w:p>
      <w:pPr>
        <w:pStyle w:val="729"/>
        <w:pBdr/>
        <w:spacing w:before="300"/>
        <w:ind/>
        <w:rPr/>
      </w:pPr>
      <w:r>
        <w:t xml:space="preserve">Contenido</w:t>
      </w:r>
      <w:r/>
    </w:p>
    <w:p>
      <w:pPr>
        <w:pStyle w:val="734"/>
        <w:pBdr/>
        <w:spacing/>
        <w:ind/>
        <w:rPr/>
      </w:pPr>
      <w:r>
        <w:fldChar w:fldCharType="begin"/>
      </w:r>
      <w:r>
        <w:instrText xml:space="preserve"> TOC \o "1-3" \h \z \u </w:instrText>
      </w:r>
      <w:r>
        <w:fldChar w:fldCharType="separate"/>
      </w:r>
      <w:hyperlink w:tooltip="#_Toc100001" w:anchor="_Toc100001" w:history="1">
        <w:r>
          <w:t xml:space="preserve">1. Introducción</w:t>
        </w:r>
        <w:r>
          <w:tab/>
        </w:r>
        <w:r>
          <w:t xml:space="preserve">3</w:t>
        </w:r>
      </w:hyperlink>
      <w:r/>
      <w:r/>
    </w:p>
    <w:p>
      <w:pPr>
        <w:pStyle w:val="735"/>
        <w:pBdr/>
        <w:spacing/>
        <w:ind/>
        <w:rPr/>
      </w:pPr>
      <w:r/>
      <w:hyperlink w:tooltip="#_Toc100002" w:anchor="_Toc100002" w:history="1">
        <w:r>
          <w:t xml:space="preserve">1.1 Propósito</w:t>
        </w:r>
        <w:r>
          <w:tab/>
        </w:r>
        <w:r>
          <w:t xml:space="preserve">3</w:t>
        </w:r>
      </w:hyperlink>
      <w:r/>
      <w:r/>
    </w:p>
    <w:p>
      <w:pPr>
        <w:pStyle w:val="736"/>
        <w:pBdr/>
        <w:spacing/>
        <w:ind/>
        <w:rPr/>
      </w:pPr>
      <w:r/>
      <w:hyperlink w:tooltip="#_Toc100003" w:anchor="_Toc100003" w:history="1">
        <w:r>
          <w:t xml:space="preserve">1.1.1 Propósito del documento</w:t>
        </w:r>
        <w:r>
          <w:tab/>
        </w:r>
        <w:r>
          <w:t xml:space="preserve">3</w:t>
        </w:r>
      </w:hyperlink>
      <w:r/>
      <w:r/>
    </w:p>
    <w:p>
      <w:pPr>
        <w:pStyle w:val="736"/>
        <w:pBdr/>
        <w:spacing/>
        <w:ind/>
        <w:rPr/>
      </w:pPr>
      <w:r/>
      <w:hyperlink w:tooltip="#_Toc100004" w:anchor="_Toc100004" w:history="1">
        <w:r>
          <w:t xml:space="preserve">1.1.2 Propósito del software</w:t>
        </w:r>
        <w:r>
          <w:tab/>
        </w:r>
        <w:r>
          <w:t xml:space="preserve">3</w:t>
        </w:r>
      </w:hyperlink>
      <w:r/>
      <w:r/>
    </w:p>
    <w:p>
      <w:pPr>
        <w:pStyle w:val="736"/>
        <w:pBdr/>
        <w:spacing/>
        <w:ind/>
        <w:rPr/>
      </w:pPr>
      <w:r/>
      <w:hyperlink w:tooltip="#_Toc100005" w:anchor="_Toc100005" w:history="1">
        <w:r>
          <w:t xml:space="preserve">1.1.3 Lectores previstos</w:t>
        </w:r>
        <w:r>
          <w:tab/>
        </w:r>
        <w:r>
          <w:t xml:space="preserve">3</w:t>
        </w:r>
      </w:hyperlink>
      <w:r/>
      <w:r/>
    </w:p>
    <w:p>
      <w:pPr>
        <w:pStyle w:val="736"/>
        <w:pBdr/>
        <w:spacing/>
        <w:ind/>
        <w:rPr/>
      </w:pPr>
      <w:r/>
      <w:hyperlink w:tooltip="#_Toc100006" w:anchor="_Toc100006" w:history="1">
        <w:r>
          <w:t xml:space="preserve">1.1.4 Aprobación del documento</w:t>
        </w:r>
        <w:r>
          <w:tab/>
        </w:r>
        <w:r>
          <w:t xml:space="preserve">4</w:t>
        </w:r>
      </w:hyperlink>
      <w:r/>
      <w:r/>
    </w:p>
    <w:p>
      <w:pPr>
        <w:pStyle w:val="735"/>
        <w:pBdr/>
        <w:spacing/>
        <w:ind/>
        <w:rPr/>
      </w:pPr>
      <w:r/>
      <w:hyperlink w:tooltip="#_Toc100007" w:anchor="_Toc100007" w:history="1">
        <w:r>
          <w:t xml:space="preserve">1.2 Alcance</w:t>
        </w:r>
        <w:r>
          <w:tab/>
        </w:r>
        <w:r>
          <w:t xml:space="preserve">4</w:t>
        </w:r>
      </w:hyperlink>
      <w:r/>
      <w:r/>
    </w:p>
    <w:p>
      <w:pPr>
        <w:pStyle w:val="736"/>
        <w:pBdr/>
        <w:spacing/>
        <w:ind/>
        <w:rPr/>
      </w:pPr>
      <w:r/>
      <w:hyperlink w:tooltip="#_Toc100008" w:anchor="_Toc100008" w:history="1">
        <w:r>
          <w:t xml:space="preserve">1.2.1 Identificación del producto</w:t>
        </w:r>
        <w:r>
          <w:tab/>
        </w:r>
        <w:r>
          <w:t xml:space="preserve">4</w:t>
        </w:r>
      </w:hyperlink>
      <w:r/>
      <w:r/>
    </w:p>
    <w:p>
      <w:pPr>
        <w:pStyle w:val="736"/>
        <w:pBdr/>
        <w:spacing/>
        <w:ind/>
        <w:rPr/>
      </w:pPr>
      <w:r/>
      <w:hyperlink w:tooltip="#_Toc100009" w:anchor="_Toc100009" w:history="1">
        <w:r>
          <w:t xml:space="preserve">1.2.2 Contexto de la Liga</w:t>
        </w:r>
        <w:r>
          <w:tab/>
        </w:r>
        <w:r>
          <w:t xml:space="preserve">4</w:t>
        </w:r>
      </w:hyperlink>
      <w:r/>
      <w:r/>
    </w:p>
    <w:p>
      <w:pPr>
        <w:pStyle w:val="736"/>
        <w:pBdr/>
        <w:spacing/>
        <w:ind/>
        <w:rPr/>
      </w:pPr>
      <w:r/>
      <w:hyperlink w:tooltip="#_Toc100010" w:anchor="_Toc100010" w:history="1">
        <w:r>
          <w:t xml:space="preserve">1.2.3 Situación actual</w:t>
        </w:r>
        <w:r>
          <w:tab/>
        </w:r>
        <w:r>
          <w:t xml:space="preserve">5</w:t>
        </w:r>
      </w:hyperlink>
      <w:r/>
      <w:r/>
    </w:p>
    <w:p>
      <w:pPr>
        <w:pStyle w:val="736"/>
        <w:pBdr/>
        <w:spacing/>
        <w:ind/>
        <w:rPr/>
      </w:pPr>
      <w:r/>
      <w:hyperlink w:tooltip="#_Toc100011" w:anchor="_Toc100011" w:history="1">
        <w:r>
          <w:t xml:space="preserve">1.2.4 Objetivos del producto</w:t>
        </w:r>
        <w:r>
          <w:tab/>
        </w:r>
        <w:r>
          <w:t xml:space="preserve">6</w:t>
        </w:r>
      </w:hyperlink>
      <w:r/>
      <w:r/>
    </w:p>
    <w:p>
      <w:pPr>
        <w:pStyle w:val="736"/>
        <w:pBdr/>
        <w:spacing/>
        <w:ind/>
        <w:rPr/>
      </w:pPr>
      <w:r/>
      <w:hyperlink w:tooltip="#_Toc100012" w:anchor="_Toc100012" w:history="1">
        <w:r>
          <w:t xml:space="preserve">1.2.5 Funciones dentro del alcance</w:t>
        </w:r>
        <w:r>
          <w:tab/>
        </w:r>
        <w:r>
          <w:t xml:space="preserve">6</w:t>
        </w:r>
      </w:hyperlink>
      <w:r/>
      <w:r/>
    </w:p>
    <w:p>
      <w:pPr>
        <w:pStyle w:val="736"/>
        <w:pBdr/>
        <w:spacing/>
        <w:ind/>
        <w:rPr/>
      </w:pPr>
      <w:r/>
      <w:hyperlink w:tooltip="#_Toc100013" w:anchor="_Toc100013" w:history="1">
        <w:r>
          <w:t xml:space="preserve">1.2.6 Fuera del alcance</w:t>
        </w:r>
        <w:r>
          <w:tab/>
        </w:r>
        <w:r>
          <w:t xml:space="preserve">8</w:t>
        </w:r>
      </w:hyperlink>
      <w:r/>
      <w:r/>
    </w:p>
    <w:p>
      <w:pPr>
        <w:pStyle w:val="736"/>
        <w:pBdr/>
        <w:spacing/>
        <w:ind/>
        <w:rPr/>
      </w:pPr>
      <w:r/>
      <w:hyperlink w:tooltip="#_Toc100014" w:anchor="_Toc100014" w:history="1">
        <w:r>
          <w:t xml:space="preserve">1.2.7 Condicionantes del alcance</w:t>
        </w:r>
        <w:r>
          <w:tab/>
        </w:r>
        <w:r>
          <w:t xml:space="preserve">8</w:t>
        </w:r>
      </w:hyperlink>
      <w:r/>
      <w:r/>
    </w:p>
    <w:p>
      <w:pPr>
        <w:pStyle w:val="736"/>
        <w:pBdr/>
        <w:spacing/>
        <w:ind/>
        <w:rPr/>
      </w:pPr>
      <w:r/>
      <w:hyperlink w:tooltip="#_Toc100015" w:anchor="_Toc100015" w:history="1">
        <w:r>
          <w:t xml:space="preserve">1.2.8 Consistencia con documentos de nivel superior</w:t>
        </w:r>
        <w:r>
          <w:tab/>
        </w:r>
        <w:r>
          <w:t xml:space="preserve">9</w:t>
        </w:r>
      </w:hyperlink>
      <w:r/>
      <w:r/>
    </w:p>
    <w:p>
      <w:pPr>
        <w:pStyle w:val="735"/>
        <w:pBdr/>
        <w:spacing/>
        <w:ind/>
        <w:rPr/>
      </w:pPr>
      <w:r/>
      <w:hyperlink w:tooltip="#_Toc100016" w:anchor="_Toc100016" w:history="1">
        <w:r>
          <w:t xml:space="preserve">1.3 Definiciones, acrónimos y abreviaturas</w:t>
        </w:r>
        <w:r>
          <w:tab/>
        </w:r>
        <w:r>
          <w:t xml:space="preserve">9</w:t>
        </w:r>
      </w:hyperlink>
      <w:r/>
      <w:r/>
    </w:p>
    <w:p>
      <w:pPr>
        <w:pStyle w:val="736"/>
        <w:pBdr/>
        <w:spacing/>
        <w:ind/>
        <w:rPr/>
      </w:pPr>
      <w:r/>
      <w:hyperlink w:tooltip="#_Toc100017" w:anchor="_Toc100017" w:history="1">
        <w:r>
          <w:t xml:space="preserve">1.3.1 Organización de la Liga</w:t>
        </w:r>
        <w:r>
          <w:tab/>
        </w:r>
        <w:r>
          <w:t xml:space="preserve">9</w:t>
        </w:r>
      </w:hyperlink>
      <w:r/>
      <w:r/>
    </w:p>
    <w:p>
      <w:pPr>
        <w:pStyle w:val="736"/>
        <w:pBdr/>
        <w:spacing/>
        <w:ind/>
        <w:rPr/>
      </w:pPr>
      <w:r/>
      <w:hyperlink w:tooltip="#_Toc100018" w:anchor="_Toc100018" w:history="1">
        <w:r>
          <w:t xml:space="preserve">1.3.2 Competencia</w:t>
        </w:r>
        <w:r>
          <w:tab/>
        </w:r>
        <w:r>
          <w:t xml:space="preserve">10</w:t>
        </w:r>
      </w:hyperlink>
      <w:r/>
      <w:r/>
    </w:p>
    <w:p>
      <w:pPr>
        <w:pStyle w:val="736"/>
        <w:pBdr/>
        <w:spacing/>
        <w:ind/>
        <w:rPr/>
      </w:pPr>
      <w:r/>
      <w:hyperlink w:tooltip="#_Toc100019" w:anchor="_Toc100019" w:history="1">
        <w:r>
          <w:t xml:space="preserve">1.3.3 Categorías</w:t>
        </w:r>
        <w:r>
          <w:tab/>
        </w:r>
        <w:r>
          <w:t xml:space="preserve">12</w:t>
        </w:r>
      </w:hyperlink>
      <w:r/>
      <w:r/>
    </w:p>
    <w:p>
      <w:pPr>
        <w:pStyle w:val="736"/>
        <w:pBdr/>
        <w:spacing/>
        <w:ind/>
        <w:rPr/>
      </w:pPr>
      <w:r/>
      <w:hyperlink w:tooltip="#_Toc100020" w:anchor="_Toc100020" w:history="1">
        <w:r>
          <w:t xml:space="preserve">1.3.4 Partidos, arbitraje y disciplina</w:t>
        </w:r>
        <w:r>
          <w:tab/>
        </w:r>
        <w:r>
          <w:t xml:space="preserve">13</w:t>
        </w:r>
      </w:hyperlink>
      <w:r/>
      <w:r/>
    </w:p>
    <w:p>
      <w:pPr>
        <w:pStyle w:val="736"/>
        <w:pBdr/>
        <w:spacing/>
        <w:ind/>
        <w:rPr/>
      </w:pPr>
      <w:r/>
      <w:hyperlink w:tooltip="#_Toc100021" w:anchor="_Toc100021" w:history="1">
        <w:r>
          <w:t xml:space="preserve">1.3.5 Aportaciones económicas</w:t>
        </w:r>
        <w:r>
          <w:tab/>
        </w:r>
        <w:r>
          <w:t xml:space="preserve">14</w:t>
        </w:r>
      </w:hyperlink>
      <w:r/>
      <w:r/>
    </w:p>
    <w:p>
      <w:pPr>
        <w:pStyle w:val="736"/>
        <w:pBdr/>
        <w:spacing/>
        <w:ind/>
        <w:rPr/>
      </w:pPr>
      <w:r/>
      <w:hyperlink w:tooltip="#_Toc100022" w:anchor="_Toc100022" w:history="1">
        <w:r>
          <w:t xml:space="preserve">1.3.6 Términos de ingeniería de requisitos</w:t>
        </w:r>
        <w:r>
          <w:tab/>
        </w:r>
        <w:r>
          <w:t xml:space="preserve">15</w:t>
        </w:r>
      </w:hyperlink>
      <w:r/>
      <w:r/>
    </w:p>
    <w:p>
      <w:pPr>
        <w:pStyle w:val="736"/>
        <w:pBdr/>
        <w:spacing/>
        <w:ind/>
        <w:rPr/>
      </w:pPr>
      <w:r/>
      <w:hyperlink w:tooltip="#_Toc100023" w:anchor="_Toc100023" w:history="1">
        <w:r>
          <w:t xml:space="preserve">1.3.7 Acrónimos y abreviaturas</w:t>
        </w:r>
        <w:r>
          <w:tab/>
        </w:r>
        <w:r>
          <w:t xml:space="preserve">15</w:t>
        </w:r>
      </w:hyperlink>
      <w:r/>
      <w:r/>
    </w:p>
    <w:p>
      <w:pPr>
        <w:pStyle w:val="735"/>
        <w:pBdr/>
        <w:spacing/>
        <w:ind/>
        <w:rPr/>
      </w:pPr>
      <w:r/>
      <w:hyperlink w:tooltip="#_Toc100024" w:anchor="_Toc100024" w:history="1">
        <w:r>
          <w:t xml:space="preserve">1.4 Referencias</w:t>
        </w:r>
        <w:r>
          <w:tab/>
        </w:r>
        <w:r>
          <w:t xml:space="preserve">16</w:t>
        </w:r>
      </w:hyperlink>
      <w:r/>
      <w:r/>
    </w:p>
    <w:p>
      <w:pPr>
        <w:pStyle w:val="736"/>
        <w:pBdr/>
        <w:spacing/>
        <w:ind/>
        <w:rPr/>
      </w:pPr>
      <w:r/>
      <w:hyperlink w:tooltip="#_Toc100025" w:anchor="_Toc100025" w:history="1">
        <w:r>
          <w:t xml:space="preserve">1.4.1 Documentos de la Liga</w:t>
        </w:r>
        <w:r>
          <w:tab/>
        </w:r>
        <w:r>
          <w:t xml:space="preserve">16</w:t>
        </w:r>
      </w:hyperlink>
      <w:r/>
      <w:r/>
    </w:p>
    <w:p>
      <w:pPr>
        <w:pStyle w:val="736"/>
        <w:pBdr/>
        <w:spacing/>
        <w:ind/>
        <w:rPr/>
      </w:pPr>
      <w:r/>
      <w:hyperlink w:tooltip="#_Toc100026" w:anchor="_Toc100026" w:history="1">
        <w:r>
          <w:t xml:space="preserve">1.4.2 Documentos del proyecto</w:t>
        </w:r>
        <w:r>
          <w:tab/>
        </w:r>
        <w:r>
          <w:t xml:space="preserve">17</w:t>
        </w:r>
      </w:hyperlink>
      <w:r/>
      <w:r/>
    </w:p>
    <w:p>
      <w:pPr>
        <w:pStyle w:val="736"/>
        <w:pBdr/>
        <w:spacing/>
        <w:ind/>
        <w:rPr/>
      </w:pPr>
      <w:r/>
      <w:hyperlink w:tooltip="#_Toc100027" w:anchor="_Toc100027" w:history="1">
        <w:r>
          <w:t xml:space="preserve">1.4.3 Normas técnicas y legales</w:t>
        </w:r>
        <w:r>
          <w:tab/>
        </w:r>
        <w:r>
          <w:t xml:space="preserve">17</w:t>
        </w:r>
      </w:hyperlink>
      <w:r/>
      <w:r/>
    </w:p>
    <w:p>
      <w:pPr>
        <w:pStyle w:val="736"/>
        <w:pBdr/>
        <w:spacing/>
        <w:ind/>
        <w:rPr/>
      </w:pPr>
      <w:r/>
      <w:hyperlink w:tooltip="#_Toc100028" w:anchor="_Toc100028" w:history="1">
        <w:r>
          <w:t xml:space="preserve">1.4.4 Fuentes secundarias</w:t>
        </w:r>
        <w:r>
          <w:tab/>
        </w:r>
        <w:r>
          <w:t xml:space="preserve">18</w:t>
        </w:r>
      </w:hyperlink>
      <w:r/>
      <w:r/>
    </w:p>
    <w:p>
      <w:pPr>
        <w:pStyle w:val="736"/>
        <w:pBdr/>
        <w:spacing/>
        <w:ind/>
        <w:rPr/>
      </w:pPr>
      <w:r/>
      <w:hyperlink w:tooltip="#_Toc100029" w:anchor="_Toc100029" w:history="1">
        <w:r>
          <w:t xml:space="preserve">1.4.5 Precedencia entre fuentes</w:t>
        </w:r>
        <w:r>
          <w:tab/>
        </w:r>
        <w:r>
          <w:t xml:space="preserve">18</w:t>
        </w:r>
      </w:hyperlink>
      <w:r/>
      <w:r/>
    </w:p>
    <w:p>
      <w:pPr>
        <w:pStyle w:val="736"/>
        <w:pBdr/>
        <w:spacing/>
        <w:ind/>
        <w:rPr/>
      </w:pPr>
      <w:r/>
      <w:hyperlink w:tooltip="#_Toc100030" w:anchor="_Toc100030" w:history="1">
        <w:r>
          <w:t xml:space="preserve">1.4.6 Documentos revisados que no se usan como fuente</w:t>
        </w:r>
        <w:r>
          <w:tab/>
        </w:r>
        <w:r>
          <w:t xml:space="preserve">18</w:t>
        </w:r>
      </w:hyperlink>
      <w:r/>
      <w:r/>
    </w:p>
    <w:p>
      <w:pPr>
        <w:pStyle w:val="735"/>
        <w:pBdr/>
        <w:spacing/>
        <w:ind/>
        <w:rPr/>
      </w:pPr>
      <w:r/>
      <w:hyperlink w:tooltip="#_Toc100031" w:anchor="_Toc100031" w:history="1">
        <w:r>
          <w:t xml:space="preserve">1.5 Visión general del documento</w:t>
        </w:r>
        <w:r>
          <w:tab/>
        </w:r>
        <w:r>
          <w:t xml:space="preserve">19</w:t>
        </w:r>
      </w:hyperlink>
      <w:r/>
      <w:r/>
    </w:p>
    <w:p>
      <w:pPr>
        <w:pStyle w:val="736"/>
        <w:pBdr/>
        <w:spacing/>
        <w:ind/>
        <w:rPr/>
      </w:pPr>
      <w:r/>
      <w:hyperlink w:tooltip="#_Toc100032" w:anchor="_Toc100032" w:history="1">
        <w:r>
          <w:t xml:space="preserve">1.5.1 Organización del documento</w:t>
        </w:r>
        <w:r>
          <w:tab/>
        </w:r>
        <w:r>
          <w:t xml:space="preserve">19</w:t>
        </w:r>
      </w:hyperlink>
      <w:r/>
      <w:r/>
    </w:p>
    <w:p>
      <w:pPr>
        <w:pStyle w:val="736"/>
        <w:pBdr/>
        <w:spacing/>
        <w:ind/>
        <w:rPr/>
      </w:pPr>
      <w:r/>
      <w:hyperlink w:tooltip="#_Toc100033" w:anchor="_Toc100033" w:history="1">
        <w:r>
          <w:t xml:space="preserve">1.5.2 Convenciones</w:t>
        </w:r>
        <w:r>
          <w:tab/>
        </w:r>
        <w:r>
          <w:t xml:space="preserve">19</w:t>
        </w:r>
      </w:hyperlink>
      <w:r/>
      <w:r/>
    </w:p>
    <w:p>
      <w:pPr>
        <w:pStyle w:val="736"/>
        <w:pBdr/>
        <w:spacing/>
        <w:ind/>
        <w:rPr/>
      </w:pPr>
      <w:r/>
      <w:hyperlink w:tooltip="#_Toc100034" w:anchor="_Toc100034" w:history="1">
        <w:r>
          <w:t xml:space="preserve">1.5.3 Modelado del sistema</w:t>
        </w:r>
        <w:r>
          <w:tab/>
        </w:r>
        <w:r>
          <w:t xml:space="preserve">20</w:t>
        </w:r>
      </w:hyperlink>
      <w:r/>
      <w:r/>
    </w:p>
    <w:p>
      <w:pPr>
        <w:pStyle w:val="735"/>
        <w:pBdr/>
        <w:spacing/>
        <w:ind/>
        <w:rPr/>
      </w:pPr>
      <w:r/>
      <w:hyperlink w:tooltip="#_Toc100038" w:anchor="_Toc100038" w:history="1">
        <w:r>
          <w:t xml:space="preserve">1.6 Personal involucrado</w:t>
        </w:r>
        <w:r>
          <w:tab/>
        </w:r>
        <w:r>
          <w:t xml:space="preserve">23</w:t>
        </w:r>
      </w:hyperlink>
      <w:r>
        <w:fldChar w:fldCharType="end"/>
      </w:r>
      <w:r/>
    </w:p>
    <w:p>
      <w:pPr>
        <w:pBdr/>
        <w:spacing/>
        <w:ind/>
        <w:rPr/>
      </w:pPr>
      <w:r>
        <w:br w:type="page" w:clear="all"/>
      </w:r>
      <w:r/>
    </w:p>
    <w:p>
      <w:pPr>
        <w:pStyle w:val="723"/>
        <w:pBdr/>
        <w:spacing/>
        <w:ind/>
        <w:rPr/>
      </w:pPr>
      <w:r/>
      <w:bookmarkStart w:id="1" w:name="_Toc100001"/>
      <w:r>
        <w:t xml:space="preserve">1. Introducción</w:t>
      </w:r>
      <w:bookmarkEnd w:id="1"/>
      <w:r/>
      <w:r/>
    </w:p>
    <w:p>
      <w:pPr>
        <w:pBdr/>
        <w:spacing/>
        <w:ind/>
        <w:rPr/>
      </w:pPr>
      <w:r>
        <w:t xml:space="preserve">Este documento es la Especificación de Requisitos de Software (ERS) del Sistema </w:t>
      </w:r>
      <w:r>
        <w:t xml:space="preserve">de Gestión de la Liga Municipal de Futbol Amateur Morelia. Se elabora conforme a la norma ISO/IEC/IEEE 29148:2018 [REF-09]. La norma IEEE Std 830-1998 [REF-10] se usa solo como referencia histórica, porque es la base de la plantilla de referencia [REF-08].</w:t>
      </w:r>
      <w:r/>
    </w:p>
    <w:p>
      <w:pPr>
        <w:pStyle w:val="724"/>
        <w:pBdr/>
        <w:spacing/>
        <w:ind/>
        <w:rPr/>
      </w:pPr>
      <w:r/>
      <w:bookmarkStart w:id="2" w:name="_Toc100002"/>
      <w:r>
        <w:t xml:space="preserve">1.1 Propósito</w:t>
      </w:r>
      <w:bookmarkEnd w:id="2"/>
      <w:r/>
      <w:r/>
    </w:p>
    <w:p>
      <w:pPr>
        <w:pStyle w:val="725"/>
        <w:pBdr/>
        <w:spacing/>
        <w:ind/>
        <w:rPr/>
      </w:pPr>
      <w:r/>
      <w:bookmarkStart w:id="3" w:name="_Toc100003"/>
      <w:r>
        <w:t xml:space="preserve">1.1.1 Propósito del documento</w:t>
      </w:r>
      <w:bookmarkEnd w:id="3"/>
      <w:r/>
      <w:r/>
    </w:p>
    <w:p>
      <w:pPr>
        <w:pBdr/>
        <w:spacing/>
        <w:ind/>
        <w:rPr/>
      </w:pPr>
      <w:r>
        <w:t xml:space="preserve">Este ERS tiene tres propósitos:</w:t>
      </w:r>
      <w:r/>
    </w:p>
    <w:p>
      <w:pPr>
        <w:pStyle w:val="730"/>
        <w:numPr>
          <w:ilvl w:val="0"/>
          <w:numId w:val="1"/>
        </w:numPr>
        <w:pBdr/>
        <w:spacing/>
        <w:ind/>
        <w:rPr/>
      </w:pPr>
      <w:r>
        <w:t xml:space="preserve">Definir de forma verificable qué debe hacer el Sistema y qué queda fuera de su alcance, para que la Liga y el equipo de desarrollo compartan un acuerdo único y explícito.</w:t>
      </w:r>
      <w:r/>
    </w:p>
    <w:p>
      <w:pPr>
        <w:pStyle w:val="730"/>
        <w:numPr>
          <w:ilvl w:val="0"/>
          <w:numId w:val="1"/>
        </w:numPr>
        <w:pBdr/>
        <w:spacing/>
        <w:ind/>
        <w:rPr/>
      </w:pPr>
      <w:r>
        <w:t xml:space="preserve">Servir como base para las actividades posteriores del ciclo de vida: diseño, construcción, pruebas, aceptación y mantenimiento.</w:t>
      </w:r>
      <w:r/>
    </w:p>
    <w:p>
      <w:pPr>
        <w:pStyle w:val="730"/>
        <w:numPr>
          <w:ilvl w:val="0"/>
          <w:numId w:val="1"/>
        </w:numPr>
        <w:pBdr/>
        <w:spacing/>
        <w:ind/>
        <w:rPr/>
      </w:pPr>
      <w:r>
        <w:t xml:space="preserve">Mantener la trazabilidad entre las necesidades de la Liga, sus documentos normativos (convocatorias, reglamento interno y estatutos) y los requisitos del Sistema.</w:t>
      </w:r>
      <w:r/>
    </w:p>
    <w:p>
      <w:pPr>
        <w:pStyle w:val="725"/>
        <w:pBdr/>
        <w:spacing/>
        <w:ind/>
        <w:rPr/>
      </w:pPr>
      <w:r/>
      <w:bookmarkStart w:id="4" w:name="_Toc100004"/>
      <w:r>
        <w:t xml:space="preserve">1.1.2 Propósito del software</w:t>
      </w:r>
      <w:bookmarkEnd w:id="4"/>
      <w:r/>
      <w:r/>
    </w:p>
    <w:p>
      <w:pPr>
        <w:pBdr/>
        <w:spacing/>
        <w:ind/>
        <w:rPr/>
      </w:pPr>
      <w:r>
        <w:t xml:space="preserve">El</w:t>
      </w:r>
      <w:r>
        <w:t xml:space="preserve"> Sistema reemplazará el manejo manual de la información deportiva y administrativa de la Liga. Hoy esa información se lleva en documentos impresos, en hojas de cálculo de Excel exportadas a formatos visuales y en publicaciones de Facebook [REF-07, P11]. El</w:t>
      </w:r>
      <w:r>
        <w:t xml:space="preserve"> Sistema concentrará en una sola aplicación web la gestión de clubes, equipos, jugadores, programación de partidos, resultados, tablas de posiciones, disciplina y aportaciones económicas, y publicará la información oficial en un portal de consulta pública.</w:t>
      </w:r>
      <w:r/>
      <w:r/>
      <w:r/>
      <w:r/>
    </w:p>
    <w:p>
      <w:pPr>
        <w:pStyle w:val="724"/>
        <w:pBdr/>
        <w:spacing/>
        <w:ind/>
        <w:rPr/>
      </w:pPr>
      <w:r/>
      <w:bookmarkStart w:id="7" w:name="_Toc100007"/>
      <w:r>
        <w:t xml:space="preserve">1.2 Alcance</w:t>
      </w:r>
      <w:bookmarkEnd w:id="7"/>
      <w:r/>
      <w:r/>
    </w:p>
    <w:p>
      <w:pPr>
        <w:pStyle w:val="725"/>
        <w:pBdr/>
        <w:spacing/>
        <w:ind/>
        <w:rPr/>
      </w:pPr>
      <w:r/>
      <w:bookmarkStart w:id="8" w:name="_Toc100008"/>
      <w:r>
        <w:t xml:space="preserve">1.2.1 Identificación del producto</w:t>
      </w:r>
      <w:bookmarkEnd w:id="8"/>
      <w:r/>
      <w:r/>
    </w:p>
    <w:p>
      <w:pPr>
        <w:pStyle w:val="732"/>
        <w:keepNext w:val="true"/>
        <w:pBdr/>
        <w:spacing/>
        <w:ind/>
        <w:rPr/>
      </w:pPr>
      <w:r>
        <w:rPr>
          <w:b/>
          <w:bCs/>
          <w:color w:val="241a61"/>
          <w:sz w:val="18"/>
          <w:szCs w:val="18"/>
        </w:rPr>
        <w:t xml:space="preserve">Tabla 2. </w:t>
      </w:r>
      <w:r>
        <w:rPr>
          <w:sz w:val="18"/>
          <w:szCs w:val="18"/>
        </w:rPr>
        <w:t xml:space="preserve">Identificación del producto.</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600"/>
        <w:gridCol w:w="4904"/>
        <w:gridCol w:w="1900"/>
      </w:tblGrid>
      <w:tr>
        <w:trPr>
          <w:cantSplit/>
          <w:tblHeader/>
        </w:trPr>
        <w:tc>
          <w:tcPr>
            <w:shd w:val="clear" w:color="auto" w:fill="241a61"/>
            <w:tcBorders/>
            <w:tcW w:w="2600" w:type="dxa"/>
            <w:vAlign w:val="center"/>
          </w:tcPr>
          <w:p>
            <w:pPr>
              <w:pStyle w:val="731"/>
              <w:pBdr/>
              <w:spacing/>
              <w:ind/>
              <w:rPr/>
            </w:pPr>
            <w:r>
              <w:rPr>
                <w:b/>
                <w:bCs/>
                <w:color w:val="ffffff"/>
              </w:rPr>
              <w:t xml:space="preserve">Atributo</w:t>
            </w:r>
            <w:r/>
          </w:p>
        </w:tc>
        <w:tc>
          <w:tcPr>
            <w:shd w:val="clear" w:color="auto" w:fill="241a61"/>
            <w:tcBorders/>
            <w:tcW w:w="4904" w:type="dxa"/>
            <w:vAlign w:val="center"/>
          </w:tcPr>
          <w:p>
            <w:pPr>
              <w:pStyle w:val="731"/>
              <w:pBdr/>
              <w:spacing/>
              <w:ind/>
              <w:rPr/>
            </w:pPr>
            <w:r>
              <w:rPr>
                <w:b/>
                <w:bCs/>
                <w:color w:val="ffffff"/>
              </w:rPr>
              <w:t xml:space="preserve">Descripción</w:t>
            </w:r>
            <w:r/>
          </w:p>
        </w:tc>
        <w:tc>
          <w:tcPr>
            <w:shd w:val="clear" w:color="auto" w:fill="241a61"/>
            <w:tcBorders/>
            <w:tcW w:w="1900" w:type="dxa"/>
            <w:vAlign w:val="center"/>
          </w:tcPr>
          <w:p>
            <w:pPr>
              <w:pStyle w:val="731"/>
              <w:pBdr/>
              <w:spacing/>
              <w:ind/>
              <w:rPr/>
            </w:pPr>
            <w:r>
              <w:rPr>
                <w:b/>
                <w:bCs/>
                <w:color w:val="ffffff"/>
              </w:rPr>
              <w:t xml:space="preserve">Fuente</w:t>
            </w:r>
            <w:r/>
          </w:p>
        </w:tc>
      </w:tr>
      <w:tr>
        <w:trPr>
          <w:cantSplit/>
        </w:trPr>
        <w:tc>
          <w:tcPr>
            <w:shd w:val="clear" w:color="auto" w:fill="f3f2f8"/>
            <w:tcBorders/>
            <w:tcW w:w="2600" w:type="dxa"/>
          </w:tcPr>
          <w:p>
            <w:pPr>
              <w:pStyle w:val="731"/>
              <w:pBdr/>
              <w:spacing/>
              <w:ind/>
              <w:rPr/>
            </w:pPr>
            <w:r>
              <w:rPr>
                <w:b/>
                <w:bCs/>
              </w:rPr>
              <w:t xml:space="preserve">Nombre del producto</w:t>
            </w:r>
            <w:r/>
          </w:p>
        </w:tc>
        <w:tc>
          <w:tcPr>
            <w:tcBorders/>
            <w:tcW w:w="4904" w:type="dxa"/>
          </w:tcPr>
          <w:p>
            <w:pPr>
              <w:pStyle w:val="731"/>
              <w:pBdr/>
              <w:spacing/>
              <w:ind/>
              <w:rPr/>
            </w:pPr>
            <w:r>
              <w:t xml:space="preserve">Sistema de Gestión de la Liga Municipal de Futbol Amateur Morelia (en este documento, «el Sistema»).</w:t>
            </w:r>
            <w:r/>
          </w:p>
        </w:tc>
        <w:tc>
          <w:tcPr>
            <w:tcBorders/>
            <w:tcW w:w="1900" w:type="dxa"/>
          </w:tcPr>
          <w:p>
            <w:pPr>
              <w:pStyle w:val="731"/>
              <w:pBdr/>
              <w:spacing/>
              <w:ind/>
              <w:rPr/>
            </w:pPr>
            <w:r>
              <w:t xml:space="preserve">REF-07, P8</w:t>
            </w:r>
            <w:r/>
          </w:p>
        </w:tc>
      </w:tr>
      <w:tr>
        <w:trPr>
          <w:cantSplit/>
        </w:trPr>
        <w:tc>
          <w:tcPr>
            <w:shd w:val="clear" w:color="auto" w:fill="f3f2f8"/>
            <w:tcBorders/>
            <w:tcW w:w="2600" w:type="dxa"/>
          </w:tcPr>
          <w:p>
            <w:pPr>
              <w:pStyle w:val="731"/>
              <w:pBdr/>
              <w:spacing/>
              <w:ind/>
              <w:rPr/>
            </w:pPr>
            <w:r>
              <w:rPr>
                <w:b/>
                <w:bCs/>
              </w:rPr>
              <w:t xml:space="preserve">Cliente</w:t>
            </w:r>
            <w:r/>
          </w:p>
        </w:tc>
        <w:tc>
          <w:tcPr>
            <w:shd w:val="clear" w:color="auto" w:fill="fafafc"/>
            <w:tcBorders/>
            <w:tcW w:w="4904" w:type="dxa"/>
          </w:tcPr>
          <w:p>
            <w:pPr>
              <w:pStyle w:val="731"/>
              <w:pBdr/>
              <w:spacing/>
              <w:ind/>
              <w:rPr/>
            </w:pPr>
            <w:r>
              <w:t xml:space="preserve">Liga Municipal de Fútbol Amateur de Morelia, Asociación Civil, también conocida como Liga Municipal de Futbol Amateur Morelia A.C. (en este documento, «la Liga»).</w:t>
            </w:r>
            <w:r/>
          </w:p>
        </w:tc>
        <w:tc>
          <w:tcPr>
            <w:shd w:val="clear" w:color="auto" w:fill="fafafc"/>
            <w:tcBorders/>
            <w:tcW w:w="1900" w:type="dxa"/>
          </w:tcPr>
          <w:p>
            <w:pPr>
              <w:pStyle w:val="731"/>
              <w:pBdr/>
              <w:spacing/>
              <w:ind/>
              <w:rPr/>
            </w:pPr>
            <w:r>
              <w:t xml:space="preserve">REF-07, P8; REF-01</w:t>
            </w:r>
            <w:r/>
          </w:p>
        </w:tc>
      </w:tr>
      <w:tr>
        <w:trPr>
          <w:cantSplit/>
        </w:trPr>
        <w:tc>
          <w:tcPr>
            <w:shd w:val="clear" w:color="auto" w:fill="f3f2f8"/>
            <w:tcBorders/>
            <w:tcW w:w="2600" w:type="dxa"/>
          </w:tcPr>
          <w:p>
            <w:pPr>
              <w:pStyle w:val="731"/>
              <w:pBdr/>
              <w:spacing/>
              <w:ind/>
              <w:rPr/>
            </w:pPr>
            <w:r>
              <w:rPr>
                <w:b/>
                <w:bCs/>
              </w:rPr>
              <w:t xml:space="preserve">Naturaleza jurídica del cliente</w:t>
            </w:r>
            <w:r/>
          </w:p>
        </w:tc>
        <w:tc>
          <w:tcPr>
            <w:tcBorders/>
            <w:tcW w:w="4904" w:type="dxa"/>
          </w:tcPr>
          <w:p>
            <w:pPr>
              <w:pStyle w:val="731"/>
              <w:pBdr/>
              <w:spacing/>
              <w:ind/>
              <w:rPr/>
            </w:pPr>
            <w:r>
              <w:t xml:space="preserve">Asociación civil libre (no depende del Ayuntamiento) que admite jugadores menores de edad.</w:t>
            </w:r>
            <w:r/>
          </w:p>
        </w:tc>
        <w:tc>
          <w:tcPr>
            <w:tcBorders/>
            <w:tcW w:w="1900" w:type="dxa"/>
          </w:tcPr>
          <w:p>
            <w:pPr>
              <w:pStyle w:val="731"/>
              <w:pBdr/>
              <w:spacing/>
              <w:ind/>
              <w:rPr/>
            </w:pPr>
            <w:r>
              <w:t xml:space="preserve">REF-07, P16</w:t>
            </w:r>
            <w:r/>
          </w:p>
        </w:tc>
      </w:tr>
      <w:tr>
        <w:trPr>
          <w:cantSplit/>
        </w:trPr>
        <w:tc>
          <w:tcPr>
            <w:shd w:val="clear" w:color="auto" w:fill="f3f2f8"/>
            <w:tcBorders/>
            <w:tcW w:w="2600" w:type="dxa"/>
          </w:tcPr>
          <w:p>
            <w:pPr>
              <w:pStyle w:val="731"/>
              <w:pBdr/>
              <w:spacing/>
              <w:ind/>
              <w:rPr/>
            </w:pPr>
            <w:r>
              <w:rPr>
                <w:b/>
                <w:bCs/>
              </w:rPr>
              <w:t xml:space="preserve">Tipo de producto</w:t>
            </w:r>
            <w:r/>
          </w:p>
        </w:tc>
        <w:tc>
          <w:tcPr>
            <w:shd w:val="clear" w:color="auto" w:fill="fafafc"/>
            <w:tcBorders/>
            <w:tcW w:w="4904" w:type="dxa"/>
          </w:tcPr>
          <w:p>
            <w:pPr>
              <w:pStyle w:val="731"/>
              <w:pBdr/>
              <w:spacing/>
              <w:ind/>
              <w:rPr/>
            </w:pPr>
            <w:r>
              <w:t xml:space="preserve">Producto de software nuevo. No reemplaza otro sistema: sustituye procesos que hoy se hacen a mano.</w:t>
            </w:r>
            <w:r/>
          </w:p>
        </w:tc>
        <w:tc>
          <w:tcPr>
            <w:shd w:val="clear" w:color="auto" w:fill="fafafc"/>
            <w:tcBorders/>
            <w:tcW w:w="1900" w:type="dxa"/>
          </w:tcPr>
          <w:p>
            <w:pPr>
              <w:pStyle w:val="731"/>
              <w:pBdr/>
              <w:spacing/>
              <w:ind/>
              <w:rPr/>
            </w:pPr>
            <w:r>
              <w:t xml:space="preserve">REF-07, P17</w:t>
            </w:r>
            <w:r/>
          </w:p>
        </w:tc>
      </w:tr>
      <w:tr>
        <w:trPr>
          <w:cantSplit/>
        </w:trPr>
        <w:tc>
          <w:tcPr>
            <w:shd w:val="clear" w:color="auto" w:fill="f3f2f8"/>
            <w:tcBorders/>
            <w:tcW w:w="2600" w:type="dxa"/>
          </w:tcPr>
          <w:p>
            <w:pPr>
              <w:pStyle w:val="731"/>
              <w:pBdr/>
              <w:spacing/>
              <w:ind/>
              <w:rPr/>
            </w:pPr>
            <w:r>
              <w:rPr>
                <w:b/>
                <w:bCs/>
              </w:rPr>
              <w:t xml:space="preserve">Medio de acceso</w:t>
            </w:r>
            <w:r/>
          </w:p>
        </w:tc>
        <w:tc>
          <w:tcPr>
            <w:tcBorders/>
            <w:tcW w:w="4904" w:type="dxa"/>
          </w:tcPr>
          <w:p>
            <w:pPr>
              <w:pStyle w:val="731"/>
              <w:pBdr/>
              <w:spacing/>
              <w:ind/>
              <w:rPr/>
            </w:pPr>
            <w:r>
              <w:t xml:space="preserve">Aplicación web (página web) desde navegador. No se prevé una aplicación móvil instalable.</w:t>
            </w:r>
            <w:r/>
          </w:p>
        </w:tc>
        <w:tc>
          <w:tcPr>
            <w:tcBorders/>
            <w:tcW w:w="1900" w:type="dxa"/>
          </w:tcPr>
          <w:p>
            <w:pPr>
              <w:pStyle w:val="731"/>
              <w:pBdr/>
              <w:spacing/>
              <w:ind/>
              <w:rPr/>
            </w:pPr>
            <w:r>
              <w:t xml:space="preserve">REF-07, P10-e</w:t>
            </w:r>
            <w:r/>
          </w:p>
        </w:tc>
      </w:tr>
      <w:tr>
        <w:trPr>
          <w:cantSplit/>
        </w:trPr>
        <w:tc>
          <w:tcPr>
            <w:shd w:val="clear" w:color="auto" w:fill="f3f2f8"/>
            <w:tcBorders/>
            <w:tcW w:w="2600" w:type="dxa"/>
          </w:tcPr>
          <w:p>
            <w:pPr>
              <w:pStyle w:val="731"/>
              <w:pBdr/>
              <w:spacing/>
              <w:ind/>
              <w:rPr/>
            </w:pPr>
            <w:r>
              <w:rPr>
                <w:b/>
                <w:bCs/>
              </w:rPr>
              <w:t xml:space="preserve">Modo de operación</w:t>
            </w:r>
            <w:r/>
          </w:p>
        </w:tc>
        <w:tc>
          <w:tcPr>
            <w:shd w:val="clear" w:color="auto" w:fill="fafafc"/>
            <w:tcBorders/>
            <w:tcW w:w="4904" w:type="dxa"/>
          </w:tcPr>
          <w:p>
            <w:pPr>
              <w:pStyle w:val="731"/>
              <w:pBdr/>
              <w:spacing/>
              <w:ind/>
              <w:rPr/>
            </w:pPr>
            <w:r>
              <w:t xml:space="preserve">En línea y sin conexión. Alcance de la operación sin conexión: </w:t>
            </w:r>
            <w:r>
              <w:rPr>
                <w:b/>
                <w:bCs/>
                <w:color w:val="9c4a00"/>
                <w:shd w:val="clear" w:color="auto" w:fill="fff2cc"/>
              </w:rPr>
              <w:t xml:space="preserve">[POR DEFINIR]</w:t>
            </w:r>
            <w:r>
              <w:t xml:space="preserve"> (ver C-01).</w:t>
            </w:r>
            <w:r/>
          </w:p>
        </w:tc>
        <w:tc>
          <w:tcPr>
            <w:shd w:val="clear" w:color="auto" w:fill="fafafc"/>
            <w:tcBorders/>
            <w:tcW w:w="1900" w:type="dxa"/>
          </w:tcPr>
          <w:p>
            <w:pPr>
              <w:pStyle w:val="731"/>
              <w:pBdr/>
              <w:spacing/>
              <w:ind/>
              <w:rPr/>
            </w:pPr>
            <w:r>
              <w:t xml:space="preserve">REF-07, P21</w:t>
            </w:r>
            <w:r/>
          </w:p>
        </w:tc>
      </w:tr>
      <w:tr>
        <w:trPr>
          <w:cantSplit/>
        </w:trPr>
        <w:tc>
          <w:tcPr>
            <w:shd w:val="clear" w:color="auto" w:fill="f3f2f8"/>
            <w:tcBorders/>
            <w:tcW w:w="2600" w:type="dxa"/>
          </w:tcPr>
          <w:p>
            <w:pPr>
              <w:pStyle w:val="731"/>
              <w:pBdr/>
              <w:spacing/>
              <w:ind/>
              <w:rPr/>
            </w:pPr>
            <w:r>
              <w:rPr>
                <w:b/>
                <w:bCs/>
              </w:rPr>
              <w:t xml:space="preserve">Domicilio de la Liga</w:t>
            </w:r>
            <w:r/>
          </w:p>
        </w:tc>
        <w:tc>
          <w:tcPr>
            <w:tcBorders/>
            <w:tcW w:w="4904" w:type="dxa"/>
          </w:tcPr>
          <w:p>
            <w:pPr>
              <w:pStyle w:val="731"/>
              <w:pBdr/>
              <w:spacing/>
              <w:ind/>
              <w:rPr/>
            </w:pPr>
            <w:r>
              <w:t xml:space="preserve">Vicente Santa María No. 354, Morelia, Michoacán.</w:t>
            </w:r>
            <w:r/>
          </w:p>
        </w:tc>
        <w:tc>
          <w:tcPr>
            <w:tcBorders/>
            <w:tcW w:w="1900" w:type="dxa"/>
          </w:tcPr>
          <w:p>
            <w:pPr>
              <w:pStyle w:val="731"/>
              <w:pBdr/>
              <w:spacing/>
              <w:ind/>
              <w:rPr/>
            </w:pPr>
            <w:r>
              <w:t xml:space="preserve">REF-01</w:t>
            </w:r>
            <w:r/>
          </w:p>
        </w:tc>
      </w:tr>
    </w:tbl>
    <w:p>
      <w:pPr>
        <w:pBdr/>
        <w:spacing w:after="60" w:before="0"/>
        <w:ind/>
        <w:rPr/>
      </w:pPr>
      <w:r/>
      <w:r/>
    </w:p>
    <w:p>
      <w:pPr>
        <w:pStyle w:val="725"/>
        <w:pBdr/>
        <w:spacing/>
        <w:ind/>
        <w:rPr/>
      </w:pPr>
      <w:r/>
      <w:bookmarkStart w:id="9" w:name="_Toc100009"/>
      <w:r>
        <w:t xml:space="preserve">1.2.2 Contexto de la Liga</w:t>
      </w:r>
      <w:bookmarkEnd w:id="9"/>
      <w:r/>
      <w:r/>
    </w:p>
    <w:p>
      <w:pPr>
        <w:pBdr/>
        <w:spacing/>
        <w:ind/>
        <w:rPr/>
      </w:pPr>
      <w:r>
        <w:t xml:space="preserve">La tabla siguiente reúne los datos de contexto que dimensionan el Sistema. Las cifras de prensa son fuentes secundarias y deben confirmarse con la Liga antes de usarse como requisitos de capacidad.</w:t>
      </w:r>
      <w:r/>
    </w:p>
    <w:p>
      <w:pPr>
        <w:pStyle w:val="732"/>
        <w:keepNext w:val="true"/>
        <w:pBdr/>
        <w:spacing/>
        <w:ind/>
        <w:rPr/>
      </w:pPr>
      <w:r>
        <w:rPr>
          <w:b/>
          <w:bCs/>
          <w:color w:val="241a61"/>
          <w:sz w:val="18"/>
          <w:szCs w:val="18"/>
        </w:rPr>
        <w:t xml:space="preserve">Tabla 3. </w:t>
      </w:r>
      <w:r>
        <w:rPr>
          <w:sz w:val="18"/>
          <w:szCs w:val="18"/>
        </w:rPr>
        <w:t xml:space="preserve">Datos de contexto de la Liga.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400"/>
        <w:gridCol w:w="4004"/>
        <w:gridCol w:w="1300"/>
        <w:gridCol w:w="1700"/>
      </w:tblGrid>
      <w:tr>
        <w:trPr>
          <w:cantSplit/>
          <w:tblHeader/>
        </w:trPr>
        <w:tc>
          <w:tcPr>
            <w:shd w:val="clear" w:color="auto" w:fill="241a61"/>
            <w:tcBorders/>
            <w:tcW w:w="2400" w:type="dxa"/>
            <w:vAlign w:val="center"/>
          </w:tcPr>
          <w:p>
            <w:pPr>
              <w:pStyle w:val="731"/>
              <w:pBdr/>
              <w:spacing/>
              <w:ind/>
              <w:rPr/>
            </w:pPr>
            <w:r>
              <w:rPr>
                <w:b/>
                <w:bCs/>
                <w:color w:val="ffffff"/>
              </w:rPr>
              <w:t xml:space="preserve">Dato</w:t>
            </w:r>
            <w:r/>
          </w:p>
        </w:tc>
        <w:tc>
          <w:tcPr>
            <w:shd w:val="clear" w:color="auto" w:fill="241a61"/>
            <w:tcBorders/>
            <w:tcW w:w="4004" w:type="dxa"/>
            <w:vAlign w:val="center"/>
          </w:tcPr>
          <w:p>
            <w:pPr>
              <w:pStyle w:val="731"/>
              <w:pBdr/>
              <w:spacing/>
              <w:ind/>
              <w:rPr/>
            </w:pPr>
            <w:r>
              <w:rPr>
                <w:b/>
                <w:bCs/>
                <w:color w:val="ffffff"/>
              </w:rPr>
              <w:t xml:space="preserve">Valor</w:t>
            </w:r>
            <w:r/>
          </w:p>
        </w:tc>
        <w:tc>
          <w:tcPr>
            <w:shd w:val="clear" w:color="auto" w:fill="241a61"/>
            <w:tcBorders/>
            <w:tcW w:w="1300" w:type="dxa"/>
            <w:vAlign w:val="center"/>
          </w:tcPr>
          <w:p>
            <w:pPr>
              <w:pStyle w:val="731"/>
              <w:pBdr/>
              <w:spacing/>
              <w:ind/>
              <w:rPr/>
            </w:pPr>
            <w:r>
              <w:rPr>
                <w:b/>
                <w:bCs/>
                <w:color w:val="ffffff"/>
              </w:rPr>
              <w:t xml:space="preserve">Tipo</w:t>
            </w:r>
            <w:r/>
          </w:p>
        </w:tc>
        <w:tc>
          <w:tcPr>
            <w:shd w:val="clear" w:color="auto" w:fill="241a61"/>
            <w:tcBorders/>
            <w:tcW w:w="1700" w:type="dxa"/>
            <w:vAlign w:val="center"/>
          </w:tcPr>
          <w:p>
            <w:pPr>
              <w:pStyle w:val="731"/>
              <w:pBdr/>
              <w:spacing/>
              <w:ind/>
              <w:rPr/>
            </w:pPr>
            <w:r>
              <w:rPr>
                <w:b/>
                <w:bCs/>
                <w:color w:val="ffffff"/>
              </w:rPr>
              <w:t xml:space="preserve">Fuente</w:t>
            </w:r>
            <w:r/>
          </w:p>
        </w:tc>
      </w:tr>
      <w:tr>
        <w:trPr>
          <w:cantSplit/>
        </w:trPr>
        <w:tc>
          <w:tcPr>
            <w:tcBorders/>
            <w:tcW w:w="2400" w:type="dxa"/>
          </w:tcPr>
          <w:p>
            <w:pPr>
              <w:pStyle w:val="731"/>
              <w:pBdr/>
              <w:spacing/>
              <w:ind/>
              <w:rPr/>
            </w:pPr>
            <w:r>
              <w:t xml:space="preserve">Antigüedad</w:t>
            </w:r>
            <w:r/>
          </w:p>
        </w:tc>
        <w:tc>
          <w:tcPr>
            <w:tcBorders/>
            <w:tcW w:w="4004" w:type="dxa"/>
          </w:tcPr>
          <w:p>
            <w:pPr>
              <w:pStyle w:val="731"/>
              <w:pBdr/>
              <w:spacing/>
              <w:ind/>
              <w:rPr/>
            </w:pPr>
            <w:r>
              <w:t xml:space="preserve">Más de 75 años.</w:t>
            </w:r>
            <w:r/>
          </w:p>
        </w:tc>
        <w:tc>
          <w:tcPr>
            <w:tcBorders/>
            <w:tcW w:w="1300" w:type="dxa"/>
          </w:tcPr>
          <w:p>
            <w:pPr>
              <w:pStyle w:val="731"/>
              <w:pBdr/>
              <w:spacing/>
              <w:ind/>
              <w:rPr/>
            </w:pPr>
            <w:r>
              <w:t xml:space="preserve">Hecho (prensa)</w:t>
            </w:r>
            <w:r/>
          </w:p>
        </w:tc>
        <w:tc>
          <w:tcPr>
            <w:tcBorders/>
            <w:tcW w:w="1700" w:type="dxa"/>
          </w:tcPr>
          <w:p>
            <w:pPr>
              <w:pStyle w:val="731"/>
              <w:pBdr/>
              <w:spacing/>
              <w:ind/>
              <w:rPr/>
            </w:pPr>
            <w:r>
              <w:t xml:space="preserve">REF-16</w:t>
            </w:r>
            <w:r/>
          </w:p>
        </w:tc>
      </w:tr>
      <w:tr>
        <w:trPr>
          <w:cantSplit/>
        </w:trPr>
        <w:tc>
          <w:tcPr>
            <w:shd w:val="clear" w:color="auto" w:fill="fafafc"/>
            <w:tcBorders/>
            <w:tcW w:w="2400" w:type="dxa"/>
          </w:tcPr>
          <w:p>
            <w:pPr>
              <w:pStyle w:val="731"/>
              <w:pBdr/>
              <w:spacing/>
              <w:ind/>
              <w:rPr/>
            </w:pPr>
            <w:r>
              <w:t xml:space="preserve">Clubes, temporada 2025–2026</w:t>
            </w:r>
            <w:r/>
          </w:p>
        </w:tc>
        <w:tc>
          <w:tcPr>
            <w:shd w:val="clear" w:color="auto" w:fill="fafafc"/>
            <w:tcBorders/>
            <w:tcW w:w="4004" w:type="dxa"/>
          </w:tcPr>
          <w:p>
            <w:pPr>
              <w:pStyle w:val="731"/>
              <w:pBdr/>
              <w:spacing/>
              <w:ind/>
              <w:rPr/>
            </w:pPr>
            <w:r>
              <w:t xml:space="preserve">232 clubes registrados.</w:t>
            </w:r>
            <w:r/>
          </w:p>
        </w:tc>
        <w:tc>
          <w:tcPr>
            <w:shd w:val="clear" w:color="auto" w:fill="fafafc"/>
            <w:tcBorders/>
            <w:tcW w:w="1300" w:type="dxa"/>
          </w:tcPr>
          <w:p>
            <w:pPr>
              <w:pStyle w:val="731"/>
              <w:pBdr/>
              <w:spacing/>
              <w:ind/>
              <w:rPr/>
            </w:pPr>
            <w:r>
              <w:t xml:space="preserve">Hecho (prensa)</w:t>
            </w:r>
            <w:r/>
          </w:p>
        </w:tc>
        <w:tc>
          <w:tcPr>
            <w:shd w:val="clear" w:color="auto" w:fill="fafafc"/>
            <w:tcBorders/>
            <w:tcW w:w="1700" w:type="dxa"/>
          </w:tcPr>
          <w:p>
            <w:pPr>
              <w:pStyle w:val="731"/>
              <w:pBdr/>
              <w:spacing/>
              <w:ind/>
              <w:rPr/>
            </w:pPr>
            <w:r>
              <w:t xml:space="preserve">REF-16</w:t>
            </w:r>
            <w:r/>
          </w:p>
        </w:tc>
      </w:tr>
      <w:tr>
        <w:trPr>
          <w:cantSplit/>
        </w:trPr>
        <w:tc>
          <w:tcPr>
            <w:tcBorders/>
            <w:tcW w:w="2400" w:type="dxa"/>
          </w:tcPr>
          <w:p>
            <w:pPr>
              <w:pStyle w:val="731"/>
              <w:pBdr/>
              <w:spacing/>
              <w:ind/>
              <w:rPr/>
            </w:pPr>
            <w:r>
              <w:t xml:space="preserve">Equipos, temporada 2025–2026</w:t>
            </w:r>
            <w:r/>
          </w:p>
        </w:tc>
        <w:tc>
          <w:tcPr>
            <w:tcBorders/>
            <w:tcW w:w="4004" w:type="dxa"/>
          </w:tcPr>
          <w:p>
            <w:pPr>
              <w:pStyle w:val="731"/>
              <w:pBdr/>
              <w:spacing/>
              <w:ind/>
              <w:rPr/>
            </w:pPr>
            <w:r>
              <w:t xml:space="preserve">732 equipos en competencia.</w:t>
            </w:r>
            <w:r/>
          </w:p>
        </w:tc>
        <w:tc>
          <w:tcPr>
            <w:tcBorders/>
            <w:tcW w:w="1300" w:type="dxa"/>
          </w:tcPr>
          <w:p>
            <w:pPr>
              <w:pStyle w:val="731"/>
              <w:pBdr/>
              <w:spacing/>
              <w:ind/>
              <w:rPr/>
            </w:pPr>
            <w:r>
              <w:t xml:space="preserve">Hecho (prensa)</w:t>
            </w:r>
            <w:r/>
          </w:p>
        </w:tc>
        <w:tc>
          <w:tcPr>
            <w:tcBorders/>
            <w:tcW w:w="1700" w:type="dxa"/>
          </w:tcPr>
          <w:p>
            <w:pPr>
              <w:pStyle w:val="731"/>
              <w:pBdr/>
              <w:spacing/>
              <w:ind/>
              <w:rPr/>
            </w:pPr>
            <w:r>
              <w:t xml:space="preserve">REF-16</w:t>
            </w:r>
            <w:r/>
          </w:p>
        </w:tc>
      </w:tr>
      <w:tr>
        <w:trPr>
          <w:cantSplit/>
        </w:trPr>
        <w:tc>
          <w:tcPr>
            <w:shd w:val="clear" w:color="auto" w:fill="fafafc"/>
            <w:tcBorders/>
            <w:tcW w:w="2400" w:type="dxa"/>
          </w:tcPr>
          <w:p>
            <w:pPr>
              <w:pStyle w:val="731"/>
              <w:pBdr/>
              <w:spacing/>
              <w:ind/>
              <w:rPr/>
            </w:pPr>
            <w:r>
              <w:t xml:space="preserve">Jugadores, temporada 2025–2026</w:t>
            </w:r>
            <w:r/>
          </w:p>
        </w:tc>
        <w:tc>
          <w:tcPr>
            <w:shd w:val="clear" w:color="auto" w:fill="fafafc"/>
            <w:tcBorders/>
            <w:tcW w:w="4004" w:type="dxa"/>
          </w:tcPr>
          <w:p>
            <w:pPr>
              <w:pStyle w:val="731"/>
              <w:pBdr/>
              <w:spacing/>
              <w:ind/>
              <w:rPr/>
            </w:pPr>
            <w:r>
              <w:t xml:space="preserve">Más de 25,000 (nota del 09/11/2025). Una nota previa, del 27/08/2025, estimaba más de 18,000.</w:t>
            </w:r>
            <w:r/>
          </w:p>
        </w:tc>
        <w:tc>
          <w:tcPr>
            <w:shd w:val="clear" w:color="auto" w:fill="fafafc"/>
            <w:tcBorders/>
            <w:tcW w:w="1300" w:type="dxa"/>
          </w:tcPr>
          <w:p>
            <w:pPr>
              <w:pStyle w:val="731"/>
              <w:pBdr/>
              <w:spacing/>
              <w:ind/>
              <w:rPr/>
            </w:pPr>
            <w:r>
              <w:t xml:space="preserve">Hecho (prensa)</w:t>
            </w:r>
            <w:r/>
          </w:p>
        </w:tc>
        <w:tc>
          <w:tcPr>
            <w:shd w:val="clear" w:color="auto" w:fill="fafafc"/>
            <w:tcBorders/>
            <w:tcW w:w="1700" w:type="dxa"/>
          </w:tcPr>
          <w:p>
            <w:pPr>
              <w:pStyle w:val="731"/>
              <w:pBdr/>
              <w:spacing/>
              <w:ind/>
              <w:rPr/>
            </w:pPr>
            <w:r>
              <w:t xml:space="preserve">REF-14; REF-16</w:t>
            </w:r>
            <w:r/>
          </w:p>
        </w:tc>
      </w:tr>
      <w:tr>
        <w:trPr>
          <w:cantSplit/>
        </w:trPr>
        <w:tc>
          <w:tcPr>
            <w:tcBorders/>
            <w:tcW w:w="2400" w:type="dxa"/>
          </w:tcPr>
          <w:p>
            <w:pPr>
              <w:pStyle w:val="731"/>
              <w:pBdr/>
              <w:spacing/>
              <w:ind/>
              <w:rPr/>
            </w:pPr>
            <w:r>
              <w:t xml:space="preserve">Categorías, temporada 2025–2026</w:t>
            </w:r>
            <w:r/>
          </w:p>
        </w:tc>
        <w:tc>
          <w:tcPr>
            <w:tcBorders/>
            <w:tcW w:w="4004" w:type="dxa"/>
          </w:tcPr>
          <w:p>
            <w:pPr>
              <w:pStyle w:val="731"/>
              <w:pBdr/>
              <w:spacing/>
              <w:ind/>
              <w:rPr/>
            </w:pPr>
            <w:r>
              <w:t xml:space="preserve">25 categorías en las ramas libre, de veteranos, femenil e infantil (detalle en 1.3.3).</w:t>
            </w:r>
            <w:r/>
          </w:p>
        </w:tc>
        <w:tc>
          <w:tcPr>
            <w:tcBorders/>
            <w:tcW w:w="1300" w:type="dxa"/>
          </w:tcPr>
          <w:p>
            <w:pPr>
              <w:pStyle w:val="731"/>
              <w:pBdr/>
              <w:spacing/>
              <w:ind/>
              <w:rPr/>
            </w:pPr>
            <w:r>
              <w:t xml:space="preserve">Hecho</w:t>
            </w:r>
            <w:r/>
          </w:p>
        </w:tc>
        <w:tc>
          <w:tcPr>
            <w:tcBorders/>
            <w:tcW w:w="1700" w:type="dxa"/>
          </w:tcPr>
          <w:p>
            <w:pPr>
              <w:pStyle w:val="731"/>
              <w:pBdr/>
              <w:spacing/>
              <w:ind/>
              <w:rPr/>
            </w:pPr>
            <w:r>
              <w:t xml:space="preserve">REF-07, P13; REF-14</w:t>
            </w:r>
            <w:r/>
          </w:p>
        </w:tc>
      </w:tr>
      <w:tr>
        <w:trPr>
          <w:cantSplit/>
        </w:trPr>
        <w:tc>
          <w:tcPr>
            <w:shd w:val="clear" w:color="auto" w:fill="fafafc"/>
            <w:tcBorders/>
            <w:tcW w:w="2400" w:type="dxa"/>
          </w:tcPr>
          <w:p>
            <w:pPr>
              <w:pStyle w:val="731"/>
              <w:pBdr/>
              <w:spacing/>
              <w:ind/>
              <w:rPr/>
            </w:pPr>
            <w:r>
              <w:t xml:space="preserve">Sede principal</w:t>
            </w:r>
            <w:r/>
          </w:p>
        </w:tc>
        <w:tc>
          <w:tcPr>
            <w:shd w:val="clear" w:color="auto" w:fill="fafafc"/>
            <w:tcBorders/>
            <w:tcW w:w="4004" w:type="dxa"/>
          </w:tcPr>
          <w:p>
            <w:pPr>
              <w:pStyle w:val="731"/>
              <w:pBdr/>
              <w:spacing/>
              <w:ind/>
              <w:rPr/>
            </w:pPr>
            <w:r>
              <w:t xml:space="preserve">Unidad Deportiva Cuauhtémoc (U.D.C.), con 40 canchas, entre ellas el campo de exhibición «Félix Cerda Loza». También se juega en canchas de clubes, canchas alternas y localidades foráneas.</w:t>
            </w:r>
            <w:r/>
          </w:p>
        </w:tc>
        <w:tc>
          <w:tcPr>
            <w:shd w:val="clear" w:color="auto" w:fill="fafafc"/>
            <w:tcBorders/>
            <w:tcW w:w="1300" w:type="dxa"/>
          </w:tcPr>
          <w:p>
            <w:pPr>
              <w:pStyle w:val="731"/>
              <w:pBdr/>
              <w:spacing/>
              <w:ind/>
              <w:rPr/>
            </w:pPr>
            <w:r>
              <w:t xml:space="preserve">Hecho</w:t>
            </w:r>
            <w:r/>
          </w:p>
        </w:tc>
        <w:tc>
          <w:tcPr>
            <w:shd w:val="clear" w:color="auto" w:fill="fafafc"/>
            <w:tcBorders/>
            <w:tcW w:w="1700" w:type="dxa"/>
          </w:tcPr>
          <w:p>
            <w:pPr>
              <w:pStyle w:val="731"/>
              <w:pBdr/>
              <w:spacing/>
              <w:ind/>
              <w:rPr/>
            </w:pPr>
            <w:r>
              <w:t xml:space="preserve">REF-15; REF-01; REF-07, P19</w:t>
            </w:r>
            <w:r/>
          </w:p>
        </w:tc>
      </w:tr>
      <w:tr>
        <w:trPr>
          <w:cantSplit/>
        </w:trPr>
        <w:tc>
          <w:tcPr>
            <w:tcBorders/>
            <w:tcW w:w="2400" w:type="dxa"/>
          </w:tcPr>
          <w:p>
            <w:pPr>
              <w:pStyle w:val="731"/>
              <w:pBdr/>
              <w:spacing/>
              <w:ind/>
              <w:rPr/>
            </w:pPr>
            <w:r>
              <w:t xml:space="preserve">Días y horarios de juego</w:t>
            </w:r>
            <w:r/>
          </w:p>
        </w:tc>
        <w:tc>
          <w:tcPr>
            <w:tcBorders/>
            <w:tcW w:w="4004" w:type="dxa"/>
          </w:tcPr>
          <w:p>
            <w:pPr>
              <w:pStyle w:val="731"/>
              <w:pBdr/>
              <w:spacing/>
              <w:ind/>
              <w:rPr/>
            </w:pPr>
            <w:r>
              <w:t xml:space="preserve">Sábados y domingos desde las 8:00 h (temporada regular). Entre semana por la tarde: Torneo de Interdependencias y partidos reprogramados.</w:t>
            </w:r>
            <w:r/>
          </w:p>
        </w:tc>
        <w:tc>
          <w:tcPr>
            <w:tcBorders/>
            <w:tcW w:w="1300" w:type="dxa"/>
          </w:tcPr>
          <w:p>
            <w:pPr>
              <w:pStyle w:val="731"/>
              <w:pBdr/>
              <w:spacing/>
              <w:ind/>
              <w:rPr/>
            </w:pPr>
            <w:r>
              <w:t xml:space="preserve">Hecho</w:t>
            </w:r>
            <w:r/>
          </w:p>
        </w:tc>
        <w:tc>
          <w:tcPr>
            <w:tcBorders/>
            <w:tcW w:w="1700" w:type="dxa"/>
          </w:tcPr>
          <w:p>
            <w:pPr>
              <w:pStyle w:val="731"/>
              <w:pBdr/>
              <w:spacing/>
              <w:ind/>
              <w:rPr/>
            </w:pPr>
            <w:r>
              <w:t xml:space="preserve">REF-07, P21; REF-03</w:t>
            </w:r>
            <w:r/>
          </w:p>
        </w:tc>
      </w:tr>
      <w:tr>
        <w:trPr>
          <w:cantSplit/>
        </w:trPr>
        <w:tc>
          <w:tcPr>
            <w:shd w:val="clear" w:color="auto" w:fill="fafafc"/>
            <w:tcBorders/>
            <w:tcW w:w="2400" w:type="dxa"/>
          </w:tcPr>
          <w:p>
            <w:pPr>
              <w:pStyle w:val="731"/>
              <w:pBdr/>
              <w:spacing/>
              <w:ind/>
              <w:rPr/>
            </w:pPr>
            <w:r>
              <w:t xml:space="preserve">Calendario 2026–2027</w:t>
            </w:r>
            <w:r/>
          </w:p>
        </w:tc>
        <w:tc>
          <w:tcPr>
            <w:shd w:val="clear" w:color="auto" w:fill="fafafc"/>
            <w:tcBorders/>
            <w:tcW w:w="4004" w:type="dxa"/>
          </w:tcPr>
          <w:p>
            <w:pPr>
              <w:pStyle w:val="731"/>
              <w:pBdr/>
              <w:spacing/>
              <w:ind/>
              <w:rPr/>
            </w:pPr>
            <w:r>
              <w:t xml:space="preserve">Inscripción de clubes: 03/08/2026 al 09/09/2026. Registro de jugadores: desde el 14/09/2026 (veteranos y juveniles desde el 28/09/2026). Desfile inaugural: 08/11/2026.</w:t>
            </w:r>
            <w:r/>
          </w:p>
        </w:tc>
        <w:tc>
          <w:tcPr>
            <w:shd w:val="clear" w:color="auto" w:fill="fafafc"/>
            <w:tcBorders/>
            <w:tcW w:w="1300" w:type="dxa"/>
          </w:tcPr>
          <w:p>
            <w:pPr>
              <w:pStyle w:val="731"/>
              <w:pBdr/>
              <w:spacing/>
              <w:ind/>
              <w:rPr/>
            </w:pPr>
            <w:r>
              <w:t xml:space="preserve">Norma</w:t>
            </w:r>
            <w:r/>
          </w:p>
        </w:tc>
        <w:tc>
          <w:tcPr>
            <w:shd w:val="clear" w:color="auto" w:fill="fafafc"/>
            <w:tcBorders/>
            <w:tcW w:w="1700" w:type="dxa"/>
          </w:tcPr>
          <w:p>
            <w:pPr>
              <w:pStyle w:val="731"/>
              <w:pBdr/>
              <w:spacing/>
              <w:ind/>
              <w:rPr/>
            </w:pPr>
            <w:r>
              <w:t xml:space="preserve">REF-01; REF-02</w:t>
            </w:r>
            <w:r/>
          </w:p>
        </w:tc>
      </w:tr>
      <w:tr>
        <w:trPr>
          <w:cantSplit/>
        </w:trPr>
        <w:tc>
          <w:tcPr>
            <w:tcBorders/>
            <w:tcW w:w="2400" w:type="dxa"/>
          </w:tcPr>
          <w:p>
            <w:pPr>
              <w:pStyle w:val="731"/>
              <w:pBdr/>
              <w:spacing/>
              <w:ind/>
              <w:rPr/>
            </w:pPr>
            <w:r>
              <w:t xml:space="preserve">Firmantes de las convocatorias 2026–2027</w:t>
            </w:r>
            <w:r/>
          </w:p>
        </w:tc>
        <w:tc>
          <w:tcPr>
            <w:tcBorders/>
            <w:tcW w:w="4004" w:type="dxa"/>
          </w:tcPr>
          <w:p>
            <w:pPr>
              <w:pStyle w:val="731"/>
              <w:pBdr/>
              <w:spacing/>
              <w:ind/>
              <w:rPr/>
            </w:pPr>
            <w:r>
              <w:t xml:space="preserve">Presidente: C. Antonio Huerta Castro. Secretario: C. Arturo Espinoza Quiroz. Tesorero: Lic. José Arturo Granados Sánchez.</w:t>
            </w:r>
            <w:r/>
          </w:p>
        </w:tc>
        <w:tc>
          <w:tcPr>
            <w:tcBorders/>
            <w:tcW w:w="1300" w:type="dxa"/>
          </w:tcPr>
          <w:p>
            <w:pPr>
              <w:pStyle w:val="731"/>
              <w:pBdr/>
              <w:spacing/>
              <w:ind/>
              <w:rPr/>
            </w:pPr>
            <w:r>
              <w:t xml:space="preserve">Hecho</w:t>
            </w:r>
            <w:r/>
          </w:p>
        </w:tc>
        <w:tc>
          <w:tcPr>
            <w:tcBorders/>
            <w:tcW w:w="1700" w:type="dxa"/>
          </w:tcPr>
          <w:p>
            <w:pPr>
              <w:pStyle w:val="731"/>
              <w:pBdr/>
              <w:spacing/>
              <w:ind/>
              <w:rPr/>
            </w:pPr>
            <w:r>
              <w:t xml:space="preserve">REF-01; REF-02</w:t>
            </w:r>
            <w:r/>
          </w:p>
        </w:tc>
      </w:tr>
    </w:tbl>
    <w:p>
      <w:pPr>
        <w:pBdr/>
        <w:spacing w:after="60" w:before="0"/>
        <w:ind/>
        <w:rPr/>
      </w:pPr>
      <w:r/>
      <w:r/>
    </w:p>
    <w:p>
      <w:pPr>
        <w:pStyle w:val="725"/>
        <w:pBdr/>
        <w:spacing/>
        <w:ind/>
        <w:rPr/>
      </w:pPr>
      <w:r/>
      <w:bookmarkStart w:id="10" w:name="_Toc100010"/>
      <w:r>
        <w:t xml:space="preserve">1.2.3 Situación actual</w:t>
      </w:r>
      <w:bookmarkEnd w:id="10"/>
      <w:r/>
      <w:r/>
    </w:p>
    <w:p>
      <w:pPr>
        <w:pBdr/>
        <w:spacing/>
        <w:ind/>
        <w:rPr/>
      </w:pPr>
      <w:r>
        <w:t xml:space="preserve">Hoy la Liga opera así [REF-07]:</w:t>
      </w:r>
      <w:r/>
    </w:p>
    <w:p>
      <w:pPr>
        <w:pStyle w:val="730"/>
        <w:numPr>
          <w:ilvl w:val="0"/>
          <w:numId w:val="1"/>
        </w:numPr>
        <w:pBdr/>
        <w:spacing/>
        <w:ind/>
        <w:rPr/>
      </w:pPr>
      <w:r>
        <w:t xml:space="preserve">Combina publicaciones en Facebook, hojas de cálculo de Excel exportadas a formatos visuales y documentos impresos. Todo se lleva a mano, incluida la programación de partidos.</w:t>
      </w:r>
      <w:r/>
    </w:p>
    <w:p>
      <w:pPr>
        <w:pStyle w:val="730"/>
        <w:numPr>
          <w:ilvl w:val="0"/>
          <w:numId w:val="1"/>
        </w:numPr>
        <w:pBdr/>
        <w:spacing/>
        <w:ind/>
        <w:rPr/>
      </w:pPr>
      <w:r>
        <w:t xml:space="preserve">La Secretaría de la Liga programa los horarios de juego [REF-01, I-d].</w:t>
      </w:r>
      <w:r/>
    </w:p>
    <w:p>
      <w:pPr>
        <w:pStyle w:val="730"/>
        <w:numPr>
          <w:ilvl w:val="0"/>
          <w:numId w:val="1"/>
        </w:numPr>
        <w:pBdr/>
        <w:spacing/>
        <w:ind/>
        <w:rPr/>
      </w:pPr>
      <w:r>
        <w:t xml:space="preserve">La programación oficial se publica como imagen o PDF («sábana de programación»). La directiva la envía a portales locales (La Extra, Fanáticos, La Muni) para su difusión.</w:t>
      </w:r>
      <w:r/>
    </w:p>
    <w:p>
      <w:pPr>
        <w:pStyle w:val="730"/>
        <w:numPr>
          <w:ilvl w:val="0"/>
          <w:numId w:val="1"/>
        </w:numPr>
        <w:pBdr/>
        <w:spacing/>
        <w:ind/>
        <w:rPr/>
      </w:pPr>
      <w:r>
        <w:t xml:space="preserve">Cada p</w:t>
      </w:r>
      <w:r>
        <w:t xml:space="preserve">artido se documenta en una cédula de papel. La cédula viaja de la cancha al colegio de árbitros y de ahí a las oficinas de la Liga, donde se captura en Excel y el Tribunal de Penas dictamina las suspensiones. El proceso completo se modela en 1.5.3.2.</w:t>
      </w:r>
      <w:r/>
    </w:p>
    <w:p>
      <w:pPr>
        <w:pStyle w:val="730"/>
        <w:numPr>
          <w:ilvl w:val="0"/>
          <w:numId w:val="1"/>
        </w:numPr>
        <w:pBdr/>
        <w:spacing/>
        <w:ind/>
        <w:rPr/>
      </w:pPr>
      <w:r>
        <w:t xml:space="preserve">Los delegados acuden a reuniones semanales en las oficinas de la Liga, donde reciben los horarios oficiales de la jornada, recogen credenciales selladas y se les notifican las sanciones.</w:t>
      </w:r>
      <w:r/>
    </w:p>
    <w:p>
      <w:pPr>
        <w:pStyle w:val="730"/>
        <w:numPr>
          <w:ilvl w:val="0"/>
          <w:numId w:val="1"/>
        </w:numPr>
        <w:pBdr/>
        <w:spacing/>
        <w:ind/>
        <w:rPr/>
      </w:pPr>
      <w:r>
        <w:t xml:space="preserve">Los clubes pagan en las oficinas o en la tesorería de la Liga, en días y horarios fijos, la inscripción, los registros, los arbitrajes y las aportaciones [REF-01, IX; REF-02, V].</w:t>
      </w:r>
      <w:r/>
    </w:p>
    <w:p>
      <w:pPr>
        <w:keepNext w:val="true"/>
        <w:pBdr/>
        <w:spacing/>
        <w:ind/>
        <w:rPr/>
      </w:pPr>
      <w:r>
        <w:t xml:space="preserve">Problemas identificados:</w:t>
      </w:r>
      <w:r/>
    </w:p>
    <w:p>
      <w:pPr>
        <w:pStyle w:val="732"/>
        <w:keepNext w:val="true"/>
        <w:pBdr/>
        <w:spacing/>
        <w:ind/>
        <w:rPr/>
      </w:pPr>
      <w:r>
        <w:rPr>
          <w:b/>
          <w:bCs/>
          <w:color w:val="241a61"/>
          <w:sz w:val="18"/>
          <w:szCs w:val="18"/>
        </w:rPr>
        <w:t xml:space="preserve">Tabla 4. </w:t>
      </w:r>
      <w:r>
        <w:rPr>
          <w:sz w:val="18"/>
          <w:szCs w:val="18"/>
        </w:rPr>
        <w:t xml:space="preserve">Problemas identificados en la operación actual.</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00"/>
        <w:gridCol w:w="5404"/>
        <w:gridCol w:w="1500"/>
        <w:gridCol w:w="1700"/>
      </w:tblGrid>
      <w:tr>
        <w:trPr>
          <w:cantSplit/>
          <w:tblHeader/>
        </w:trPr>
        <w:tc>
          <w:tcPr>
            <w:shd w:val="clear" w:color="auto" w:fill="241a61"/>
            <w:tcBorders/>
            <w:tcW w:w="800" w:type="dxa"/>
            <w:vAlign w:val="center"/>
          </w:tcPr>
          <w:p>
            <w:pPr>
              <w:pStyle w:val="731"/>
              <w:pBdr/>
              <w:spacing/>
              <w:ind/>
              <w:rPr/>
            </w:pPr>
            <w:r>
              <w:rPr>
                <w:b/>
                <w:bCs/>
                <w:color w:val="ffffff"/>
              </w:rPr>
              <w:t xml:space="preserve">ID</w:t>
            </w:r>
            <w:r/>
          </w:p>
        </w:tc>
        <w:tc>
          <w:tcPr>
            <w:shd w:val="clear" w:color="auto" w:fill="241a61"/>
            <w:tcBorders/>
            <w:tcW w:w="5404" w:type="dxa"/>
            <w:vAlign w:val="center"/>
          </w:tcPr>
          <w:p>
            <w:pPr>
              <w:pStyle w:val="731"/>
              <w:pBdr/>
              <w:spacing/>
              <w:ind/>
              <w:rPr/>
            </w:pPr>
            <w:r>
              <w:rPr>
                <w:b/>
                <w:bCs/>
                <w:color w:val="ffffff"/>
              </w:rPr>
              <w:t xml:space="preserve">Problema</w:t>
            </w:r>
            <w:r/>
          </w:p>
        </w:tc>
        <w:tc>
          <w:tcPr>
            <w:shd w:val="clear" w:color="auto" w:fill="241a61"/>
            <w:tcBorders/>
            <w:tcW w:w="1500" w:type="dxa"/>
            <w:vAlign w:val="center"/>
          </w:tcPr>
          <w:p>
            <w:pPr>
              <w:pStyle w:val="731"/>
              <w:pBdr/>
              <w:spacing/>
              <w:ind/>
              <w:rPr/>
            </w:pPr>
            <w:r>
              <w:rPr>
                <w:b/>
                <w:bCs/>
                <w:color w:val="ffffff"/>
              </w:rPr>
              <w:t xml:space="preserve">Tipo</w:t>
            </w:r>
            <w:r/>
          </w:p>
        </w:tc>
        <w:tc>
          <w:tcPr>
            <w:shd w:val="clear" w:color="auto" w:fill="241a61"/>
            <w:tcBorders/>
            <w:tcW w:w="1700" w:type="dxa"/>
            <w:vAlign w:val="center"/>
          </w:tcPr>
          <w:p>
            <w:pPr>
              <w:pStyle w:val="731"/>
              <w:pBdr/>
              <w:spacing/>
              <w:ind/>
              <w:rPr/>
            </w:pPr>
            <w:r>
              <w:rPr>
                <w:b/>
                <w:bCs/>
                <w:color w:val="ffffff"/>
              </w:rPr>
              <w:t xml:space="preserve">Fuente</w:t>
            </w:r>
            <w:r/>
          </w:p>
        </w:tc>
      </w:tr>
      <w:tr>
        <w:trPr>
          <w:cantSplit/>
        </w:trPr>
        <w:tc>
          <w:tcPr>
            <w:tcBorders/>
            <w:tcW w:w="800" w:type="dxa"/>
          </w:tcPr>
          <w:p>
            <w:pPr>
              <w:pStyle w:val="731"/>
              <w:pBdr/>
              <w:spacing/>
              <w:ind/>
              <w:rPr/>
            </w:pPr>
            <w:r>
              <w:t xml:space="preserve">PR-01</w:t>
            </w:r>
            <w:r/>
          </w:p>
        </w:tc>
        <w:tc>
          <w:tcPr>
            <w:tcBorders/>
            <w:tcW w:w="5404" w:type="dxa"/>
          </w:tcPr>
          <w:p>
            <w:pPr>
              <w:pStyle w:val="731"/>
              <w:pBdr/>
              <w:spacing/>
              <w:ind/>
              <w:rPr/>
            </w:pPr>
            <w:r>
              <w:t xml:space="preserve">Toda la operación (programación, resultados, tablas y sanciones) se realiza a mano.</w:t>
            </w:r>
            <w:r/>
          </w:p>
        </w:tc>
        <w:tc>
          <w:tcPr>
            <w:tcBorders/>
            <w:tcW w:w="1500" w:type="dxa"/>
          </w:tcPr>
          <w:p>
            <w:pPr>
              <w:pStyle w:val="731"/>
              <w:pBdr/>
              <w:spacing/>
              <w:ind/>
              <w:rPr/>
            </w:pPr>
            <w:r>
              <w:t xml:space="preserve">Hecho</w:t>
            </w:r>
            <w:r/>
          </w:p>
        </w:tc>
        <w:tc>
          <w:tcPr>
            <w:tcBorders/>
            <w:tcW w:w="1700" w:type="dxa"/>
          </w:tcPr>
          <w:p>
            <w:pPr>
              <w:pStyle w:val="731"/>
              <w:pBdr/>
              <w:spacing/>
              <w:ind/>
              <w:rPr/>
            </w:pPr>
            <w:r>
              <w:t xml:space="preserve">REF-07, P11</w:t>
            </w:r>
            <w:r/>
          </w:p>
        </w:tc>
      </w:tr>
      <w:tr>
        <w:trPr>
          <w:cantSplit/>
        </w:trPr>
        <w:tc>
          <w:tcPr>
            <w:shd w:val="clear" w:color="auto" w:fill="fafafc"/>
            <w:tcBorders/>
            <w:tcW w:w="800" w:type="dxa"/>
          </w:tcPr>
          <w:p>
            <w:pPr>
              <w:pStyle w:val="731"/>
              <w:pBdr/>
              <w:spacing/>
              <w:ind/>
              <w:rPr/>
            </w:pPr>
            <w:r>
              <w:t xml:space="preserve">PR-02</w:t>
            </w:r>
            <w:r/>
          </w:p>
        </w:tc>
        <w:tc>
          <w:tcPr>
            <w:shd w:val="clear" w:color="auto" w:fill="fafafc"/>
            <w:tcBorders/>
            <w:tcW w:w="5404" w:type="dxa"/>
          </w:tcPr>
          <w:p>
            <w:pPr>
              <w:pStyle w:val="731"/>
              <w:pBdr/>
              <w:spacing/>
              <w:ind/>
              <w:rPr/>
            </w:pPr>
            <w:r>
              <w:t xml:space="preserve">Los datos de cada partido se escriben dos veces: primero en la cédula de papel y después en Excel.</w:t>
            </w:r>
            <w:r/>
          </w:p>
        </w:tc>
        <w:tc>
          <w:tcPr>
            <w:shd w:val="clear" w:color="auto" w:fill="fafafc"/>
            <w:tcBorders/>
            <w:tcW w:w="1500" w:type="dxa"/>
          </w:tcPr>
          <w:p>
            <w:pPr>
              <w:pStyle w:val="731"/>
              <w:pBdr/>
              <w:spacing/>
              <w:ind/>
              <w:rPr/>
            </w:pPr>
            <w:r>
              <w:t xml:space="preserve">Hecho (derivado del proceso descrito)</w:t>
            </w:r>
            <w:r/>
          </w:p>
        </w:tc>
        <w:tc>
          <w:tcPr>
            <w:shd w:val="clear" w:color="auto" w:fill="fafafc"/>
            <w:tcBorders/>
            <w:tcW w:w="1700" w:type="dxa"/>
          </w:tcPr>
          <w:p>
            <w:pPr>
              <w:pStyle w:val="731"/>
              <w:pBdr/>
              <w:spacing/>
              <w:ind/>
              <w:rPr/>
            </w:pPr>
            <w:r>
              <w:t xml:space="preserve">REF-07, P19</w:t>
            </w:r>
            <w:r/>
          </w:p>
        </w:tc>
      </w:tr>
      <w:tr>
        <w:trPr>
          <w:cantSplit/>
        </w:trPr>
        <w:tc>
          <w:tcPr>
            <w:tcBorders/>
            <w:tcW w:w="800" w:type="dxa"/>
          </w:tcPr>
          <w:p>
            <w:pPr>
              <w:pStyle w:val="731"/>
              <w:pBdr/>
              <w:spacing/>
              <w:ind/>
              <w:rPr/>
            </w:pPr>
            <w:r>
              <w:t xml:space="preserve">PR-03</w:t>
            </w:r>
            <w:r/>
          </w:p>
        </w:tc>
        <w:tc>
          <w:tcPr>
            <w:tcBorders/>
            <w:tcW w:w="5404" w:type="dxa"/>
          </w:tcPr>
          <w:p>
            <w:pPr>
              <w:pStyle w:val="731"/>
              <w:pBdr/>
              <w:spacing/>
              <w:ind/>
              <w:rPr/>
            </w:pPr>
            <w:r>
              <w:t xml:space="preserve">En los partidos de fin de semana, las cédulas llegan a la Liga entre 1 y 3 días después del partido (lunes o martes), por traslado físico. Eso retrasa la actualización de tablas y el boletín de castigados.</w:t>
            </w:r>
            <w:r/>
          </w:p>
        </w:tc>
        <w:tc>
          <w:tcPr>
            <w:tcBorders/>
            <w:tcW w:w="1500" w:type="dxa"/>
          </w:tcPr>
          <w:p>
            <w:pPr>
              <w:pStyle w:val="731"/>
              <w:pBdr/>
              <w:spacing/>
              <w:ind/>
              <w:rPr/>
            </w:pPr>
            <w:r>
              <w:t xml:space="preserve">Hecho (derivado del proceso descrito)</w:t>
            </w:r>
            <w:r/>
          </w:p>
        </w:tc>
        <w:tc>
          <w:tcPr>
            <w:tcBorders/>
            <w:tcW w:w="1700" w:type="dxa"/>
          </w:tcPr>
          <w:p>
            <w:pPr>
              <w:pStyle w:val="731"/>
              <w:pBdr/>
              <w:spacing/>
              <w:ind/>
              <w:rPr/>
            </w:pPr>
            <w:r>
              <w:t xml:space="preserve">REF-07, P19</w:t>
            </w:r>
            <w:r/>
          </w:p>
        </w:tc>
      </w:tr>
      <w:tr>
        <w:trPr>
          <w:cantSplit/>
        </w:trPr>
        <w:tc>
          <w:tcPr>
            <w:shd w:val="clear" w:color="auto" w:fill="fafafc"/>
            <w:tcBorders/>
            <w:tcW w:w="800" w:type="dxa"/>
          </w:tcPr>
          <w:p>
            <w:pPr>
              <w:pStyle w:val="731"/>
              <w:pBdr/>
              <w:spacing/>
              <w:ind/>
              <w:rPr/>
            </w:pPr>
            <w:r>
              <w:t xml:space="preserve">PR-04</w:t>
            </w:r>
            <w:r/>
          </w:p>
        </w:tc>
        <w:tc>
          <w:tcPr>
            <w:shd w:val="clear" w:color="auto" w:fill="fafafc"/>
            <w:tcBorders/>
            <w:tcW w:w="5404" w:type="dxa"/>
          </w:tcPr>
          <w:p>
            <w:pPr>
              <w:pStyle w:val="731"/>
              <w:pBdr/>
              <w:spacing/>
              <w:ind/>
              <w:rPr/>
            </w:pPr>
            <w:r>
              <w:t xml:space="preserve">La información oficial se publica como imágenes o PDF en Facebook y en portales de terceros. No existe un repositorio único consultable por equipo, categoría o fecha.</w:t>
            </w:r>
            <w:r/>
          </w:p>
        </w:tc>
        <w:tc>
          <w:tcPr>
            <w:shd w:val="clear" w:color="auto" w:fill="fafafc"/>
            <w:tcBorders/>
            <w:tcW w:w="1500" w:type="dxa"/>
          </w:tcPr>
          <w:p>
            <w:pPr>
              <w:pStyle w:val="731"/>
              <w:pBdr/>
              <w:spacing/>
              <w:ind/>
              <w:rPr/>
            </w:pPr>
            <w:r>
              <w:t xml:space="preserve">Hecho</w:t>
            </w:r>
            <w:r/>
          </w:p>
        </w:tc>
        <w:tc>
          <w:tcPr>
            <w:shd w:val="clear" w:color="auto" w:fill="fafafc"/>
            <w:tcBorders/>
            <w:tcW w:w="1700" w:type="dxa"/>
          </w:tcPr>
          <w:p>
            <w:pPr>
              <w:pStyle w:val="731"/>
              <w:pBdr/>
              <w:spacing/>
              <w:ind/>
              <w:rPr/>
            </w:pPr>
            <w:r>
              <w:t xml:space="preserve">REF-07, P11, P17, P18</w:t>
            </w:r>
            <w:r/>
          </w:p>
        </w:tc>
      </w:tr>
      <w:tr>
        <w:trPr>
          <w:cantSplit/>
        </w:trPr>
        <w:tc>
          <w:tcPr>
            <w:tcBorders/>
            <w:tcW w:w="800" w:type="dxa"/>
          </w:tcPr>
          <w:p>
            <w:pPr>
              <w:pStyle w:val="731"/>
              <w:pBdr/>
              <w:spacing/>
              <w:ind/>
              <w:rPr/>
            </w:pPr>
            <w:r>
              <w:t xml:space="preserve">PR-05</w:t>
            </w:r>
            <w:r/>
          </w:p>
        </w:tc>
        <w:tc>
          <w:tcPr>
            <w:tcBorders/>
            <w:tcW w:w="5404" w:type="dxa"/>
          </w:tcPr>
          <w:p>
            <w:pPr>
              <w:pStyle w:val="731"/>
              <w:pBdr/>
              <w:spacing/>
              <w:ind/>
              <w:rPr/>
            </w:pPr>
            <w:r>
              <w:t xml:space="preserve">La programación se arma a mano para un volumen alto de partidos. Con 732 equipos, una jornada completa podría implicar del orden de 360 partidos (732 ÷ 2, sin contar descansos). </w:t>
            </w:r>
            <w:r/>
            <w:r/>
          </w:p>
        </w:tc>
        <w:tc>
          <w:tcPr>
            <w:tcBorders/>
            <w:tcW w:w="1500" w:type="dxa"/>
          </w:tcPr>
          <w:p>
            <w:pPr>
              <w:pStyle w:val="731"/>
              <w:pBdr/>
              <w:spacing/>
              <w:ind/>
              <w:rPr/>
            </w:pPr>
            <w:r>
              <w:t xml:space="preserve">Propuesta (estimación del análisis)</w:t>
            </w:r>
            <w:r/>
          </w:p>
        </w:tc>
        <w:tc>
          <w:tcPr>
            <w:tcBorders/>
            <w:tcW w:w="1700" w:type="dxa"/>
          </w:tcPr>
          <w:p>
            <w:pPr>
              <w:pStyle w:val="731"/>
              <w:pBdr/>
              <w:spacing/>
              <w:ind/>
              <w:rPr/>
            </w:pPr>
            <w:r>
              <w:t xml:space="preserve">REF-16; REF-07, P11</w:t>
            </w:r>
            <w:r/>
          </w:p>
        </w:tc>
      </w:tr>
      <w:tr>
        <w:trPr>
          <w:cantSplit/>
        </w:trPr>
        <w:tc>
          <w:tcPr>
            <w:shd w:val="clear" w:color="auto" w:fill="fafafc"/>
            <w:tcBorders/>
            <w:tcW w:w="800" w:type="dxa"/>
          </w:tcPr>
          <w:p>
            <w:pPr>
              <w:pStyle w:val="731"/>
              <w:pBdr/>
              <w:spacing/>
              <w:ind/>
              <w:rPr/>
            </w:pPr>
            <w:r>
              <w:t xml:space="preserve">PR-06</w:t>
            </w:r>
            <w:r/>
          </w:p>
        </w:tc>
        <w:tc>
          <w:tcPr>
            <w:shd w:val="clear" w:color="auto" w:fill="fafafc"/>
            <w:tcBorders/>
            <w:tcW w:w="5404" w:type="dxa"/>
          </w:tcPr>
          <w:p>
            <w:pPr>
              <w:pStyle w:val="731"/>
              <w:pBdr/>
              <w:spacing/>
              <w:ind/>
              <w:rPr/>
            </w:pPr>
            <w:r>
              <w:t xml:space="preserve">Las reglas cambian cada temporada. Por ejemplo, la inscripción por categoría de los clubes existentes pasó de $50.00 (2025–2026) a $100.00 (2026–2027) y la aportación para trofeos pasó de $800.00 a $1,200.00.</w:t>
            </w:r>
            <w:r/>
          </w:p>
        </w:tc>
        <w:tc>
          <w:tcPr>
            <w:shd w:val="clear" w:color="auto" w:fill="fafafc"/>
            <w:tcBorders/>
            <w:tcW w:w="1500" w:type="dxa"/>
          </w:tcPr>
          <w:p>
            <w:pPr>
              <w:pStyle w:val="731"/>
              <w:pBdr/>
              <w:spacing/>
              <w:ind/>
              <w:rPr/>
            </w:pPr>
            <w:r>
              <w:t xml:space="preserve">Hecho</w:t>
            </w:r>
            <w:r/>
          </w:p>
        </w:tc>
        <w:tc>
          <w:tcPr>
            <w:shd w:val="clear" w:color="auto" w:fill="fafafc"/>
            <w:tcBorders/>
            <w:tcW w:w="1700" w:type="dxa"/>
          </w:tcPr>
          <w:p>
            <w:pPr>
              <w:pStyle w:val="731"/>
              <w:pBdr/>
              <w:spacing/>
              <w:ind/>
              <w:rPr/>
            </w:pPr>
            <w:r>
              <w:t xml:space="preserve">REF-14; REF-01</w:t>
            </w:r>
            <w:r/>
          </w:p>
        </w:tc>
      </w:tr>
    </w:tbl>
    <w:p>
      <w:pPr>
        <w:pBdr/>
        <w:spacing w:after="60" w:before="0"/>
        <w:ind/>
        <w:rPr/>
      </w:pPr>
      <w:r/>
      <w:r/>
    </w:p>
    <w:p>
      <w:pPr>
        <w:pStyle w:val="725"/>
        <w:pBdr/>
        <w:spacing/>
        <w:ind/>
        <w:rPr/>
      </w:pPr>
      <w:r/>
      <w:bookmarkStart w:id="11" w:name="_Toc100011"/>
      <w:r>
        <w:t xml:space="preserve">1.2.4 Objetivos del producto</w:t>
      </w:r>
      <w:bookmarkEnd w:id="11"/>
      <w:r/>
      <w:r/>
    </w:p>
    <w:p>
      <w:pPr>
        <w:pBdr/>
        <w:spacing/>
        <w:ind/>
        <w:rPr/>
      </w:pPr>
      <w:r>
        <w:t xml:space="preserve">Los objetivos se derivan de los problemas anteriores. Los indicadores son una </w:t>
      </w:r>
      <w:r>
        <w:rPr>
          <w:b/>
          <w:bCs/>
        </w:rPr>
        <w:t xml:space="preserve">propuesta</w:t>
      </w:r>
      <w:r>
        <w:t xml:space="preserve"> del análisis; las líneas base y las metas deben fijarse con la Liga.</w:t>
      </w:r>
      <w:r/>
    </w:p>
    <w:p>
      <w:pPr>
        <w:pStyle w:val="732"/>
        <w:keepNext w:val="true"/>
        <w:pBdr/>
        <w:spacing/>
        <w:ind/>
        <w:rPr/>
      </w:pPr>
      <w:r>
        <w:rPr>
          <w:b/>
          <w:bCs/>
          <w:color w:val="241a61"/>
          <w:sz w:val="18"/>
          <w:szCs w:val="18"/>
        </w:rPr>
        <w:t xml:space="preserve">Tabla 5. </w:t>
      </w:r>
      <w:r>
        <w:rPr>
          <w:sz w:val="18"/>
          <w:szCs w:val="18"/>
        </w:rPr>
        <w:t xml:space="preserve">Objetivos del producto e indicadores propuestos.</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50"/>
        <w:gridCol w:w="3200"/>
        <w:gridCol w:w="2300"/>
        <w:gridCol w:w="1550"/>
        <w:gridCol w:w="1504"/>
      </w:tblGrid>
      <w:tr>
        <w:trPr>
          <w:cantSplit/>
          <w:tblHeader/>
        </w:trPr>
        <w:tc>
          <w:tcPr>
            <w:shd w:val="clear" w:color="auto" w:fill="241a61"/>
            <w:tcBorders/>
            <w:tcW w:w="850" w:type="dxa"/>
            <w:vAlign w:val="center"/>
          </w:tcPr>
          <w:p>
            <w:pPr>
              <w:pStyle w:val="731"/>
              <w:pBdr/>
              <w:spacing/>
              <w:ind/>
              <w:rPr/>
            </w:pPr>
            <w:r>
              <w:rPr>
                <w:b/>
                <w:bCs/>
                <w:color w:val="ffffff"/>
              </w:rPr>
              <w:t xml:space="preserve">ID</w:t>
            </w:r>
            <w:r/>
          </w:p>
        </w:tc>
        <w:tc>
          <w:tcPr>
            <w:shd w:val="clear" w:color="auto" w:fill="241a61"/>
            <w:tcBorders/>
            <w:tcW w:w="3200" w:type="dxa"/>
            <w:vAlign w:val="center"/>
          </w:tcPr>
          <w:p>
            <w:pPr>
              <w:pStyle w:val="731"/>
              <w:pBdr/>
              <w:spacing/>
              <w:ind/>
              <w:rPr/>
            </w:pPr>
            <w:r>
              <w:rPr>
                <w:b/>
                <w:bCs/>
                <w:color w:val="ffffff"/>
              </w:rPr>
              <w:t xml:space="preserve">Objetivo</w:t>
            </w:r>
            <w:r/>
          </w:p>
        </w:tc>
        <w:tc>
          <w:tcPr>
            <w:shd w:val="clear" w:color="auto" w:fill="241a61"/>
            <w:tcBorders/>
            <w:tcW w:w="2300" w:type="dxa"/>
            <w:vAlign w:val="center"/>
          </w:tcPr>
          <w:p>
            <w:pPr>
              <w:pStyle w:val="731"/>
              <w:pBdr/>
              <w:spacing/>
              <w:ind/>
              <w:rPr/>
            </w:pPr>
            <w:r>
              <w:rPr>
                <w:b/>
                <w:bCs/>
                <w:color w:val="ffffff"/>
              </w:rPr>
              <w:t xml:space="preserve">Indicador propuesto</w:t>
            </w:r>
            <w:r/>
          </w:p>
        </w:tc>
        <w:tc>
          <w:tcPr>
            <w:shd w:val="clear" w:color="auto" w:fill="241a61"/>
            <w:tcBorders/>
            <w:tcW w:w="1550" w:type="dxa"/>
            <w:vAlign w:val="center"/>
          </w:tcPr>
          <w:p>
            <w:pPr>
              <w:pStyle w:val="731"/>
              <w:pBdr/>
              <w:spacing/>
              <w:ind/>
              <w:rPr/>
            </w:pPr>
            <w:r>
              <w:rPr>
                <w:b/>
                <w:bCs/>
                <w:color w:val="ffffff"/>
              </w:rPr>
              <w:t xml:space="preserve">Línea base</w:t>
            </w:r>
            <w:r/>
          </w:p>
        </w:tc>
        <w:tc>
          <w:tcPr>
            <w:shd w:val="clear" w:color="auto" w:fill="241a61"/>
            <w:tcBorders/>
            <w:tcW w:w="1504" w:type="dxa"/>
            <w:vAlign w:val="center"/>
          </w:tcPr>
          <w:p>
            <w:pPr>
              <w:pStyle w:val="731"/>
              <w:pBdr/>
              <w:spacing/>
              <w:ind/>
              <w:rPr/>
            </w:pPr>
            <w:r>
              <w:rPr>
                <w:b/>
                <w:bCs/>
                <w:color w:val="ffffff"/>
              </w:rPr>
              <w:t xml:space="preserve">Meta</w:t>
            </w:r>
            <w:r/>
          </w:p>
        </w:tc>
      </w:tr>
      <w:tr>
        <w:trPr>
          <w:cantSplit/>
        </w:trPr>
        <w:tc>
          <w:tcPr>
            <w:tcBorders/>
            <w:tcW w:w="850" w:type="dxa"/>
          </w:tcPr>
          <w:p>
            <w:pPr>
              <w:pStyle w:val="731"/>
              <w:pBdr/>
              <w:spacing/>
              <w:ind/>
              <w:rPr/>
            </w:pPr>
            <w:r>
              <w:t xml:space="preserve">OBJ-01</w:t>
            </w:r>
            <w:r/>
          </w:p>
        </w:tc>
        <w:tc>
          <w:tcPr>
            <w:tcBorders/>
            <w:tcW w:w="3200" w:type="dxa"/>
          </w:tcPr>
          <w:p>
            <w:pPr>
              <w:pStyle w:val="731"/>
              <w:pBdr/>
              <w:spacing/>
              <w:ind/>
              <w:rPr/>
            </w:pPr>
            <w:r>
              <w:t xml:space="preserve">Digitalizar y centralizar en un solo sistema la información de la Liga: clubes, equipos, jugadores, registros, programación, resultados, sanciones y pagos (PR-01).</w:t>
            </w:r>
            <w:r/>
          </w:p>
        </w:tc>
        <w:tc>
          <w:tcPr>
            <w:tcBorders/>
            <w:tcW w:w="2300" w:type="dxa"/>
          </w:tcPr>
          <w:p>
            <w:pPr>
              <w:pStyle w:val="731"/>
              <w:pBdr/>
              <w:spacing/>
              <w:ind/>
              <w:rPr/>
            </w:pPr>
            <w:r>
              <w:t xml:space="preserve">Procesos de la Liga que dejan de usar papel o Excel como registro oficial.</w:t>
            </w:r>
            <w:r/>
          </w:p>
        </w:tc>
        <w:tc>
          <w:tcPr>
            <w:tcBorders/>
            <w:tcW w:w="1550" w:type="dxa"/>
          </w:tcPr>
          <w:p>
            <w:pPr>
              <w:pStyle w:val="731"/>
              <w:pBdr/>
              <w:spacing/>
              <w:ind/>
              <w:rPr/>
            </w:pPr>
            <w:r>
              <w:t xml:space="preserve">Ninguno: todo es manual (REF-07, P11).</w:t>
            </w:r>
            <w:r/>
          </w:p>
        </w:tc>
        <w:tc>
          <w:tcPr>
            <w:tcBorders/>
            <w:tcW w:w="1504" w:type="dxa"/>
          </w:tcPr>
          <w:p>
            <w:pPr>
              <w:pStyle w:val="731"/>
              <w:pBdr/>
              <w:spacing/>
              <w:ind/>
              <w:rPr/>
            </w:pPr>
            <w:r>
              <w:rPr>
                <w:b/>
                <w:bCs/>
                <w:color w:val="9c4a00"/>
                <w:shd w:val="clear" w:color="auto" w:fill="fff2cc"/>
              </w:rPr>
              <w:t xml:space="preserve">[POR DEFINIR]</w:t>
            </w:r>
            <w:r/>
          </w:p>
        </w:tc>
      </w:tr>
      <w:tr>
        <w:trPr>
          <w:cantSplit/>
        </w:trPr>
        <w:tc>
          <w:tcPr>
            <w:shd w:val="clear" w:color="auto" w:fill="fafafc"/>
            <w:tcBorders/>
            <w:tcW w:w="850" w:type="dxa"/>
          </w:tcPr>
          <w:p>
            <w:pPr>
              <w:pStyle w:val="731"/>
              <w:pBdr/>
              <w:spacing/>
              <w:ind/>
              <w:rPr/>
            </w:pPr>
            <w:r>
              <w:t xml:space="preserve">OBJ-02</w:t>
            </w:r>
            <w:r/>
          </w:p>
        </w:tc>
        <w:tc>
          <w:tcPr>
            <w:shd w:val="clear" w:color="auto" w:fill="fafafc"/>
            <w:tcBorders/>
            <w:tcW w:w="3200" w:type="dxa"/>
          </w:tcPr>
          <w:p>
            <w:pPr>
              <w:pStyle w:val="731"/>
              <w:pBdr/>
              <w:spacing/>
              <w:ind/>
              <w:rPr/>
            </w:pPr>
            <w:r>
              <w:t xml:space="preserve">Reducir el tiempo para elaborar y publicar la programación de cada jornada mediante generación asistida y detección de conflictos (PR-05).</w:t>
            </w:r>
            <w:r/>
          </w:p>
        </w:tc>
        <w:tc>
          <w:tcPr>
            <w:shd w:val="clear" w:color="auto" w:fill="fafafc"/>
            <w:tcBorders/>
            <w:tcW w:w="2300" w:type="dxa"/>
          </w:tcPr>
          <w:p>
            <w:pPr>
              <w:pStyle w:val="731"/>
              <w:pBdr/>
              <w:spacing/>
              <w:ind/>
              <w:rPr/>
            </w:pPr>
            <w:r>
              <w:t xml:space="preserve">Horas-persona por jornada para elaborar y publicar la programación.</w:t>
            </w:r>
            <w:r/>
          </w:p>
        </w:tc>
        <w:tc>
          <w:tcPr>
            <w:shd w:val="clear" w:color="auto" w:fill="fafafc"/>
            <w:tcBorders/>
            <w:tcW w:w="1550" w:type="dxa"/>
          </w:tcPr>
          <w:p>
            <w:pPr>
              <w:pStyle w:val="731"/>
              <w:pBdr/>
              <w:spacing/>
              <w:ind/>
              <w:rPr/>
            </w:pPr>
            <w:r>
              <w:rPr>
                <w:b/>
                <w:bCs/>
                <w:color w:val="9c4a00"/>
                <w:shd w:val="clear" w:color="auto" w:fill="fff2cc"/>
              </w:rPr>
              <w:t xml:space="preserve">[POR DEFINIR]</w:t>
            </w:r>
            <w:r/>
          </w:p>
        </w:tc>
        <w:tc>
          <w:tcPr>
            <w:shd w:val="clear" w:color="auto" w:fill="fafafc"/>
            <w:tcBorders/>
            <w:tcW w:w="1504" w:type="dxa"/>
          </w:tcPr>
          <w:p>
            <w:pPr>
              <w:pStyle w:val="731"/>
              <w:pBdr/>
              <w:spacing/>
              <w:ind/>
              <w:rPr/>
            </w:pPr>
            <w:r>
              <w:rPr>
                <w:b/>
                <w:bCs/>
                <w:color w:val="9c4a00"/>
                <w:shd w:val="clear" w:color="auto" w:fill="fff2cc"/>
              </w:rPr>
              <w:t xml:space="preserve">[POR DEFINIR]</w:t>
            </w:r>
            <w:r/>
          </w:p>
        </w:tc>
      </w:tr>
      <w:tr>
        <w:trPr>
          <w:cantSplit/>
        </w:trPr>
        <w:tc>
          <w:tcPr>
            <w:tcBorders/>
            <w:tcW w:w="850" w:type="dxa"/>
          </w:tcPr>
          <w:p>
            <w:pPr>
              <w:pStyle w:val="731"/>
              <w:pBdr/>
              <w:spacing/>
              <w:ind/>
              <w:rPr/>
            </w:pPr>
            <w:r>
              <w:t xml:space="preserve">OBJ-03</w:t>
            </w:r>
            <w:r/>
          </w:p>
        </w:tc>
        <w:tc>
          <w:tcPr>
            <w:tcBorders/>
            <w:tcW w:w="3200" w:type="dxa"/>
          </w:tcPr>
          <w:p>
            <w:pPr>
              <w:pStyle w:val="731"/>
              <w:pBdr/>
              <w:spacing/>
              <w:ind/>
              <w:rPr/>
            </w:pPr>
            <w:r>
              <w:t xml:space="preserve">Registrar una sola vez los resultados y las incidencias, y calcular automáticamente tablas y estadísticas (PR-02).</w:t>
            </w:r>
            <w:r/>
          </w:p>
        </w:tc>
        <w:tc>
          <w:tcPr>
            <w:tcBorders/>
            <w:tcW w:w="2300" w:type="dxa"/>
          </w:tcPr>
          <w:p>
            <w:pPr>
              <w:pStyle w:val="731"/>
              <w:pBdr/>
              <w:spacing/>
              <w:ind/>
              <w:rPr/>
            </w:pPr>
            <w:r>
              <w:t xml:space="preserve">Veces que se captura cada dato de la cédula.</w:t>
            </w:r>
            <w:r/>
          </w:p>
        </w:tc>
        <w:tc>
          <w:tcPr>
            <w:tcBorders/>
            <w:tcW w:w="1550" w:type="dxa"/>
          </w:tcPr>
          <w:p>
            <w:pPr>
              <w:pStyle w:val="731"/>
              <w:pBdr/>
              <w:spacing/>
              <w:ind/>
              <w:rPr/>
            </w:pPr>
            <w:r>
              <w:t xml:space="preserve">2 (papel y Excel).</w:t>
            </w:r>
            <w:r/>
          </w:p>
        </w:tc>
        <w:tc>
          <w:tcPr>
            <w:tcBorders/>
            <w:tcW w:w="1504" w:type="dxa"/>
          </w:tcPr>
          <w:p>
            <w:pPr>
              <w:pStyle w:val="731"/>
              <w:pBdr/>
              <w:spacing/>
              <w:ind/>
              <w:rPr/>
            </w:pPr>
            <w:r>
              <w:t xml:space="preserve">1 (propuesta).</w:t>
            </w:r>
            <w:r/>
          </w:p>
        </w:tc>
      </w:tr>
      <w:tr>
        <w:trPr>
          <w:cantSplit/>
        </w:trPr>
        <w:tc>
          <w:tcPr>
            <w:shd w:val="clear" w:color="auto" w:fill="fafafc"/>
            <w:tcBorders/>
            <w:tcW w:w="850" w:type="dxa"/>
          </w:tcPr>
          <w:p>
            <w:pPr>
              <w:pStyle w:val="731"/>
              <w:pBdr/>
              <w:spacing/>
              <w:ind/>
              <w:rPr/>
            </w:pPr>
            <w:r>
              <w:t xml:space="preserve">OBJ-04</w:t>
            </w:r>
            <w:r/>
          </w:p>
        </w:tc>
        <w:tc>
          <w:tcPr>
            <w:shd w:val="clear" w:color="auto" w:fill="fafafc"/>
            <w:tcBorders/>
            <w:tcW w:w="3200" w:type="dxa"/>
          </w:tcPr>
          <w:p>
            <w:pPr>
              <w:pStyle w:val="731"/>
              <w:pBdr/>
              <w:spacing/>
              <w:ind/>
              <w:rPr/>
            </w:pPr>
            <w:r>
              <w:t xml:space="preserve">Acortar el tiempo entre la recepción de las cédulas y la publicación del boletín de castigados (PR-03).</w:t>
            </w:r>
            <w:r/>
          </w:p>
        </w:tc>
        <w:tc>
          <w:tcPr>
            <w:shd w:val="clear" w:color="auto" w:fill="fafafc"/>
            <w:tcBorders/>
            <w:tcW w:w="2300" w:type="dxa"/>
          </w:tcPr>
          <w:p>
            <w:pPr>
              <w:pStyle w:val="731"/>
              <w:pBdr/>
              <w:spacing/>
              <w:ind/>
              <w:rPr/>
            </w:pPr>
            <w:r>
              <w:t xml:space="preserve">Horas entre la recepción de las cédulas y la publicación.</w:t>
            </w:r>
            <w:r/>
          </w:p>
        </w:tc>
        <w:tc>
          <w:tcPr>
            <w:shd w:val="clear" w:color="auto" w:fill="fafafc"/>
            <w:tcBorders/>
            <w:tcW w:w="1550" w:type="dxa"/>
          </w:tcPr>
          <w:p>
            <w:pPr>
              <w:pStyle w:val="731"/>
              <w:pBdr/>
              <w:spacing/>
              <w:ind/>
              <w:rPr/>
            </w:pPr>
            <w:r>
              <w:rPr>
                <w:b/>
                <w:bCs/>
                <w:color w:val="9c4a00"/>
                <w:shd w:val="clear" w:color="auto" w:fill="fff2cc"/>
              </w:rPr>
              <w:t xml:space="preserve">[POR DEFINIR]</w:t>
            </w:r>
            <w:r/>
          </w:p>
        </w:tc>
        <w:tc>
          <w:tcPr>
            <w:shd w:val="clear" w:color="auto" w:fill="fafafc"/>
            <w:tcBorders/>
            <w:tcW w:w="1504" w:type="dxa"/>
          </w:tcPr>
          <w:p>
            <w:pPr>
              <w:pStyle w:val="731"/>
              <w:pBdr/>
              <w:spacing/>
              <w:ind/>
              <w:rPr/>
            </w:pPr>
            <w:r>
              <w:rPr>
                <w:b/>
                <w:bCs/>
                <w:color w:val="9c4a00"/>
                <w:shd w:val="clear" w:color="auto" w:fill="fff2cc"/>
              </w:rPr>
              <w:t xml:space="preserve">[POR DEFINIR]</w:t>
            </w:r>
            <w:r/>
          </w:p>
        </w:tc>
      </w:tr>
      <w:tr>
        <w:trPr>
          <w:cantSplit/>
        </w:trPr>
        <w:tc>
          <w:tcPr>
            <w:tcBorders/>
            <w:tcW w:w="850" w:type="dxa"/>
          </w:tcPr>
          <w:p>
            <w:pPr>
              <w:pStyle w:val="731"/>
              <w:pBdr/>
              <w:spacing/>
              <w:ind/>
              <w:rPr/>
            </w:pPr>
            <w:r>
              <w:t xml:space="preserve">OBJ-05</w:t>
            </w:r>
            <w:r/>
          </w:p>
        </w:tc>
        <w:tc>
          <w:tcPr>
            <w:tcBorders/>
            <w:tcW w:w="3200" w:type="dxa"/>
          </w:tcPr>
          <w:p>
            <w:pPr>
              <w:pStyle w:val="731"/>
              <w:pBdr/>
              <w:spacing/>
              <w:ind/>
              <w:rPr/>
            </w:pPr>
            <w:r>
              <w:t xml:space="preserve">Publicar la información oficial en un portal web consultable sin cuenta (PR-04).</w:t>
            </w:r>
            <w:r/>
          </w:p>
        </w:tc>
        <w:tc>
          <w:tcPr>
            <w:tcBorders/>
            <w:tcW w:w="2300" w:type="dxa"/>
          </w:tcPr>
          <w:p>
            <w:pPr>
              <w:pStyle w:val="731"/>
              <w:pBdr/>
              <w:spacing/>
              <w:ind/>
              <w:rPr/>
            </w:pPr>
            <w:r>
              <w:t xml:space="preserve">Proporción de la información oficial (programación, resultados, tablas y castigados) publicada en el portal.</w:t>
            </w:r>
            <w:r/>
          </w:p>
        </w:tc>
        <w:tc>
          <w:tcPr>
            <w:tcBorders/>
            <w:tcW w:w="1550" w:type="dxa"/>
          </w:tcPr>
          <w:p>
            <w:pPr>
              <w:pStyle w:val="731"/>
              <w:pBdr/>
              <w:spacing/>
              <w:ind/>
              <w:rPr/>
            </w:pPr>
            <w:r>
              <w:t xml:space="preserve">0 %: hoy se publica en imágenes en Facebook.</w:t>
            </w:r>
            <w:r/>
          </w:p>
        </w:tc>
        <w:tc>
          <w:tcPr>
            <w:tcBorders/>
            <w:tcW w:w="1504" w:type="dxa"/>
          </w:tcPr>
          <w:p>
            <w:pPr>
              <w:pStyle w:val="731"/>
              <w:pBdr/>
              <w:spacing/>
              <w:ind/>
              <w:rPr/>
            </w:pPr>
            <w:r>
              <w:t xml:space="preserve">100 % (propuesta).</w:t>
            </w:r>
            <w:r/>
          </w:p>
        </w:tc>
      </w:tr>
      <w:tr>
        <w:trPr>
          <w:cantSplit/>
        </w:trPr>
        <w:tc>
          <w:tcPr>
            <w:shd w:val="clear" w:color="auto" w:fill="fafafc"/>
            <w:tcBorders/>
            <w:tcW w:w="850" w:type="dxa"/>
          </w:tcPr>
          <w:p>
            <w:pPr>
              <w:pStyle w:val="731"/>
              <w:pBdr/>
              <w:spacing/>
              <w:ind/>
              <w:rPr/>
            </w:pPr>
            <w:r>
              <w:t xml:space="preserve">OBJ-06</w:t>
            </w:r>
            <w:r/>
          </w:p>
        </w:tc>
        <w:tc>
          <w:tcPr>
            <w:shd w:val="clear" w:color="auto" w:fill="fafafc"/>
            <w:tcBorders/>
            <w:tcW w:w="3200" w:type="dxa"/>
          </w:tcPr>
          <w:p>
            <w:pPr>
              <w:pStyle w:val="731"/>
              <w:pBdr/>
              <w:spacing/>
              <w:ind/>
              <w:rPr/>
            </w:pPr>
            <w:r>
              <w:t xml:space="preserve">Controlar las aportaciones y los pagos de los clubes.</w:t>
            </w:r>
            <w:r/>
          </w:p>
        </w:tc>
        <w:tc>
          <w:tcPr>
            <w:shd w:val="clear" w:color="auto" w:fill="fafafc"/>
            <w:tcBorders/>
            <w:tcW w:w="2300" w:type="dxa"/>
          </w:tcPr>
          <w:p>
            <w:pPr>
              <w:pStyle w:val="731"/>
              <w:pBdr/>
              <w:spacing/>
              <w:ind/>
              <w:rPr/>
            </w:pPr>
            <w:r>
              <w:t xml:space="preserve">Proporción de pagos registrados en el Sistema.</w:t>
            </w:r>
            <w:r/>
          </w:p>
        </w:tc>
        <w:tc>
          <w:tcPr>
            <w:shd w:val="clear" w:color="auto" w:fill="fafafc"/>
            <w:tcBorders/>
            <w:tcW w:w="1550" w:type="dxa"/>
          </w:tcPr>
          <w:p>
            <w:pPr>
              <w:pStyle w:val="731"/>
              <w:pBdr/>
              <w:spacing/>
              <w:ind/>
              <w:rPr/>
            </w:pPr>
            <w:r>
              <w:rPr>
                <w:b/>
                <w:bCs/>
                <w:color w:val="9c4a00"/>
                <w:shd w:val="clear" w:color="auto" w:fill="fff2cc"/>
              </w:rPr>
              <w:t xml:space="preserve">[POR DEFINIR]</w:t>
            </w:r>
            <w:r/>
          </w:p>
        </w:tc>
        <w:tc>
          <w:tcPr>
            <w:shd w:val="clear" w:color="auto" w:fill="fafafc"/>
            <w:tcBorders/>
            <w:tcW w:w="1504" w:type="dxa"/>
          </w:tcPr>
          <w:p>
            <w:pPr>
              <w:pStyle w:val="731"/>
              <w:pBdr/>
              <w:spacing/>
              <w:ind/>
              <w:rPr/>
            </w:pPr>
            <w:r>
              <w:rPr>
                <w:b/>
                <w:bCs/>
                <w:color w:val="9c4a00"/>
                <w:shd w:val="clear" w:color="auto" w:fill="fff2cc"/>
              </w:rPr>
              <w:t xml:space="preserve">[POR DEFINIR]</w:t>
            </w:r>
            <w:r/>
          </w:p>
        </w:tc>
      </w:tr>
      <w:tr>
        <w:trPr>
          <w:cantSplit/>
        </w:trPr>
        <w:tc>
          <w:tcPr>
            <w:tcBorders/>
            <w:tcW w:w="850" w:type="dxa"/>
          </w:tcPr>
          <w:p>
            <w:pPr>
              <w:pStyle w:val="731"/>
              <w:pBdr/>
              <w:spacing/>
              <w:ind/>
              <w:rPr/>
            </w:pPr>
            <w:r>
              <w:t xml:space="preserve">OBJ-07</w:t>
            </w:r>
            <w:r/>
          </w:p>
        </w:tc>
        <w:tc>
          <w:tcPr>
            <w:tcBorders/>
            <w:tcW w:w="3200" w:type="dxa"/>
          </w:tcPr>
          <w:p>
            <w:pPr>
              <w:pStyle w:val="731"/>
              <w:pBdr/>
              <w:spacing/>
              <w:ind/>
              <w:rPr/>
            </w:pPr>
            <w:r>
              <w:t xml:space="preserve">Conservar el historial de cada temporada sin sobrescribirlo (REF-06, diap. 8).</w:t>
            </w:r>
            <w:r/>
          </w:p>
        </w:tc>
        <w:tc>
          <w:tcPr>
            <w:tcBorders/>
            <w:tcW w:w="2300" w:type="dxa"/>
          </w:tcPr>
          <w:p>
            <w:pPr>
              <w:pStyle w:val="731"/>
              <w:pBdr/>
              <w:spacing/>
              <w:ind/>
              <w:rPr/>
            </w:pPr>
            <w:r>
              <w:t xml:space="preserve">Temporadas consultables en el Sistema.</w:t>
            </w:r>
            <w:r/>
          </w:p>
        </w:tc>
        <w:tc>
          <w:tcPr>
            <w:tcBorders/>
            <w:tcW w:w="1550" w:type="dxa"/>
          </w:tcPr>
          <w:p>
            <w:pPr>
              <w:pStyle w:val="731"/>
              <w:pBdr/>
              <w:spacing/>
              <w:ind/>
              <w:rPr/>
            </w:pPr>
            <w:r>
              <w:t xml:space="preserve">No aplica.</w:t>
            </w:r>
            <w:r/>
          </w:p>
        </w:tc>
        <w:tc>
          <w:tcPr>
            <w:tcBorders/>
            <w:tcW w:w="1504" w:type="dxa"/>
          </w:tcPr>
          <w:p>
            <w:pPr>
              <w:pStyle w:val="731"/>
              <w:pBdr/>
              <w:spacing/>
              <w:ind/>
              <w:rPr/>
            </w:pPr>
            <w:r>
              <w:t xml:space="preserve">Todas las temporadas operadas en el Sistema (propuesta).</w:t>
            </w:r>
            <w:r/>
          </w:p>
        </w:tc>
      </w:tr>
    </w:tbl>
    <w:p>
      <w:pPr>
        <w:pBdr/>
        <w:spacing w:after="60" w:before="0"/>
        <w:ind/>
        <w:rPr/>
      </w:pPr>
      <w:r/>
      <w:r/>
    </w:p>
    <w:p>
      <w:pPr>
        <w:pStyle w:val="733"/>
        <w:pBdr/>
        <w:spacing/>
        <w:ind/>
        <w:rPr/>
      </w:pPr>
      <w:r>
        <w:rPr>
          <w:b/>
          <w:bCs/>
          <w:color w:val="241a61"/>
        </w:rPr>
        <w:t xml:space="preserve">Impacto: </w:t>
      </w:r>
      <w:r>
        <w:t xml:space="preserve">mientras las líneas base y las metas sigan </w:t>
      </w:r>
      <w:r>
        <w:rPr>
          <w:b/>
          <w:bCs/>
          <w:color w:val="9c4a00"/>
          <w:shd w:val="clear" w:color="auto" w:fill="fff2cc"/>
        </w:rPr>
        <w:t xml:space="preserve">[POR DEFINIR]</w:t>
      </w:r>
      <w:r>
        <w:t xml:space="preserve">, no será posible medir si el Sistema cumplió sus objetivos de negocio; solo podrá verificarse el cumplimiento de cada requisito por separado.</w:t>
      </w:r>
      <w:r/>
    </w:p>
    <w:p>
      <w:pPr>
        <w:pStyle w:val="725"/>
        <w:pBdr/>
        <w:spacing/>
        <w:ind/>
        <w:rPr/>
      </w:pPr>
      <w:r/>
      <w:bookmarkStart w:id="12" w:name="_Toc100012"/>
      <w:r>
        <w:t xml:space="preserve">1.2.5 Funciones dentro del alcance</w:t>
      </w:r>
      <w:bookmarkEnd w:id="12"/>
      <w:r/>
      <w:r/>
    </w:p>
    <w:p>
      <w:pPr>
        <w:pBdr/>
        <w:spacing/>
        <w:ind/>
        <w:rPr/>
      </w:pPr>
      <w:r>
        <w:t xml:space="preserve">El ERS especifica el Sistema complet</w:t>
      </w:r>
      <w:r>
        <w:rPr>
          <w:lang w:val="en-US"/>
        </w:rPr>
        <w:t xml:space="preserve">o</w:t>
      </w:r>
      <w:r>
        <w:t xml:space="preserve">. La tabla agrupa las funciones en áreas funcionales (AF); los requisitos detallados de cada área se especificarán en la sección 3.</w:t>
      </w:r>
      <w:r/>
    </w:p>
    <w:p>
      <w:pPr>
        <w:pBdr/>
        <w:spacing/>
        <w:ind/>
        <w:rPr/>
      </w:pPr>
      <w:r>
        <w:t xml:space="preserve">La prioridad usa la técnica MoSCoW: </w:t>
      </w:r>
      <w:r>
        <w:rPr>
          <w:b/>
          <w:bCs/>
        </w:rPr>
        <w:t xml:space="preserve">Must</w:t>
      </w:r>
      <w:r>
        <w:t xml:space="preserve"> (debe estar en la primera versión), </w:t>
      </w:r>
      <w:r>
        <w:rPr>
          <w:b/>
          <w:bCs/>
        </w:rPr>
        <w:t xml:space="preserve">Should</w:t>
      </w:r>
      <w:r>
        <w:t xml:space="preserve"> (debería estar), </w:t>
      </w:r>
      <w:r>
        <w:rPr>
          <w:b/>
          <w:bCs/>
        </w:rPr>
        <w:t xml:space="preserve">Could</w:t>
      </w:r>
      <w:r>
        <w:t xml:space="preserve"> (podría estar si hay capacidad) y </w:t>
      </w:r>
      <w:r>
        <w:rPr>
          <w:b/>
          <w:bCs/>
        </w:rPr>
        <w:t xml:space="preserve">Won't</w:t>
      </w:r>
      <w:r>
        <w:t xml:space="preserve"> (no en esta versión). La priorización es una </w:t>
      </w:r>
      <w:r>
        <w:rPr>
          <w:b/>
          <w:bCs/>
        </w:rPr>
        <w:t xml:space="preserve">propuesta</w:t>
      </w:r>
      <w:r>
        <w:t xml:space="preserve"> del análisis, basada en el plan sugerido de 10 semanas del documento base [REF-06, diap. 38], y debe validarse con la Liga y con el equipo.</w:t>
      </w:r>
      <w:r/>
    </w:p>
    <w:p>
      <w:pPr>
        <w:pStyle w:val="732"/>
        <w:keepNext w:val="true"/>
        <w:pBdr/>
        <w:spacing/>
        <w:ind/>
        <w:rPr/>
      </w:pPr>
      <w:r>
        <w:rPr>
          <w:b/>
          <w:bCs/>
          <w:color w:val="241a61"/>
          <w:sz w:val="18"/>
          <w:szCs w:val="18"/>
        </w:rPr>
        <w:t xml:space="preserve">Tabla 6. </w:t>
      </w:r>
      <w:r>
        <w:rPr>
          <w:sz w:val="18"/>
          <w:szCs w:val="18"/>
        </w:rPr>
        <w:t xml:space="preserve">Áreas funcionales del Sistema y prioridad propuesta para la primera versión.</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00"/>
        <w:gridCol w:w="1750"/>
        <w:gridCol w:w="3650"/>
        <w:gridCol w:w="1804"/>
        <w:gridCol w:w="1400"/>
      </w:tblGrid>
      <w:tr>
        <w:trPr>
          <w:cantSplit/>
          <w:tblHeader/>
        </w:trPr>
        <w:tc>
          <w:tcPr>
            <w:shd w:val="clear" w:color="auto" w:fill="241a61"/>
            <w:tcBorders/>
            <w:tcW w:w="800" w:type="dxa"/>
            <w:vAlign w:val="center"/>
          </w:tcPr>
          <w:p>
            <w:pPr>
              <w:pStyle w:val="731"/>
              <w:pBdr/>
              <w:spacing/>
              <w:ind/>
              <w:rPr/>
            </w:pPr>
            <w:r>
              <w:rPr>
                <w:b/>
                <w:bCs/>
                <w:color w:val="ffffff"/>
              </w:rPr>
              <w:t xml:space="preserve">ID</w:t>
            </w:r>
            <w:r/>
          </w:p>
        </w:tc>
        <w:tc>
          <w:tcPr>
            <w:shd w:val="clear" w:color="auto" w:fill="241a61"/>
            <w:tcBorders/>
            <w:tcW w:w="1750" w:type="dxa"/>
            <w:vAlign w:val="center"/>
          </w:tcPr>
          <w:p>
            <w:pPr>
              <w:pStyle w:val="731"/>
              <w:pBdr/>
              <w:spacing/>
              <w:ind/>
              <w:rPr/>
            </w:pPr>
            <w:r>
              <w:rPr>
                <w:b/>
                <w:bCs/>
                <w:color w:val="ffffff"/>
              </w:rPr>
              <w:t xml:space="preserve">Área funcional</w:t>
            </w:r>
            <w:r/>
          </w:p>
        </w:tc>
        <w:tc>
          <w:tcPr>
            <w:shd w:val="clear" w:color="auto" w:fill="241a61"/>
            <w:tcBorders/>
            <w:tcW w:w="3650" w:type="dxa"/>
            <w:vAlign w:val="center"/>
          </w:tcPr>
          <w:p>
            <w:pPr>
              <w:pStyle w:val="731"/>
              <w:pBdr/>
              <w:spacing/>
              <w:ind/>
              <w:rPr/>
            </w:pPr>
            <w:r>
              <w:rPr>
                <w:b/>
                <w:bCs/>
                <w:color w:val="ffffff"/>
              </w:rPr>
              <w:t xml:space="preserve">Descripción de alto nivel</w:t>
            </w:r>
            <w:r/>
          </w:p>
        </w:tc>
        <w:tc>
          <w:tcPr>
            <w:shd w:val="clear" w:color="auto" w:fill="241a61"/>
            <w:tcBorders/>
            <w:tcW w:w="1804" w:type="dxa"/>
            <w:vAlign w:val="center"/>
          </w:tcPr>
          <w:p>
            <w:pPr>
              <w:pStyle w:val="731"/>
              <w:pBdr/>
              <w:spacing/>
              <w:ind/>
              <w:rPr/>
            </w:pPr>
            <w:r>
              <w:rPr>
                <w:b/>
                <w:bCs/>
                <w:color w:val="ffffff"/>
              </w:rPr>
              <w:t xml:space="preserve">Fuente</w:t>
            </w:r>
            <w:r/>
          </w:p>
        </w:tc>
        <w:tc>
          <w:tcPr>
            <w:shd w:val="clear" w:color="auto" w:fill="241a61"/>
            <w:tcBorders/>
            <w:tcW w:w="1400" w:type="dxa"/>
            <w:vAlign w:val="center"/>
          </w:tcPr>
          <w:p>
            <w:pPr>
              <w:pStyle w:val="731"/>
              <w:pBdr/>
              <w:spacing/>
              <w:ind/>
              <w:rPr/>
            </w:pPr>
            <w:r>
              <w:rPr>
                <w:b/>
                <w:bCs/>
                <w:color w:val="ffffff"/>
              </w:rPr>
              <w:t xml:space="preserve">Prioridad (1.ª versión)</w:t>
            </w:r>
            <w:r/>
          </w:p>
        </w:tc>
      </w:tr>
      <w:tr>
        <w:trPr>
          <w:cantSplit/>
        </w:trPr>
        <w:tc>
          <w:tcPr>
            <w:tcBorders/>
            <w:tcW w:w="800" w:type="dxa"/>
          </w:tcPr>
          <w:p>
            <w:pPr>
              <w:pStyle w:val="731"/>
              <w:pBdr/>
              <w:spacing/>
              <w:ind/>
              <w:rPr/>
            </w:pPr>
            <w:r>
              <w:t xml:space="preserve">AF-01</w:t>
            </w:r>
            <w:r/>
          </w:p>
        </w:tc>
        <w:tc>
          <w:tcPr>
            <w:tcBorders/>
            <w:tcW w:w="1750" w:type="dxa"/>
          </w:tcPr>
          <w:p>
            <w:pPr>
              <w:pStyle w:val="731"/>
              <w:pBdr/>
              <w:spacing/>
              <w:ind/>
              <w:rPr/>
            </w:pPr>
            <w:r>
              <w:t xml:space="preserve">Organización, usuarios y permisos</w:t>
            </w:r>
            <w:r/>
          </w:p>
        </w:tc>
        <w:tc>
          <w:tcPr>
            <w:tcBorders/>
            <w:tcW w:w="3650" w:type="dxa"/>
          </w:tcPr>
          <w:p>
            <w:pPr>
              <w:pStyle w:val="731"/>
              <w:pBdr/>
              <w:spacing/>
              <w:ind/>
              <w:rPr/>
            </w:pPr>
            <w:r>
              <w:t xml:space="preserve">Órganos y cargos de la Liga; cuentas para los integrantes de la Liga; permisos por rol; consulta pública sin cuenta.</w:t>
            </w:r>
            <w:r/>
          </w:p>
        </w:tc>
        <w:tc>
          <w:tcPr>
            <w:tcBorders/>
            <w:tcW w:w="1804" w:type="dxa"/>
          </w:tcPr>
          <w:p>
            <w:pPr>
              <w:pStyle w:val="731"/>
              <w:pBdr/>
              <w:spacing/>
              <w:ind/>
              <w:rPr/>
            </w:pPr>
            <w:r>
              <w:t xml:space="preserve">REF-06, diap. 5–7 y 28; REF-07, P20</w:t>
            </w:r>
            <w:r/>
          </w:p>
        </w:tc>
        <w:tc>
          <w:tcPr>
            <w:tcBorders/>
            <w:tcW w:w="1400" w:type="dxa"/>
          </w:tcPr>
          <w:p>
            <w:pPr>
              <w:pStyle w:val="731"/>
              <w:pBdr/>
              <w:spacing/>
              <w:ind/>
              <w:rPr/>
            </w:pPr>
            <w:r>
              <w:t xml:space="preserve">Must</w:t>
            </w:r>
            <w:r/>
          </w:p>
        </w:tc>
      </w:tr>
      <w:tr>
        <w:trPr>
          <w:cantSplit/>
        </w:trPr>
        <w:tc>
          <w:tcPr>
            <w:shd w:val="clear" w:color="auto" w:fill="fafafc"/>
            <w:tcBorders/>
            <w:tcW w:w="800" w:type="dxa"/>
          </w:tcPr>
          <w:p>
            <w:pPr>
              <w:pStyle w:val="731"/>
              <w:pBdr/>
              <w:spacing/>
              <w:ind/>
              <w:rPr/>
            </w:pPr>
            <w:r>
              <w:t xml:space="preserve">AF-02</w:t>
            </w:r>
            <w:r/>
          </w:p>
        </w:tc>
        <w:tc>
          <w:tcPr>
            <w:shd w:val="clear" w:color="auto" w:fill="fafafc"/>
            <w:tcBorders/>
            <w:tcW w:w="1750" w:type="dxa"/>
          </w:tcPr>
          <w:p>
            <w:pPr>
              <w:pStyle w:val="731"/>
              <w:pBdr/>
              <w:spacing/>
              <w:ind/>
              <w:rPr/>
            </w:pPr>
            <w:r>
              <w:t xml:space="preserve">Temporadas, torneos y categorías</w:t>
            </w:r>
            <w:r/>
          </w:p>
        </w:tc>
        <w:tc>
          <w:tcPr>
            <w:shd w:val="clear" w:color="auto" w:fill="fafafc"/>
            <w:tcBorders/>
            <w:tcW w:w="3650" w:type="dxa"/>
          </w:tcPr>
          <w:p>
            <w:pPr>
              <w:pStyle w:val="731"/>
              <w:pBdr/>
              <w:spacing/>
              <w:ind/>
              <w:rPr/>
            </w:pPr>
            <w:r>
              <w:t xml:space="preserve">Temporada anual; torneos (de Liga, de Copa, Liguilla, Campeón de Campeones, goleo y torneos especiales); ramas, categorías con su criterio de año de nacimiento, y grupos. Reglas por convocatoria.</w:t>
            </w:r>
            <w:r/>
          </w:p>
        </w:tc>
        <w:tc>
          <w:tcPr>
            <w:shd w:val="clear" w:color="auto" w:fill="fafafc"/>
            <w:tcBorders/>
            <w:tcW w:w="1804" w:type="dxa"/>
          </w:tcPr>
          <w:p>
            <w:pPr>
              <w:pStyle w:val="731"/>
              <w:pBdr/>
              <w:spacing/>
              <w:ind/>
              <w:rPr/>
            </w:pPr>
            <w:r>
              <w:t xml:space="preserve">REF-01; REF-02; REF-06, diap. 8–9; REF-07, P13</w:t>
            </w:r>
            <w:r/>
          </w:p>
        </w:tc>
        <w:tc>
          <w:tcPr>
            <w:shd w:val="clear" w:color="auto" w:fill="fafafc"/>
            <w:tcBorders/>
            <w:tcW w:w="1400" w:type="dxa"/>
          </w:tcPr>
          <w:p>
            <w:pPr>
              <w:pStyle w:val="731"/>
              <w:pBdr/>
              <w:spacing/>
              <w:ind/>
              <w:rPr/>
            </w:pPr>
            <w:r>
              <w:t xml:space="preserve">Must: temporada, categorías, grupos y Torneo de Liga. Could: Copa y torneos especiales.</w:t>
            </w:r>
            <w:r/>
          </w:p>
        </w:tc>
      </w:tr>
      <w:tr>
        <w:trPr>
          <w:cantSplit/>
        </w:trPr>
        <w:tc>
          <w:tcPr>
            <w:tcBorders/>
            <w:tcW w:w="800" w:type="dxa"/>
          </w:tcPr>
          <w:p>
            <w:pPr>
              <w:pStyle w:val="731"/>
              <w:pBdr/>
              <w:spacing/>
              <w:ind/>
              <w:rPr/>
            </w:pPr>
            <w:r>
              <w:t xml:space="preserve">AF-03</w:t>
            </w:r>
            <w:r/>
          </w:p>
        </w:tc>
        <w:tc>
          <w:tcPr>
            <w:tcBorders/>
            <w:tcW w:w="1750" w:type="dxa"/>
          </w:tcPr>
          <w:p>
            <w:pPr>
              <w:pStyle w:val="731"/>
              <w:pBdr/>
              <w:spacing/>
              <w:ind/>
              <w:rPr/>
            </w:pPr>
            <w:r>
              <w:t xml:space="preserve">Clubes, equipos y personas</w:t>
            </w:r>
            <w:r/>
          </w:p>
        </w:tc>
        <w:tc>
          <w:tcPr>
            <w:tcBorders/>
            <w:tcW w:w="3650" w:type="dxa"/>
          </w:tcPr>
          <w:p>
            <w:pPr>
              <w:pStyle w:val="731"/>
              <w:pBdr/>
              <w:spacing/>
              <w:ind/>
              <w:rPr/>
            </w:pPr>
            <w:r>
              <w:t xml:space="preserve">Clubes, franquicias y equipos por categoría; registro de jugadores, delegados y árbitros del club; credenciales y requisitos documentales.</w:t>
            </w:r>
            <w:r/>
          </w:p>
        </w:tc>
        <w:tc>
          <w:tcPr>
            <w:tcBorders/>
            <w:tcW w:w="1804" w:type="dxa"/>
          </w:tcPr>
          <w:p>
            <w:pPr>
              <w:pStyle w:val="731"/>
              <w:pBdr/>
              <w:spacing/>
              <w:ind/>
              <w:rPr/>
            </w:pPr>
            <w:r>
              <w:t xml:space="preserve">REF-01, I–II; REF-02, I–II; REF-06, diap. 10–11</w:t>
            </w:r>
            <w:r/>
          </w:p>
        </w:tc>
        <w:tc>
          <w:tcPr>
            <w:tcBorders/>
            <w:tcW w:w="1400" w:type="dxa"/>
          </w:tcPr>
          <w:p>
            <w:pPr>
              <w:pStyle w:val="731"/>
              <w:pBdr/>
              <w:spacing/>
              <w:ind/>
              <w:rPr/>
            </w:pPr>
            <w:r>
              <w:t xml:space="preserve">Must</w:t>
            </w:r>
            <w:r/>
          </w:p>
        </w:tc>
      </w:tr>
      <w:tr>
        <w:trPr>
          <w:cantSplit/>
        </w:trPr>
        <w:tc>
          <w:tcPr>
            <w:shd w:val="clear" w:color="auto" w:fill="fafafc"/>
            <w:tcBorders/>
            <w:tcW w:w="800" w:type="dxa"/>
          </w:tcPr>
          <w:p>
            <w:pPr>
              <w:pStyle w:val="731"/>
              <w:pBdr/>
              <w:spacing/>
              <w:ind/>
              <w:rPr/>
            </w:pPr>
            <w:r>
              <w:t xml:space="preserve">AF-04</w:t>
            </w:r>
            <w:r/>
          </w:p>
        </w:tc>
        <w:tc>
          <w:tcPr>
            <w:shd w:val="clear" w:color="auto" w:fill="fafafc"/>
            <w:tcBorders/>
            <w:tcW w:w="1750" w:type="dxa"/>
          </w:tcPr>
          <w:p>
            <w:pPr>
              <w:pStyle w:val="731"/>
              <w:pBdr/>
              <w:spacing/>
              <w:ind/>
              <w:rPr/>
            </w:pPr>
            <w:r>
              <w:t xml:space="preserve">Canchas y sedes</w:t>
            </w:r>
            <w:r/>
          </w:p>
        </w:tc>
        <w:tc>
          <w:tcPr>
            <w:shd w:val="clear" w:color="auto" w:fill="fafafc"/>
            <w:tcBorders/>
            <w:tcW w:w="3650" w:type="dxa"/>
          </w:tcPr>
          <w:p>
            <w:pPr>
              <w:pStyle w:val="731"/>
              <w:pBdr/>
              <w:spacing/>
              <w:ind/>
              <w:rPr/>
            </w:pPr>
            <w:r>
              <w:t xml:space="preserve">Catálogo de canchas (U.D.C., canchas de clubes, alternas y foráneas); disponibilidad y bloqueos, por ejemplo por lluvia o inundación.</w:t>
            </w:r>
            <w:r/>
          </w:p>
        </w:tc>
        <w:tc>
          <w:tcPr>
            <w:shd w:val="clear" w:color="auto" w:fill="fafafc"/>
            <w:tcBorders/>
            <w:tcW w:w="1804" w:type="dxa"/>
          </w:tcPr>
          <w:p>
            <w:pPr>
              <w:pStyle w:val="731"/>
              <w:pBdr/>
              <w:spacing/>
              <w:ind/>
              <w:rPr/>
            </w:pPr>
            <w:r>
              <w:t xml:space="preserve">REF-06, diap. 13; REF-07, P21</w:t>
            </w:r>
            <w:r/>
          </w:p>
        </w:tc>
        <w:tc>
          <w:tcPr>
            <w:shd w:val="clear" w:color="auto" w:fill="fafafc"/>
            <w:tcBorders/>
            <w:tcW w:w="1400" w:type="dxa"/>
          </w:tcPr>
          <w:p>
            <w:pPr>
              <w:pStyle w:val="731"/>
              <w:pBdr/>
              <w:spacing/>
              <w:ind/>
              <w:rPr/>
            </w:pPr>
            <w:r>
              <w:t xml:space="preserve">Must</w:t>
            </w:r>
            <w:r/>
          </w:p>
        </w:tc>
      </w:tr>
      <w:tr>
        <w:trPr>
          <w:cantSplit/>
        </w:trPr>
        <w:tc>
          <w:tcPr>
            <w:tcBorders/>
            <w:tcW w:w="800" w:type="dxa"/>
          </w:tcPr>
          <w:p>
            <w:pPr>
              <w:pStyle w:val="731"/>
              <w:pBdr/>
              <w:spacing/>
              <w:ind/>
              <w:rPr/>
            </w:pPr>
            <w:r>
              <w:t xml:space="preserve">AF-05</w:t>
            </w:r>
            <w:r/>
          </w:p>
        </w:tc>
        <w:tc>
          <w:tcPr>
            <w:tcBorders/>
            <w:tcW w:w="1750" w:type="dxa"/>
          </w:tcPr>
          <w:p>
            <w:pPr>
              <w:pStyle w:val="731"/>
              <w:pBdr/>
              <w:spacing/>
              <w:ind/>
              <w:rPr/>
            </w:pPr>
            <w:r>
              <w:t xml:space="preserve">Programación de partidos</w:t>
            </w:r>
            <w:r/>
          </w:p>
        </w:tc>
        <w:tc>
          <w:tcPr>
            <w:tcBorders/>
            <w:tcW w:w="3650" w:type="dxa"/>
          </w:tcPr>
          <w:p>
            <w:pPr>
              <w:pStyle w:val="731"/>
              <w:pBdr/>
              <w:spacing/>
              <w:ind/>
              <w:rPr/>
            </w:pPr>
            <w:r>
              <w:t xml:space="preserve">Elaboración, ajuste y publicación de la programación por jornada; descansos; reprogramaciones; detección de conflictos.</w:t>
            </w:r>
            <w:r/>
          </w:p>
        </w:tc>
        <w:tc>
          <w:tcPr>
            <w:tcBorders/>
            <w:tcW w:w="1804" w:type="dxa"/>
          </w:tcPr>
          <w:p>
            <w:pPr>
              <w:pStyle w:val="731"/>
              <w:pBdr/>
              <w:spacing/>
              <w:ind/>
              <w:rPr/>
            </w:pPr>
            <w:r>
              <w:t xml:space="preserve">REF-06, diap. 14–17; REF-03</w:t>
            </w:r>
            <w:r/>
          </w:p>
        </w:tc>
        <w:tc>
          <w:tcPr>
            <w:tcBorders/>
            <w:tcW w:w="1400" w:type="dxa"/>
          </w:tcPr>
          <w:p>
            <w:pPr>
              <w:pStyle w:val="731"/>
              <w:pBdr/>
              <w:spacing/>
              <w:ind/>
              <w:rPr/>
            </w:pPr>
            <w:r>
              <w:t xml:space="preserve">Must</w:t>
            </w:r>
            <w:r/>
          </w:p>
        </w:tc>
      </w:tr>
      <w:tr>
        <w:trPr>
          <w:cantSplit/>
        </w:trPr>
        <w:tc>
          <w:tcPr>
            <w:shd w:val="clear" w:color="auto" w:fill="fafafc"/>
            <w:tcBorders/>
            <w:tcW w:w="800" w:type="dxa"/>
          </w:tcPr>
          <w:p>
            <w:pPr>
              <w:pStyle w:val="731"/>
              <w:pBdr/>
              <w:spacing/>
              <w:ind/>
              <w:rPr/>
            </w:pPr>
            <w:r>
              <w:t xml:space="preserve">AF-06</w:t>
            </w:r>
            <w:r/>
          </w:p>
        </w:tc>
        <w:tc>
          <w:tcPr>
            <w:shd w:val="clear" w:color="auto" w:fill="fafafc"/>
            <w:tcBorders/>
            <w:tcW w:w="1750" w:type="dxa"/>
          </w:tcPr>
          <w:p>
            <w:pPr>
              <w:pStyle w:val="731"/>
              <w:pBdr/>
              <w:spacing/>
              <w:ind/>
              <w:rPr/>
            </w:pPr>
            <w:r>
              <w:t xml:space="preserve">Generación automática de la programación</w:t>
            </w:r>
            <w:r/>
          </w:p>
        </w:tc>
        <w:tc>
          <w:tcPr>
            <w:shd w:val="clear" w:color="auto" w:fill="fafafc"/>
            <w:tcBorders/>
            <w:tcW w:w="3650" w:type="dxa"/>
          </w:tcPr>
          <w:p>
            <w:pPr>
              <w:pStyle w:val="731"/>
              <w:pBdr/>
              <w:spacing/>
              <w:ind/>
              <w:rPr/>
            </w:pPr>
            <w:r>
              <w:t xml:space="preserve">Propuesta automática de enfrentamientos, horarios y canchas a partir de datos y restricciones, con ajuste manual autorizado.</w:t>
            </w:r>
            <w:r/>
          </w:p>
        </w:tc>
        <w:tc>
          <w:tcPr>
            <w:shd w:val="clear" w:color="auto" w:fill="fafafc"/>
            <w:tcBorders/>
            <w:tcW w:w="1804" w:type="dxa"/>
          </w:tcPr>
          <w:p>
            <w:pPr>
              <w:pStyle w:val="731"/>
              <w:pBdr/>
              <w:spacing/>
              <w:ind/>
              <w:rPr/>
            </w:pPr>
            <w:r>
              <w:t xml:space="preserve">REF-06, diap. 17–18</w:t>
            </w:r>
            <w:r/>
          </w:p>
        </w:tc>
        <w:tc>
          <w:tcPr>
            <w:shd w:val="clear" w:color="auto" w:fill="fafafc"/>
            <w:tcBorders/>
            <w:tcW w:w="1400" w:type="dxa"/>
          </w:tcPr>
          <w:p>
            <w:pPr>
              <w:pStyle w:val="731"/>
              <w:pBdr/>
              <w:spacing/>
              <w:ind/>
              <w:rPr/>
            </w:pPr>
            <w:r>
              <w:t xml:space="preserve">Should</w:t>
            </w:r>
            <w:r/>
          </w:p>
        </w:tc>
      </w:tr>
      <w:tr>
        <w:trPr>
          <w:cantSplit/>
        </w:trPr>
        <w:tc>
          <w:tcPr>
            <w:tcBorders/>
            <w:tcW w:w="800" w:type="dxa"/>
          </w:tcPr>
          <w:p>
            <w:pPr>
              <w:pStyle w:val="731"/>
              <w:pBdr/>
              <w:spacing/>
              <w:ind/>
              <w:rPr/>
            </w:pPr>
            <w:r>
              <w:t xml:space="preserve">AF-07</w:t>
            </w:r>
            <w:r/>
          </w:p>
        </w:tc>
        <w:tc>
          <w:tcPr>
            <w:tcBorders/>
            <w:tcW w:w="1750" w:type="dxa"/>
          </w:tcPr>
          <w:p>
            <w:pPr>
              <w:pStyle w:val="731"/>
              <w:pBdr/>
              <w:spacing/>
              <w:ind/>
              <w:rPr/>
            </w:pPr>
            <w:r>
              <w:t xml:space="preserve">Partidos, cédulas, resultados y estadísticas</w:t>
            </w:r>
            <w:r/>
          </w:p>
        </w:tc>
        <w:tc>
          <w:tcPr>
            <w:tcBorders/>
            <w:tcW w:w="3650" w:type="dxa"/>
          </w:tcPr>
          <w:p>
            <w:pPr>
              <w:pStyle w:val="731"/>
              <w:pBdr/>
              <w:spacing/>
              <w:ind/>
              <w:rPr/>
            </w:pPr>
            <w:r>
              <w:t xml:space="preserve">Registro de la cédula (alineaciones, goles, tarjetas e incidencias); resultados, incluidos los resultados por default; tablas de posiciones; goleo; estadísticas.</w:t>
            </w:r>
            <w:r/>
          </w:p>
        </w:tc>
        <w:tc>
          <w:tcPr>
            <w:tcBorders/>
            <w:tcW w:w="1804" w:type="dxa"/>
          </w:tcPr>
          <w:p>
            <w:pPr>
              <w:pStyle w:val="731"/>
              <w:pBdr/>
              <w:spacing/>
              <w:ind/>
              <w:rPr/>
            </w:pPr>
            <w:r>
              <w:t xml:space="preserve">REF-06, diap. 19–21; REF-07, P19; REF-01, VII–VIII</w:t>
            </w:r>
            <w:r/>
          </w:p>
        </w:tc>
        <w:tc>
          <w:tcPr>
            <w:tcBorders/>
            <w:tcW w:w="1400" w:type="dxa"/>
          </w:tcPr>
          <w:p>
            <w:pPr>
              <w:pStyle w:val="731"/>
              <w:pBdr/>
              <w:spacing/>
              <w:ind/>
              <w:rPr/>
            </w:pPr>
            <w:r>
              <w:t xml:space="preserve">Must</w:t>
            </w:r>
            <w:r/>
          </w:p>
        </w:tc>
      </w:tr>
      <w:tr>
        <w:trPr>
          <w:cantSplit/>
        </w:trPr>
        <w:tc>
          <w:tcPr>
            <w:shd w:val="clear" w:color="auto" w:fill="fafafc"/>
            <w:tcBorders/>
            <w:tcW w:w="800" w:type="dxa"/>
          </w:tcPr>
          <w:p>
            <w:pPr>
              <w:pStyle w:val="731"/>
              <w:pBdr/>
              <w:spacing/>
              <w:ind/>
              <w:rPr/>
            </w:pPr>
            <w:r>
              <w:t xml:space="preserve">AF-08</w:t>
            </w:r>
            <w:r/>
          </w:p>
        </w:tc>
        <w:tc>
          <w:tcPr>
            <w:shd w:val="clear" w:color="auto" w:fill="fafafc"/>
            <w:tcBorders/>
            <w:tcW w:w="1750" w:type="dxa"/>
          </w:tcPr>
          <w:p>
            <w:pPr>
              <w:pStyle w:val="731"/>
              <w:pBdr/>
              <w:spacing/>
              <w:ind/>
              <w:rPr/>
            </w:pPr>
            <w:r>
              <w:t xml:space="preserve">Disciplina</w:t>
            </w:r>
            <w:r/>
          </w:p>
        </w:tc>
        <w:tc>
          <w:tcPr>
            <w:shd w:val="clear" w:color="auto" w:fill="fafafc"/>
            <w:tcBorders/>
            <w:tcW w:w="3650" w:type="dxa"/>
          </w:tcPr>
          <w:p>
            <w:pPr>
              <w:pStyle w:val="731"/>
              <w:pBdr/>
              <w:spacing/>
              <w:ind/>
              <w:rPr/>
            </w:pPr>
            <w:r>
              <w:t xml:space="preserve">Incidencias de la cédula; dictamen del Tribunal de Penas; suspensiones; boletín de castigados; recursos o inconformidades </w:t>
            </w:r>
            <w:r>
              <w:rPr>
                <w:b/>
                <w:bCs/>
                <w:color w:val="9c4a00"/>
                <w:shd w:val="clear" w:color="auto" w:fill="fff2cc"/>
              </w:rPr>
              <w:t xml:space="preserve">[POR DEFINIR]</w:t>
            </w:r>
            <w:r>
              <w:t xml:space="preserve">.</w:t>
            </w:r>
            <w:r/>
          </w:p>
        </w:tc>
        <w:tc>
          <w:tcPr>
            <w:shd w:val="clear" w:color="auto" w:fill="fafafc"/>
            <w:tcBorders/>
            <w:tcW w:w="1804" w:type="dxa"/>
          </w:tcPr>
          <w:p>
            <w:pPr>
              <w:pStyle w:val="731"/>
              <w:pBdr/>
              <w:spacing/>
              <w:ind/>
              <w:rPr/>
            </w:pPr>
            <w:r>
              <w:t xml:space="preserve">REF-06, diap. 22–24; REF-07, P18–P19</w:t>
            </w:r>
            <w:r/>
          </w:p>
        </w:tc>
        <w:tc>
          <w:tcPr>
            <w:shd w:val="clear" w:color="auto" w:fill="fafafc"/>
            <w:tcBorders/>
            <w:tcW w:w="1400" w:type="dxa"/>
          </w:tcPr>
          <w:p>
            <w:pPr>
              <w:pStyle w:val="731"/>
              <w:pBdr/>
              <w:spacing/>
              <w:ind/>
              <w:rPr/>
            </w:pPr>
            <w:r>
              <w:t xml:space="preserve">Must: cédula, dictamen y castigados. Could: recursos.</w:t>
            </w:r>
            <w:r/>
          </w:p>
        </w:tc>
      </w:tr>
      <w:tr>
        <w:trPr>
          <w:cantSplit/>
        </w:trPr>
        <w:tc>
          <w:tcPr>
            <w:tcBorders/>
            <w:tcW w:w="800" w:type="dxa"/>
          </w:tcPr>
          <w:p>
            <w:pPr>
              <w:pStyle w:val="731"/>
              <w:pBdr/>
              <w:spacing/>
              <w:ind/>
              <w:rPr/>
            </w:pPr>
            <w:r>
              <w:t xml:space="preserve">AF-09</w:t>
            </w:r>
            <w:r/>
          </w:p>
        </w:tc>
        <w:tc>
          <w:tcPr>
            <w:tcBorders/>
            <w:tcW w:w="1750" w:type="dxa"/>
          </w:tcPr>
          <w:p>
            <w:pPr>
              <w:pStyle w:val="731"/>
              <w:pBdr/>
              <w:spacing/>
              <w:ind/>
              <w:rPr/>
            </w:pPr>
            <w:r>
              <w:t xml:space="preserve">Fases finales y movilidad entre categorías</w:t>
            </w:r>
            <w:r/>
          </w:p>
        </w:tc>
        <w:tc>
          <w:tcPr>
            <w:tcBorders/>
            <w:tcW w:w="3650" w:type="dxa"/>
          </w:tcPr>
          <w:p>
            <w:pPr>
              <w:pStyle w:val="731"/>
              <w:pBdr/>
              <w:spacing/>
              <w:ind/>
              <w:rPr/>
            </w:pPr>
            <w:r>
              <w:t xml:space="preserve">Liguilla, Campeón de Campeones, ascensos y descensos según la convocatoria.</w:t>
            </w:r>
            <w:r/>
          </w:p>
        </w:tc>
        <w:tc>
          <w:tcPr>
            <w:tcBorders/>
            <w:tcW w:w="1804" w:type="dxa"/>
          </w:tcPr>
          <w:p>
            <w:pPr>
              <w:pStyle w:val="731"/>
              <w:pBdr/>
              <w:spacing/>
              <w:ind/>
              <w:rPr/>
            </w:pPr>
            <w:r>
              <w:t xml:space="preserve">REF-01, V–VII; REF-06, diap. 25–26</w:t>
            </w:r>
            <w:r/>
          </w:p>
        </w:tc>
        <w:tc>
          <w:tcPr>
            <w:tcBorders/>
            <w:tcW w:w="1400" w:type="dxa"/>
          </w:tcPr>
          <w:p>
            <w:pPr>
              <w:pStyle w:val="731"/>
              <w:pBdr/>
              <w:spacing/>
              <w:ind/>
              <w:rPr/>
            </w:pPr>
            <w:r>
              <w:t xml:space="preserve">Could</w:t>
            </w:r>
            <w:r/>
          </w:p>
        </w:tc>
      </w:tr>
      <w:tr>
        <w:trPr>
          <w:cantSplit/>
        </w:trPr>
        <w:tc>
          <w:tcPr>
            <w:shd w:val="clear" w:color="auto" w:fill="fafafc"/>
            <w:tcBorders/>
            <w:tcW w:w="800" w:type="dxa"/>
          </w:tcPr>
          <w:p>
            <w:pPr>
              <w:pStyle w:val="731"/>
              <w:pBdr/>
              <w:spacing/>
              <w:ind/>
              <w:rPr/>
            </w:pPr>
            <w:r>
              <w:t xml:space="preserve">AF-10</w:t>
            </w:r>
            <w:r/>
          </w:p>
        </w:tc>
        <w:tc>
          <w:tcPr>
            <w:shd w:val="clear" w:color="auto" w:fill="fafafc"/>
            <w:tcBorders/>
            <w:tcW w:w="1750" w:type="dxa"/>
          </w:tcPr>
          <w:p>
            <w:pPr>
              <w:pStyle w:val="731"/>
              <w:pBdr/>
              <w:spacing/>
              <w:ind/>
              <w:rPr/>
            </w:pPr>
            <w:r>
              <w:t xml:space="preserve">Gestión económica</w:t>
            </w:r>
            <w:r/>
          </w:p>
        </w:tc>
        <w:tc>
          <w:tcPr>
            <w:shd w:val="clear" w:color="auto" w:fill="fafafc"/>
            <w:tcBorders/>
            <w:tcW w:w="3650" w:type="dxa"/>
          </w:tcPr>
          <w:p>
            <w:pPr>
              <w:pStyle w:val="731"/>
              <w:pBdr/>
              <w:spacing/>
              <w:ind/>
              <w:rPr/>
            </w:pPr>
            <w:r>
              <w:t xml:space="preserve">Cuotas de inscripción, registros y reposiciones, arbitrajes, aportaciones semanales, trofeos y otras aportaciones por club.</w:t>
            </w:r>
            <w:r/>
          </w:p>
        </w:tc>
        <w:tc>
          <w:tcPr>
            <w:shd w:val="clear" w:color="auto" w:fill="fafafc"/>
            <w:tcBorders/>
            <w:tcW w:w="1804" w:type="dxa"/>
          </w:tcPr>
          <w:p>
            <w:pPr>
              <w:pStyle w:val="731"/>
              <w:pBdr/>
              <w:spacing/>
              <w:ind/>
              <w:rPr/>
            </w:pPr>
            <w:r>
              <w:t xml:space="preserve">REF-01, IX; REF-02, V; REF-07, P10-b</w:t>
            </w:r>
            <w:r/>
          </w:p>
        </w:tc>
        <w:tc>
          <w:tcPr>
            <w:shd w:val="clear" w:color="auto" w:fill="fafafc"/>
            <w:tcBorders/>
            <w:tcW w:w="1400" w:type="dxa"/>
          </w:tcPr>
          <w:p>
            <w:pPr>
              <w:pStyle w:val="731"/>
              <w:pBdr/>
              <w:spacing/>
              <w:ind/>
              <w:rPr/>
            </w:pPr>
            <w:r>
              <w:t xml:space="preserve">Should</w:t>
            </w:r>
            <w:r/>
          </w:p>
        </w:tc>
      </w:tr>
      <w:tr>
        <w:trPr>
          <w:cantSplit/>
        </w:trPr>
        <w:tc>
          <w:tcPr>
            <w:tcBorders/>
            <w:tcW w:w="800" w:type="dxa"/>
          </w:tcPr>
          <w:p>
            <w:pPr>
              <w:pStyle w:val="731"/>
              <w:pBdr/>
              <w:spacing/>
              <w:ind/>
              <w:rPr/>
            </w:pPr>
            <w:r>
              <w:t xml:space="preserve">AF-11</w:t>
            </w:r>
            <w:r/>
          </w:p>
        </w:tc>
        <w:tc>
          <w:tcPr>
            <w:tcBorders/>
            <w:tcW w:w="1750" w:type="dxa"/>
          </w:tcPr>
          <w:p>
            <w:pPr>
              <w:pStyle w:val="731"/>
              <w:pBdr/>
              <w:spacing/>
              <w:ind/>
              <w:rPr/>
            </w:pPr>
            <w:r>
              <w:t xml:space="preserve">Portal público</w:t>
            </w:r>
            <w:r/>
          </w:p>
        </w:tc>
        <w:tc>
          <w:tcPr>
            <w:tcBorders/>
            <w:tcW w:w="3650" w:type="dxa"/>
          </w:tcPr>
          <w:p>
            <w:pPr>
              <w:pStyle w:val="731"/>
              <w:pBdr/>
              <w:spacing/>
              <w:ind/>
              <w:rPr/>
            </w:pPr>
            <w:r>
              <w:t xml:space="preserve">Consulta sin cuenta de programación, resultados, tablas, goleo, castigados y comunicados; búsqueda por fecha, categoría y equipo.</w:t>
            </w:r>
            <w:r/>
          </w:p>
        </w:tc>
        <w:tc>
          <w:tcPr>
            <w:tcBorders/>
            <w:tcW w:w="1804" w:type="dxa"/>
          </w:tcPr>
          <w:p>
            <w:pPr>
              <w:pStyle w:val="731"/>
              <w:pBdr/>
              <w:spacing/>
              <w:ind/>
              <w:rPr/>
            </w:pPr>
            <w:r>
              <w:t xml:space="preserve">REF-06, diap. 27; REF-07, P20</w:t>
            </w:r>
            <w:r/>
          </w:p>
        </w:tc>
        <w:tc>
          <w:tcPr>
            <w:tcBorders/>
            <w:tcW w:w="1400" w:type="dxa"/>
          </w:tcPr>
          <w:p>
            <w:pPr>
              <w:pStyle w:val="731"/>
              <w:pBdr/>
              <w:spacing/>
              <w:ind/>
              <w:rPr/>
            </w:pPr>
            <w:r>
              <w:t xml:space="preserve">Must</w:t>
            </w:r>
            <w:r/>
          </w:p>
        </w:tc>
      </w:tr>
      <w:tr>
        <w:trPr>
          <w:cantSplit/>
        </w:trPr>
        <w:tc>
          <w:tcPr>
            <w:shd w:val="clear" w:color="auto" w:fill="fafafc"/>
            <w:tcBorders/>
            <w:tcW w:w="800" w:type="dxa"/>
          </w:tcPr>
          <w:p>
            <w:pPr>
              <w:pStyle w:val="731"/>
              <w:pBdr/>
              <w:spacing/>
              <w:ind/>
              <w:rPr/>
            </w:pPr>
            <w:r>
              <w:t xml:space="preserve">AF-12</w:t>
            </w:r>
            <w:r/>
          </w:p>
        </w:tc>
        <w:tc>
          <w:tcPr>
            <w:shd w:val="clear" w:color="auto" w:fill="fafafc"/>
            <w:tcBorders/>
            <w:tcW w:w="1750" w:type="dxa"/>
          </w:tcPr>
          <w:p>
            <w:pPr>
              <w:pStyle w:val="731"/>
              <w:pBdr/>
              <w:spacing/>
              <w:ind/>
              <w:rPr/>
            </w:pPr>
            <w:r>
              <w:t xml:space="preserve">Reportes y difusión</w:t>
            </w:r>
            <w:r/>
          </w:p>
        </w:tc>
        <w:tc>
          <w:tcPr>
            <w:shd w:val="clear" w:color="auto" w:fill="fafafc"/>
            <w:tcBorders/>
            <w:tcW w:w="3650" w:type="dxa"/>
          </w:tcPr>
          <w:p>
            <w:pPr>
              <w:pStyle w:val="731"/>
              <w:pBdr/>
              <w:spacing/>
              <w:ind/>
              <w:rPr/>
            </w:pPr>
            <w:r>
              <w:t xml:space="preserve">Reportes y exportación de programación, tablas y castigados en formatos para difusión (imagen o PDF).</w:t>
            </w:r>
            <w:r/>
          </w:p>
        </w:tc>
        <w:tc>
          <w:tcPr>
            <w:shd w:val="clear" w:color="auto" w:fill="fafafc"/>
            <w:tcBorders/>
            <w:tcW w:w="1804" w:type="dxa"/>
          </w:tcPr>
          <w:p>
            <w:pPr>
              <w:pStyle w:val="731"/>
              <w:pBdr/>
              <w:spacing/>
              <w:ind/>
              <w:rPr/>
            </w:pPr>
            <w:r>
              <w:t xml:space="preserve">REF-06, diap. 35; REF-07, P18</w:t>
            </w:r>
            <w:r/>
          </w:p>
        </w:tc>
        <w:tc>
          <w:tcPr>
            <w:shd w:val="clear" w:color="auto" w:fill="fafafc"/>
            <w:tcBorders/>
            <w:tcW w:w="1400" w:type="dxa"/>
          </w:tcPr>
          <w:p>
            <w:pPr>
              <w:pStyle w:val="731"/>
              <w:pBdr/>
              <w:spacing/>
              <w:ind/>
              <w:rPr/>
            </w:pPr>
            <w:r>
              <w:t xml:space="preserve">Should</w:t>
            </w:r>
            <w:r/>
          </w:p>
        </w:tc>
      </w:tr>
      <w:tr>
        <w:trPr>
          <w:cantSplit/>
        </w:trPr>
        <w:tc>
          <w:tcPr>
            <w:tcBorders/>
            <w:tcW w:w="800" w:type="dxa"/>
          </w:tcPr>
          <w:p>
            <w:pPr>
              <w:pStyle w:val="731"/>
              <w:pBdr/>
              <w:spacing/>
              <w:ind/>
              <w:rPr/>
            </w:pPr>
            <w:r>
              <w:t xml:space="preserve">AF-13</w:t>
            </w:r>
            <w:r/>
          </w:p>
        </w:tc>
        <w:tc>
          <w:tcPr>
            <w:tcBorders/>
            <w:tcW w:w="1750" w:type="dxa"/>
          </w:tcPr>
          <w:p>
            <w:pPr>
              <w:pStyle w:val="731"/>
              <w:pBdr/>
              <w:spacing/>
              <w:ind/>
              <w:rPr/>
            </w:pPr>
            <w:r>
              <w:t xml:space="preserve">Notificaciones por WhatsApp</w:t>
            </w:r>
            <w:r/>
          </w:p>
        </w:tc>
        <w:tc>
          <w:tcPr>
            <w:tcBorders/>
            <w:tcW w:w="3650" w:type="dxa"/>
          </w:tcPr>
          <w:p>
            <w:pPr>
              <w:pStyle w:val="731"/>
              <w:pBdr/>
              <w:spacing/>
              <w:ind/>
              <w:rPr/>
            </w:pPr>
            <w:r>
              <w:t xml:space="preserve">Envío de avisos por WhatsApp. Destinatarios y contenido: </w:t>
            </w:r>
            <w:r>
              <w:rPr>
                <w:b/>
                <w:bCs/>
                <w:color w:val="9c4a00"/>
                <w:shd w:val="clear" w:color="auto" w:fill="fff2cc"/>
              </w:rPr>
              <w:t xml:space="preserve">[POR DEFINIR]</w:t>
            </w:r>
            <w:r>
              <w:t xml:space="preserve">.</w:t>
            </w:r>
            <w:r/>
          </w:p>
        </w:tc>
        <w:tc>
          <w:tcPr>
            <w:tcBorders/>
            <w:tcW w:w="1804" w:type="dxa"/>
          </w:tcPr>
          <w:p>
            <w:pPr>
              <w:pStyle w:val="731"/>
              <w:pBdr/>
              <w:spacing/>
              <w:ind/>
              <w:rPr/>
            </w:pPr>
            <w:r>
              <w:t xml:space="preserve">REF-06, diap. 36; REF-07, P10-d</w:t>
            </w:r>
            <w:r/>
          </w:p>
        </w:tc>
        <w:tc>
          <w:tcPr>
            <w:tcBorders/>
            <w:tcW w:w="1400" w:type="dxa"/>
          </w:tcPr>
          <w:p>
            <w:pPr>
              <w:pStyle w:val="731"/>
              <w:pBdr/>
              <w:spacing/>
              <w:ind/>
              <w:rPr/>
            </w:pPr>
            <w:r>
              <w:t xml:space="preserve">Could</w:t>
            </w:r>
            <w:r/>
          </w:p>
        </w:tc>
      </w:tr>
    </w:tbl>
    <w:p>
      <w:pPr>
        <w:pBdr/>
        <w:spacing w:after="60" w:before="0"/>
        <w:ind/>
        <w:rPr/>
      </w:pPr>
      <w:r/>
      <w:r/>
    </w:p>
    <w:p>
      <w:pPr>
        <w:pStyle w:val="733"/>
        <w:pBdr/>
        <w:spacing/>
        <w:ind/>
        <w:rPr/>
      </w:pPr>
      <w:r>
        <w:rPr>
          <w:b/>
          <w:bCs/>
          <w:color w:val="241a61"/>
        </w:rPr>
        <w:t xml:space="preserve">Nota: </w:t>
      </w:r>
      <w:r>
        <w:t xml:space="preserve">la operación sin conexión (REF-07, P21) es una característica transversal, no un área funcional. Su alcance y su prioridad están </w:t>
      </w:r>
      <w:r>
        <w:rPr>
          <w:b/>
          <w:bCs/>
          <w:color w:val="9c4a00"/>
          <w:shd w:val="clear" w:color="auto" w:fill="fff2cc"/>
        </w:rPr>
        <w:t xml:space="preserve">[POR DEFINIR]</w:t>
      </w:r>
      <w:r>
        <w:t xml:space="preserve"> (ver C-01).</w:t>
      </w:r>
      <w:r/>
    </w:p>
    <w:p>
      <w:pPr>
        <w:pStyle w:val="725"/>
        <w:pBdr/>
        <w:spacing/>
        <w:ind/>
        <w:rPr/>
      </w:pPr>
      <w:r/>
      <w:bookmarkStart w:id="13" w:name="_Toc100013"/>
      <w:r>
        <w:t xml:space="preserve">1.2.6 Fuera del alcance</w:t>
      </w:r>
      <w:bookmarkEnd w:id="13"/>
      <w:r/>
      <w:r/>
    </w:p>
    <w:p>
      <w:pPr>
        <w:pStyle w:val="732"/>
        <w:keepNext w:val="true"/>
        <w:pBdr/>
        <w:spacing/>
        <w:ind/>
        <w:rPr/>
      </w:pPr>
      <w:r>
        <w:rPr>
          <w:b/>
          <w:bCs/>
          <w:color w:val="241a61"/>
          <w:sz w:val="18"/>
          <w:szCs w:val="18"/>
        </w:rPr>
        <w:t xml:space="preserve">Tabla 7. </w:t>
      </w:r>
      <w:r>
        <w:rPr>
          <w:sz w:val="18"/>
          <w:szCs w:val="18"/>
        </w:rPr>
        <w:t xml:space="preserve">Exclusiones explícitas del alcance.</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3000"/>
        <w:gridCol w:w="4004"/>
        <w:gridCol w:w="2400"/>
      </w:tblGrid>
      <w:tr>
        <w:trPr>
          <w:cantSplit/>
          <w:tblHeader/>
        </w:trPr>
        <w:tc>
          <w:tcPr>
            <w:shd w:val="clear" w:color="auto" w:fill="241a61"/>
            <w:tcBorders/>
            <w:tcW w:w="3000" w:type="dxa"/>
            <w:vAlign w:val="center"/>
          </w:tcPr>
          <w:p>
            <w:pPr>
              <w:pStyle w:val="731"/>
              <w:pBdr/>
              <w:spacing/>
              <w:ind/>
              <w:rPr/>
            </w:pPr>
            <w:r>
              <w:rPr>
                <w:b/>
                <w:bCs/>
                <w:color w:val="ffffff"/>
              </w:rPr>
              <w:t xml:space="preserve">Exclusión</w:t>
            </w:r>
            <w:r/>
          </w:p>
        </w:tc>
        <w:tc>
          <w:tcPr>
            <w:shd w:val="clear" w:color="auto" w:fill="241a61"/>
            <w:tcBorders/>
            <w:tcW w:w="4004" w:type="dxa"/>
            <w:vAlign w:val="center"/>
          </w:tcPr>
          <w:p>
            <w:pPr>
              <w:pStyle w:val="731"/>
              <w:pBdr/>
              <w:spacing/>
              <w:ind/>
              <w:rPr/>
            </w:pPr>
            <w:r>
              <w:rPr>
                <w:b/>
                <w:bCs/>
                <w:color w:val="ffffff"/>
              </w:rPr>
              <w:t xml:space="preserve">Situación</w:t>
            </w:r>
            <w:r/>
          </w:p>
        </w:tc>
        <w:tc>
          <w:tcPr>
            <w:shd w:val="clear" w:color="auto" w:fill="241a61"/>
            <w:tcBorders/>
            <w:tcW w:w="2400" w:type="dxa"/>
            <w:vAlign w:val="center"/>
          </w:tcPr>
          <w:p>
            <w:pPr>
              <w:pStyle w:val="731"/>
              <w:pBdr/>
              <w:spacing/>
              <w:ind/>
              <w:rPr/>
            </w:pPr>
            <w:r>
              <w:rPr>
                <w:b/>
                <w:bCs/>
                <w:color w:val="ffffff"/>
              </w:rPr>
              <w:t xml:space="preserve">Fuente</w:t>
            </w:r>
            <w:r/>
          </w:p>
        </w:tc>
      </w:tr>
      <w:tr>
        <w:trPr>
          <w:cantSplit/>
        </w:trPr>
        <w:tc>
          <w:tcPr>
            <w:tcBorders/>
            <w:tcW w:w="3000" w:type="dxa"/>
          </w:tcPr>
          <w:p>
            <w:pPr>
              <w:pStyle w:val="731"/>
              <w:pBdr/>
              <w:spacing/>
              <w:ind/>
              <w:rPr/>
            </w:pPr>
            <w:r>
              <w:t xml:space="preserve">Aplicación móvil instalable (nativa)</w:t>
            </w:r>
            <w:r/>
          </w:p>
        </w:tc>
        <w:tc>
          <w:tcPr>
            <w:tcBorders/>
            <w:tcW w:w="4004" w:type="dxa"/>
          </w:tcPr>
          <w:p>
            <w:pPr>
              <w:pStyle w:val="731"/>
              <w:pBdr/>
              <w:spacing/>
              <w:ind/>
              <w:rPr/>
            </w:pPr>
            <w:r>
              <w:t xml:space="preserve">Excluida. El Sistema será una aplicación web.</w:t>
            </w:r>
            <w:r/>
          </w:p>
        </w:tc>
        <w:tc>
          <w:tcPr>
            <w:tcBorders/>
            <w:tcW w:w="2400" w:type="dxa"/>
          </w:tcPr>
          <w:p>
            <w:pPr>
              <w:pStyle w:val="731"/>
              <w:pBdr/>
              <w:spacing/>
              <w:ind/>
              <w:rPr/>
            </w:pPr>
            <w:r>
              <w:t xml:space="preserve">REF-07, P10-e</w:t>
            </w:r>
            <w:r/>
          </w:p>
        </w:tc>
      </w:tr>
      <w:tr>
        <w:trPr>
          <w:cantSplit/>
        </w:trPr>
        <w:tc>
          <w:tcPr>
            <w:shd w:val="clear" w:color="auto" w:fill="fafafc"/>
            <w:tcBorders/>
            <w:tcW w:w="3000" w:type="dxa"/>
          </w:tcPr>
          <w:p>
            <w:pPr>
              <w:pStyle w:val="731"/>
              <w:pBdr/>
              <w:spacing/>
              <w:ind/>
              <w:rPr/>
            </w:pPr>
            <w:r>
              <w:t xml:space="preserve">Migración de datos de temporadas anteriores</w:t>
            </w:r>
            <w:r/>
          </w:p>
        </w:tc>
        <w:tc>
          <w:tcPr>
            <w:shd w:val="clear" w:color="auto" w:fill="fafafc"/>
            <w:tcBorders/>
            <w:tcW w:w="4004" w:type="dxa"/>
          </w:tcPr>
          <w:p>
            <w:pPr>
              <w:pStyle w:val="731"/>
              <w:pBdr/>
              <w:spacing/>
              <w:ind/>
              <w:rPr/>
            </w:pPr>
            <w:r>
              <w:t xml:space="preserve">No prevista por ahora. Si se incorpora: </w:t>
            </w:r>
            <w:r>
              <w:rPr>
                <w:b/>
                <w:bCs/>
                <w:color w:val="9c4a00"/>
                <w:shd w:val="clear" w:color="auto" w:fill="fff2cc"/>
              </w:rPr>
              <w:t xml:space="preserve">[POR DEFINIR]</w:t>
            </w:r>
            <w:r>
              <w:t xml:space="preserve">.</w:t>
            </w:r>
            <w:r/>
          </w:p>
        </w:tc>
        <w:tc>
          <w:tcPr>
            <w:shd w:val="clear" w:color="auto" w:fill="fafafc"/>
            <w:tcBorders/>
            <w:tcW w:w="2400" w:type="dxa"/>
          </w:tcPr>
          <w:p>
            <w:pPr>
              <w:pStyle w:val="731"/>
              <w:pBdr/>
              <w:spacing/>
              <w:ind/>
              <w:rPr/>
            </w:pPr>
            <w:r>
              <w:t xml:space="preserve">REF-07, P10-c</w:t>
            </w:r>
            <w:r/>
          </w:p>
        </w:tc>
      </w:tr>
      <w:tr>
        <w:trPr>
          <w:cantSplit/>
        </w:trPr>
        <w:tc>
          <w:tcPr>
            <w:tcBorders/>
            <w:tcW w:w="3000" w:type="dxa"/>
          </w:tcPr>
          <w:p>
            <w:pPr>
              <w:pStyle w:val="731"/>
              <w:pBdr/>
              <w:spacing/>
              <w:ind/>
              <w:rPr/>
            </w:pPr>
            <w:r>
              <w:t xml:space="preserve">Integraciones distintas de WhatsApp (correo, SMS, mapas, API pública, autenticación externa, almacenamiento documental externo, importación o exportación CSV/Excel)</w:t>
            </w:r>
            <w:r/>
          </w:p>
        </w:tc>
        <w:tc>
          <w:tcPr>
            <w:tcBorders/>
            <w:tcW w:w="4004" w:type="dxa"/>
          </w:tcPr>
          <w:p>
            <w:pPr>
              <w:pStyle w:val="731"/>
              <w:pBdr/>
              <w:spacing/>
              <w:ind/>
              <w:rPr/>
            </w:pPr>
            <w:r>
              <w:t xml:space="preserve">No incluidas en esta versión: </w:t>
            </w:r>
            <w:r>
              <w:rPr>
                <w:b/>
                <w:bCs/>
                <w:color w:val="9c4a00"/>
                <w:shd w:val="clear" w:color="auto" w:fill="fff2cc"/>
              </w:rPr>
              <w:t xml:space="preserve">[POR DEFINIR]</w:t>
            </w:r>
            <w:r>
              <w:t xml:space="preserve">.</w:t>
            </w:r>
            <w:r/>
          </w:p>
        </w:tc>
        <w:tc>
          <w:tcPr>
            <w:tcBorders/>
            <w:tcW w:w="2400" w:type="dxa"/>
          </w:tcPr>
          <w:p>
            <w:pPr>
              <w:pStyle w:val="731"/>
              <w:pBdr/>
              <w:spacing/>
              <w:ind/>
              <w:rPr/>
            </w:pPr>
            <w:r>
              <w:t xml:space="preserve">REF-07, P10-d</w:t>
            </w:r>
            <w:r/>
          </w:p>
        </w:tc>
      </w:tr>
      <w:tr>
        <w:trPr>
          <w:cantSplit/>
        </w:trPr>
        <w:tc>
          <w:tcPr>
            <w:shd w:val="clear" w:color="auto" w:fill="fafafc"/>
            <w:tcBorders/>
            <w:tcW w:w="3000" w:type="dxa"/>
          </w:tcPr>
          <w:p>
            <w:pPr>
              <w:pStyle w:val="731"/>
              <w:pBdr/>
              <w:spacing/>
              <w:ind/>
              <w:rPr/>
            </w:pPr>
            <w:r>
              <w:t xml:space="preserve">Intercambio electrónico automático con entidades externas (IMCUFIDE, colegios de árbitros, UMSNH, sindicato del Ayuntamiento, portales de noticias)</w:t>
            </w:r>
            <w:r/>
          </w:p>
        </w:tc>
        <w:tc>
          <w:tcPr>
            <w:shd w:val="clear" w:color="auto" w:fill="fafafc"/>
            <w:tcBorders/>
            <w:tcW w:w="4004" w:type="dxa"/>
          </w:tcPr>
          <w:p>
            <w:pPr>
              <w:pStyle w:val="731"/>
              <w:pBdr/>
              <w:spacing/>
              <w:ind/>
              <w:rPr/>
            </w:pPr>
            <w:r>
              <w:t xml:space="preserve">No incluido. El intercambio sigue por los medios actuales; el Sistema solo generará documentos exportables (AF-12).</w:t>
            </w:r>
            <w:r/>
          </w:p>
        </w:tc>
        <w:tc>
          <w:tcPr>
            <w:shd w:val="clear" w:color="auto" w:fill="fafafc"/>
            <w:tcBorders/>
            <w:tcW w:w="2400" w:type="dxa"/>
          </w:tcPr>
          <w:p>
            <w:pPr>
              <w:pStyle w:val="731"/>
              <w:pBdr/>
              <w:spacing/>
              <w:ind/>
              <w:rPr/>
            </w:pPr>
            <w:r>
              <w:t xml:space="preserve">Propuesta del análisis (REF-07, P10-d y P18)</w:t>
            </w:r>
            <w:r/>
          </w:p>
        </w:tc>
      </w:tr>
      <w:tr>
        <w:trPr>
          <w:cantSplit/>
        </w:trPr>
        <w:tc>
          <w:tcPr>
            <w:tcBorders/>
            <w:tcW w:w="3000" w:type="dxa"/>
          </w:tcPr>
          <w:p>
            <w:pPr>
              <w:pStyle w:val="731"/>
              <w:pBdr/>
              <w:spacing/>
              <w:ind/>
              <w:rPr/>
            </w:pPr>
            <w:r>
              <w:t xml:space="preserve">Trámites legales y notariales de la asociación civil (actas, estatutos, asambleas)</w:t>
            </w:r>
            <w:r/>
          </w:p>
        </w:tc>
        <w:tc>
          <w:tcPr>
            <w:tcBorders/>
            <w:tcW w:w="4004" w:type="dxa"/>
          </w:tcPr>
          <w:p>
            <w:pPr>
              <w:pStyle w:val="731"/>
              <w:pBdr/>
              <w:spacing/>
              <w:ind/>
              <w:rPr/>
            </w:pPr>
            <w:r>
              <w:t xml:space="preserve">Fuera del alcance.</w:t>
            </w:r>
            <w:r/>
          </w:p>
        </w:tc>
        <w:tc>
          <w:tcPr>
            <w:tcBorders/>
            <w:tcW w:w="2400" w:type="dxa"/>
          </w:tcPr>
          <w:p>
            <w:pPr>
              <w:pStyle w:val="731"/>
              <w:pBdr/>
              <w:spacing/>
              <w:ind/>
              <w:rPr/>
            </w:pPr>
            <w:r>
              <w:t xml:space="preserve">Propuesta del análisis (REF-07, P18)</w:t>
            </w:r>
            <w:r/>
          </w:p>
        </w:tc>
      </w:tr>
      <w:tr>
        <w:trPr>
          <w:cantSplit/>
        </w:trPr>
        <w:tc>
          <w:tcPr>
            <w:shd w:val="clear" w:color="auto" w:fill="fafafc"/>
            <w:tcBorders/>
            <w:tcW w:w="3000" w:type="dxa"/>
          </w:tcPr>
          <w:p>
            <w:pPr>
              <w:pStyle w:val="731"/>
              <w:pBdr/>
              <w:spacing/>
              <w:ind/>
              <w:rPr/>
            </w:pPr>
            <w:r>
              <w:t xml:space="preserve">Cobro en línea (pasarela de pagos)</w:t>
            </w:r>
            <w:r/>
          </w:p>
        </w:tc>
        <w:tc>
          <w:tcPr>
            <w:shd w:val="clear" w:color="auto" w:fill="fafafc"/>
            <w:tcBorders/>
            <w:tcW w:w="4004" w:type="dxa"/>
          </w:tcPr>
          <w:p>
            <w:pPr>
              <w:pStyle w:val="731"/>
              <w:pBdr/>
              <w:spacing/>
              <w:ind/>
              <w:rPr/>
            </w:pPr>
            <w:r>
              <w:rPr>
                <w:b/>
                <w:bCs/>
                <w:color w:val="9c4a00"/>
                <w:shd w:val="clear" w:color="auto" w:fill="fff2cc"/>
              </w:rPr>
              <w:t xml:space="preserve">[POR DEFINIR]</w:t>
            </w:r>
            <w:r>
              <w:t xml:space="preserve">. Hoy los pagos son presenciales en las oficinas de la Liga.</w:t>
            </w:r>
            <w:r/>
          </w:p>
        </w:tc>
        <w:tc>
          <w:tcPr>
            <w:shd w:val="clear" w:color="auto" w:fill="fafafc"/>
            <w:tcBorders/>
            <w:tcW w:w="2400" w:type="dxa"/>
          </w:tcPr>
          <w:p>
            <w:pPr>
              <w:pStyle w:val="731"/>
              <w:pBdr/>
              <w:spacing/>
              <w:ind/>
              <w:rPr/>
            </w:pPr>
            <w:r>
              <w:t xml:space="preserve">REF-01, IX; REF-02, V</w:t>
            </w:r>
            <w:r/>
          </w:p>
        </w:tc>
      </w:tr>
    </w:tbl>
    <w:p>
      <w:pPr>
        <w:pBdr/>
        <w:spacing w:after="60" w:before="0"/>
        <w:ind/>
        <w:rPr/>
      </w:pPr>
      <w:r/>
      <w:r/>
    </w:p>
    <w:p>
      <w:pPr>
        <w:pStyle w:val="725"/>
        <w:pBdr/>
        <w:spacing/>
        <w:ind/>
        <w:rPr/>
      </w:pPr>
      <w:r/>
      <w:bookmarkStart w:id="14" w:name="_Toc100014"/>
      <w:r>
        <w:t xml:space="preserve">1.2.7 Condicionantes del alcance</w:t>
      </w:r>
      <w:bookmarkEnd w:id="14"/>
      <w:r/>
      <w:r/>
    </w:p>
    <w:p>
      <w:pPr>
        <w:pBdr/>
        <w:spacing/>
        <w:ind/>
        <w:rPr/>
      </w:pPr>
      <w:r>
        <w:t xml:space="preserve">Los siguientes condicionantes delimitan el alcance y deben resolverse antes de especificar los requisitos afectados.</w:t>
      </w:r>
      <w:r/>
    </w:p>
    <w:p>
      <w:pPr>
        <w:pStyle w:val="732"/>
        <w:keepNext w:val="true"/>
        <w:pBdr/>
        <w:spacing/>
        <w:ind/>
        <w:rPr/>
      </w:pPr>
      <w:r>
        <w:rPr>
          <w:b/>
          <w:bCs/>
          <w:color w:val="241a61"/>
          <w:sz w:val="18"/>
          <w:szCs w:val="18"/>
        </w:rPr>
        <w:t xml:space="preserve">Tabla 8. </w:t>
      </w:r>
      <w:r>
        <w:rPr>
          <w:sz w:val="18"/>
          <w:szCs w:val="18"/>
        </w:rPr>
        <w:t xml:space="preserve">Condicionantes del alcance.</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750"/>
        <w:gridCol w:w="2500"/>
        <w:gridCol w:w="1500"/>
        <w:gridCol w:w="3054"/>
        <w:gridCol w:w="1600"/>
      </w:tblGrid>
      <w:tr>
        <w:trPr>
          <w:cantSplit/>
          <w:tblHeader/>
        </w:trPr>
        <w:tc>
          <w:tcPr>
            <w:shd w:val="clear" w:color="auto" w:fill="241a61"/>
            <w:tcBorders/>
            <w:tcW w:w="750" w:type="dxa"/>
            <w:vAlign w:val="center"/>
          </w:tcPr>
          <w:p>
            <w:pPr>
              <w:pStyle w:val="731"/>
              <w:pBdr/>
              <w:spacing/>
              <w:ind/>
              <w:rPr/>
            </w:pPr>
            <w:r>
              <w:rPr>
                <w:b/>
                <w:bCs/>
                <w:color w:val="ffffff"/>
              </w:rPr>
              <w:t xml:space="preserve">ID</w:t>
            </w:r>
            <w:r/>
          </w:p>
        </w:tc>
        <w:tc>
          <w:tcPr>
            <w:shd w:val="clear" w:color="auto" w:fill="241a61"/>
            <w:tcBorders/>
            <w:tcW w:w="2500" w:type="dxa"/>
            <w:vAlign w:val="center"/>
          </w:tcPr>
          <w:p>
            <w:pPr>
              <w:pStyle w:val="731"/>
              <w:pBdr/>
              <w:spacing/>
              <w:ind/>
              <w:rPr/>
            </w:pPr>
            <w:r>
              <w:rPr>
                <w:b/>
                <w:bCs/>
                <w:color w:val="ffffff"/>
              </w:rPr>
              <w:t xml:space="preserve">Condicionante</w:t>
            </w:r>
            <w:r/>
          </w:p>
        </w:tc>
        <w:tc>
          <w:tcPr>
            <w:shd w:val="clear" w:color="auto" w:fill="241a61"/>
            <w:tcBorders/>
            <w:tcW w:w="1500" w:type="dxa"/>
            <w:vAlign w:val="center"/>
          </w:tcPr>
          <w:p>
            <w:pPr>
              <w:pStyle w:val="731"/>
              <w:pBdr/>
              <w:spacing/>
              <w:ind/>
              <w:rPr/>
            </w:pPr>
            <w:r>
              <w:rPr>
                <w:b/>
                <w:bCs/>
                <w:color w:val="ffffff"/>
              </w:rPr>
              <w:t xml:space="preserve">Estado</w:t>
            </w:r>
            <w:r/>
          </w:p>
        </w:tc>
        <w:tc>
          <w:tcPr>
            <w:shd w:val="clear" w:color="auto" w:fill="241a61"/>
            <w:tcBorders/>
            <w:tcW w:w="3054" w:type="dxa"/>
            <w:vAlign w:val="center"/>
          </w:tcPr>
          <w:p>
            <w:pPr>
              <w:pStyle w:val="731"/>
              <w:pBdr/>
              <w:spacing/>
              <w:ind/>
              <w:rPr/>
            </w:pPr>
            <w:r>
              <w:rPr>
                <w:b/>
                <w:bCs/>
                <w:color w:val="ffffff"/>
              </w:rPr>
              <w:t xml:space="preserve">Impacto si no se define</w:t>
            </w:r>
            <w:r/>
          </w:p>
        </w:tc>
        <w:tc>
          <w:tcPr>
            <w:shd w:val="clear" w:color="auto" w:fill="241a61"/>
            <w:tcBorders/>
            <w:tcW w:w="1600" w:type="dxa"/>
            <w:vAlign w:val="center"/>
          </w:tcPr>
          <w:p>
            <w:pPr>
              <w:pStyle w:val="731"/>
              <w:pBdr/>
              <w:spacing/>
              <w:ind/>
              <w:rPr/>
            </w:pPr>
            <w:r>
              <w:rPr>
                <w:b/>
                <w:bCs/>
                <w:color w:val="ffffff"/>
              </w:rPr>
              <w:t xml:space="preserve">Fuente</w:t>
            </w:r>
            <w:r/>
          </w:p>
        </w:tc>
      </w:tr>
      <w:tr>
        <w:trPr>
          <w:cantSplit/>
        </w:trPr>
        <w:tc>
          <w:tcPr>
            <w:tcBorders/>
            <w:tcW w:w="750" w:type="dxa"/>
          </w:tcPr>
          <w:p>
            <w:pPr>
              <w:pStyle w:val="731"/>
              <w:pBdr/>
              <w:spacing/>
              <w:ind/>
              <w:rPr/>
            </w:pPr>
            <w:r>
              <w:t xml:space="preserve">C-01</w:t>
            </w:r>
            <w:r/>
          </w:p>
        </w:tc>
        <w:tc>
          <w:tcPr>
            <w:tcBorders/>
            <w:tcW w:w="2500" w:type="dxa"/>
          </w:tcPr>
          <w:p>
            <w:pPr>
              <w:pStyle w:val="731"/>
              <w:pBdr/>
              <w:spacing/>
              <w:ind/>
              <w:rPr/>
            </w:pPr>
            <w:r>
              <w:t xml:space="preserve">Operación en línea y sin conexión: qué funciones, para qué usuarios y cómo se sincronizan los datos.</w:t>
            </w:r>
            <w:r/>
          </w:p>
        </w:tc>
        <w:tc>
          <w:tcPr>
            <w:tcBorders/>
            <w:tcW w:w="1500" w:type="dxa"/>
          </w:tcPr>
          <w:p>
            <w:pPr>
              <w:pStyle w:val="731"/>
              <w:pBdr/>
              <w:spacing/>
              <w:ind/>
              <w:rPr/>
            </w:pPr>
            <w:r>
              <w:rPr>
                <w:b/>
                <w:bCs/>
                <w:color w:val="9c4a00"/>
                <w:shd w:val="clear" w:color="auto" w:fill="fff2cc"/>
              </w:rPr>
              <w:t xml:space="preserve">[POR DEFINIR]</w:t>
            </w:r>
            <w:r/>
          </w:p>
        </w:tc>
        <w:tc>
          <w:tcPr>
            <w:tcBorders/>
            <w:tcW w:w="3054" w:type="dxa"/>
          </w:tcPr>
          <w:p>
            <w:pPr>
              <w:pStyle w:val="731"/>
              <w:pBdr/>
              <w:spacing/>
              <w:ind/>
              <w:rPr/>
            </w:pPr>
            <w:r>
              <w:t xml:space="preserve">Alto: determina la arquitectura, el almacenamiento local y la resolución de conflictos de datos.</w:t>
            </w:r>
            <w:r/>
          </w:p>
        </w:tc>
        <w:tc>
          <w:tcPr>
            <w:tcBorders/>
            <w:tcW w:w="1600" w:type="dxa"/>
          </w:tcPr>
          <w:p>
            <w:pPr>
              <w:pStyle w:val="731"/>
              <w:pBdr/>
              <w:spacing/>
              <w:ind/>
              <w:rPr/>
            </w:pPr>
            <w:r>
              <w:t xml:space="preserve">REF-07, P21</w:t>
            </w:r>
            <w:r/>
          </w:p>
        </w:tc>
      </w:tr>
      <w:tr>
        <w:trPr>
          <w:cantSplit/>
        </w:trPr>
        <w:tc>
          <w:tcPr>
            <w:shd w:val="clear" w:color="auto" w:fill="fafafc"/>
            <w:tcBorders/>
            <w:tcW w:w="750" w:type="dxa"/>
          </w:tcPr>
          <w:p>
            <w:pPr>
              <w:pStyle w:val="731"/>
              <w:pBdr/>
              <w:spacing/>
              <w:ind/>
              <w:rPr/>
            </w:pPr>
            <w:r>
              <w:t xml:space="preserve">C-02</w:t>
            </w:r>
            <w:r/>
          </w:p>
        </w:tc>
        <w:tc>
          <w:tcPr>
            <w:shd w:val="clear" w:color="auto" w:fill="fafafc"/>
            <w:tcBorders/>
            <w:tcW w:w="2500" w:type="dxa"/>
          </w:tcPr>
          <w:p>
            <w:pPr>
              <w:pStyle w:val="731"/>
              <w:pBdr/>
              <w:spacing/>
              <w:ind/>
              <w:rPr/>
            </w:pPr>
            <w:r>
              <w:t xml:space="preserve">Hospedaje y presupuesto.</w:t>
            </w:r>
            <w:r/>
          </w:p>
        </w:tc>
        <w:tc>
          <w:tcPr>
            <w:shd w:val="clear" w:color="auto" w:fill="fafafc"/>
            <w:tcBorders/>
            <w:tcW w:w="1500" w:type="dxa"/>
          </w:tcPr>
          <w:p>
            <w:pPr>
              <w:pStyle w:val="731"/>
              <w:pBdr/>
              <w:spacing/>
              <w:ind/>
              <w:rPr/>
            </w:pPr>
            <w:r>
              <w:rPr>
                <w:b/>
                <w:bCs/>
                <w:color w:val="9c4a00"/>
                <w:shd w:val="clear" w:color="auto" w:fill="fff2cc"/>
              </w:rPr>
              <w:t xml:space="preserve">[POR DEFINIR]</w:t>
            </w:r>
            <w:r/>
          </w:p>
        </w:tc>
        <w:tc>
          <w:tcPr>
            <w:shd w:val="clear" w:color="auto" w:fill="fafafc"/>
            <w:tcBorders/>
            <w:tcW w:w="3054" w:type="dxa"/>
          </w:tcPr>
          <w:p>
            <w:pPr>
              <w:pStyle w:val="731"/>
              <w:pBdr/>
              <w:spacing/>
              <w:ind/>
              <w:rPr/>
            </w:pPr>
            <w:r>
              <w:t xml:space="preserve">Alto: condiciona la infraestructura, los costos de operación y el uso de servicios con costo, como WhatsApp.</w:t>
            </w:r>
            <w:r/>
          </w:p>
        </w:tc>
        <w:tc>
          <w:tcPr>
            <w:shd w:val="clear" w:color="auto" w:fill="fafafc"/>
            <w:tcBorders/>
            <w:tcW w:w="1600" w:type="dxa"/>
          </w:tcPr>
          <w:p>
            <w:pPr>
              <w:pStyle w:val="731"/>
              <w:pBdr/>
              <w:spacing/>
              <w:ind/>
              <w:rPr/>
            </w:pPr>
            <w:r>
              <w:t xml:space="preserve">REF-07, P21</w:t>
            </w:r>
            <w:r/>
          </w:p>
        </w:tc>
      </w:tr>
      <w:tr>
        <w:trPr>
          <w:cantSplit/>
        </w:trPr>
        <w:tc>
          <w:tcPr>
            <w:tcBorders/>
            <w:tcW w:w="750" w:type="dxa"/>
          </w:tcPr>
          <w:p>
            <w:pPr>
              <w:pStyle w:val="731"/>
              <w:pBdr/>
              <w:spacing/>
              <w:ind/>
              <w:rPr/>
            </w:pPr>
            <w:r>
              <w:t xml:space="preserve">C-03</w:t>
            </w:r>
            <w:r/>
          </w:p>
        </w:tc>
        <w:tc>
          <w:tcPr>
            <w:tcBorders/>
            <w:tcW w:w="2500" w:type="dxa"/>
          </w:tcPr>
          <w:p>
            <w:pPr>
              <w:pStyle w:val="731"/>
              <w:pBdr/>
              <w:spacing/>
              <w:ind/>
              <w:rPr/>
            </w:pPr>
            <w:r>
              <w:t xml:space="preserve">Responsable de la operación y el mantenimiento después de la primera versión (el equipo del proyecto o personal contratado).</w:t>
            </w:r>
            <w:r/>
          </w:p>
        </w:tc>
        <w:tc>
          <w:tcPr>
            <w:tcBorders/>
            <w:tcW w:w="1500" w:type="dxa"/>
          </w:tcPr>
          <w:p>
            <w:pPr>
              <w:pStyle w:val="731"/>
              <w:pBdr/>
              <w:spacing/>
              <w:ind/>
              <w:rPr/>
            </w:pPr>
            <w:r>
              <w:rPr>
                <w:b/>
                <w:bCs/>
                <w:color w:val="9c4a00"/>
                <w:shd w:val="clear" w:color="auto" w:fill="fff2cc"/>
              </w:rPr>
              <w:t xml:space="preserve">[POR DEFINIR]</w:t>
            </w:r>
            <w:r/>
          </w:p>
        </w:tc>
        <w:tc>
          <w:tcPr>
            <w:tcBorders/>
            <w:tcW w:w="3054" w:type="dxa"/>
          </w:tcPr>
          <w:p>
            <w:pPr>
              <w:pStyle w:val="731"/>
              <w:pBdr/>
              <w:spacing/>
              <w:ind/>
              <w:rPr/>
            </w:pPr>
            <w:r>
              <w:t xml:space="preserve">Medio: afecta los requisitos de mantenibilidad, documentación y capacitación.</w:t>
            </w:r>
            <w:r/>
          </w:p>
        </w:tc>
        <w:tc>
          <w:tcPr>
            <w:tcBorders/>
            <w:tcW w:w="1600" w:type="dxa"/>
          </w:tcPr>
          <w:p>
            <w:pPr>
              <w:pStyle w:val="731"/>
              <w:pBdr/>
              <w:spacing/>
              <w:ind/>
              <w:rPr/>
            </w:pPr>
            <w:r>
              <w:t xml:space="preserve">REF-07, P21</w:t>
            </w:r>
            <w:r/>
          </w:p>
        </w:tc>
      </w:tr>
      <w:tr>
        <w:trPr>
          <w:cantSplit/>
        </w:trPr>
        <w:tc>
          <w:tcPr>
            <w:shd w:val="clear" w:color="auto" w:fill="fafafc"/>
            <w:tcBorders/>
            <w:tcW w:w="750" w:type="dxa"/>
          </w:tcPr>
          <w:p>
            <w:pPr>
              <w:pStyle w:val="731"/>
              <w:pBdr/>
              <w:spacing/>
              <w:ind/>
              <w:rPr/>
            </w:pPr>
            <w:r>
              <w:t xml:space="preserve">C-04</w:t>
            </w:r>
            <w:r/>
          </w:p>
        </w:tc>
        <w:tc>
          <w:tcPr>
            <w:shd w:val="clear" w:color="auto" w:fill="fafafc"/>
            <w:tcBorders/>
            <w:tcW w:w="2500" w:type="dxa"/>
          </w:tcPr>
          <w:p>
            <w:pPr>
              <w:pStyle w:val="731"/>
              <w:pBdr/>
              <w:spacing/>
              <w:ind/>
              <w:rPr/>
            </w:pPr>
            <w:r>
              <w:t xml:space="preserve">Tratamiento de datos personales, incluidos los de menores de edad.</w:t>
            </w:r>
            <w:r/>
          </w:p>
        </w:tc>
        <w:tc>
          <w:tcPr>
            <w:shd w:val="clear" w:color="auto" w:fill="fafafc"/>
            <w:tcBorders/>
            <w:tcW w:w="1500" w:type="dxa"/>
          </w:tcPr>
          <w:p>
            <w:pPr>
              <w:pStyle w:val="731"/>
              <w:pBdr/>
              <w:spacing/>
              <w:ind/>
              <w:rPr/>
            </w:pPr>
            <w:r>
              <w:t xml:space="preserve">Definido: aplica la LFPDPPP [REF-12].</w:t>
            </w:r>
            <w:r/>
          </w:p>
        </w:tc>
        <w:tc>
          <w:tcPr>
            <w:shd w:val="clear" w:color="auto" w:fill="fafafc"/>
            <w:tcBorders/>
            <w:tcW w:w="3054" w:type="dxa"/>
          </w:tcPr>
          <w:p>
            <w:pPr>
              <w:pStyle w:val="731"/>
              <w:pBdr/>
              <w:spacing/>
              <w:ind/>
              <w:rPr/>
            </w:pPr>
            <w:r>
              <w:t xml:space="preserve">Alto: obliga a cumplir los principios y deberes de la ley, como el aviso de privacidad y el consentimiento. Se detallará en la sección 3.5.</w:t>
            </w:r>
            <w:r/>
          </w:p>
        </w:tc>
        <w:tc>
          <w:tcPr>
            <w:shd w:val="clear" w:color="auto" w:fill="fafafc"/>
            <w:tcBorders/>
            <w:tcW w:w="1600" w:type="dxa"/>
          </w:tcPr>
          <w:p>
            <w:pPr>
              <w:pStyle w:val="731"/>
              <w:pBdr/>
              <w:spacing/>
              <w:ind/>
              <w:rPr/>
            </w:pPr>
            <w:r>
              <w:t xml:space="preserve">REF-07, P16; REF-12</w:t>
            </w:r>
            <w:r/>
          </w:p>
        </w:tc>
      </w:tr>
      <w:tr>
        <w:trPr>
          <w:cantSplit/>
        </w:trPr>
        <w:tc>
          <w:tcPr>
            <w:tcBorders/>
            <w:tcW w:w="750" w:type="dxa"/>
          </w:tcPr>
          <w:p>
            <w:pPr>
              <w:pStyle w:val="731"/>
              <w:pBdr/>
              <w:spacing/>
              <w:ind/>
              <w:rPr/>
            </w:pPr>
            <w:r>
              <w:t xml:space="preserve">C-05</w:t>
            </w:r>
            <w:r/>
          </w:p>
        </w:tc>
        <w:tc>
          <w:tcPr>
            <w:tcBorders/>
            <w:tcW w:w="2500" w:type="dxa"/>
          </w:tcPr>
          <w:p>
            <w:pPr>
              <w:pStyle w:val="731"/>
              <w:pBdr/>
              <w:spacing/>
              <w:ind/>
              <w:rPr/>
            </w:pPr>
            <w:r>
              <w:t xml:space="preserve">Reglamento interno de la Liga.</w:t>
            </w:r>
            <w:r/>
          </w:p>
        </w:tc>
        <w:tc>
          <w:tcPr>
            <w:tcBorders/>
            <w:tcW w:w="1500" w:type="dxa"/>
          </w:tcPr>
          <w:p>
            <w:pPr>
              <w:pStyle w:val="731"/>
              <w:pBdr/>
              <w:spacing/>
              <w:ind/>
              <w:rPr/>
            </w:pPr>
            <w:r>
              <w:rPr>
                <w:b/>
                <w:bCs/>
                <w:color w:val="9c4a00"/>
                <w:shd w:val="clear" w:color="auto" w:fill="fff2cc"/>
              </w:rPr>
              <w:t xml:space="preserve">[POR DEFINIR]</w:t>
            </w:r>
            <w:r>
              <w:t xml:space="preserve">: no localizado.</w:t>
            </w:r>
            <w:r/>
          </w:p>
        </w:tc>
        <w:tc>
          <w:tcPr>
            <w:tcBorders/>
            <w:tcW w:w="3054" w:type="dxa"/>
          </w:tcPr>
          <w:p>
            <w:pPr>
              <w:pStyle w:val="731"/>
              <w:pBdr/>
              <w:spacing/>
              <w:ind/>
              <w:rPr/>
            </w:pPr>
            <w:r>
              <w:t xml:space="preserve">Alto: no pueden verificarse las reglas disciplinarias, los desempates ni los requisitos que cita la convocatoria (arts. 70, 71, 82, 147 y 154) y la programación (art. 103-E).</w:t>
            </w:r>
            <w:r/>
          </w:p>
        </w:tc>
        <w:tc>
          <w:tcPr>
            <w:tcBorders/>
            <w:tcW w:w="1600" w:type="dxa"/>
          </w:tcPr>
          <w:p>
            <w:pPr>
              <w:pStyle w:val="731"/>
              <w:pBdr/>
              <w:spacing/>
              <w:ind/>
              <w:rPr/>
            </w:pPr>
            <w:r>
              <w:t xml:space="preserve">REF-04</w:t>
            </w:r>
            <w:r/>
          </w:p>
        </w:tc>
      </w:tr>
      <w:tr>
        <w:trPr>
          <w:cantSplit/>
        </w:trPr>
        <w:tc>
          <w:tcPr>
            <w:shd w:val="clear" w:color="auto" w:fill="fafafc"/>
            <w:tcBorders/>
            <w:tcW w:w="750" w:type="dxa"/>
          </w:tcPr>
          <w:p>
            <w:pPr>
              <w:pStyle w:val="731"/>
              <w:pBdr/>
              <w:spacing/>
              <w:ind/>
              <w:rPr/>
            </w:pPr>
            <w:r>
              <w:t xml:space="preserve">C-06</w:t>
            </w:r>
            <w:r/>
          </w:p>
        </w:tc>
        <w:tc>
          <w:tcPr>
            <w:shd w:val="clear" w:color="auto" w:fill="fafafc"/>
            <w:tcBorders/>
            <w:tcW w:w="2500" w:type="dxa"/>
          </w:tcPr>
          <w:p>
            <w:pPr>
              <w:pStyle w:val="731"/>
              <w:pBdr/>
              <w:spacing/>
              <w:ind/>
              <w:rPr/>
            </w:pPr>
            <w:r>
              <w:t xml:space="preserve">Primera versión en 10 semanas.</w:t>
            </w:r>
            <w:r/>
          </w:p>
        </w:tc>
        <w:tc>
          <w:tcPr>
            <w:shd w:val="clear" w:color="auto" w:fill="fafafc"/>
            <w:tcBorders/>
            <w:tcW w:w="1500" w:type="dxa"/>
          </w:tcPr>
          <w:p>
            <w:pPr>
              <w:pStyle w:val="731"/>
              <w:pBdr/>
              <w:spacing/>
              <w:ind/>
              <w:rPr/>
            </w:pPr>
            <w:r>
              <w:t xml:space="preserve">Definido.</w:t>
            </w:r>
            <w:r/>
          </w:p>
        </w:tc>
        <w:tc>
          <w:tcPr>
            <w:shd w:val="clear" w:color="auto" w:fill="fafafc"/>
            <w:tcBorders/>
            <w:tcW w:w="3054" w:type="dxa"/>
          </w:tcPr>
          <w:p>
            <w:pPr>
              <w:pStyle w:val="731"/>
              <w:pBdr/>
              <w:spacing/>
              <w:ind/>
              <w:rPr/>
            </w:pPr>
            <w:r>
              <w:t xml:space="preserve">El alcance de la primera versión se prioriza en 1.2.5.</w:t>
            </w:r>
            <w:r/>
          </w:p>
        </w:tc>
        <w:tc>
          <w:tcPr>
            <w:shd w:val="clear" w:color="auto" w:fill="fafafc"/>
            <w:tcBorders/>
            <w:tcW w:w="1600" w:type="dxa"/>
          </w:tcPr>
          <w:p>
            <w:pPr>
              <w:pStyle w:val="731"/>
              <w:pBdr/>
              <w:spacing/>
              <w:ind/>
              <w:rPr/>
            </w:pPr>
            <w:r>
              <w:t xml:space="preserve">REF-07, P9; REF-06, diap. 38</w:t>
            </w:r>
            <w:r/>
          </w:p>
        </w:tc>
      </w:tr>
      <w:tr>
        <w:trPr>
          <w:cantSplit/>
        </w:trPr>
        <w:tc>
          <w:tcPr>
            <w:tcBorders/>
            <w:tcW w:w="750" w:type="dxa"/>
          </w:tcPr>
          <w:p>
            <w:pPr>
              <w:pStyle w:val="731"/>
              <w:pBdr/>
              <w:spacing/>
              <w:ind/>
              <w:rPr/>
            </w:pPr>
            <w:r>
              <w:t xml:space="preserve">C-07</w:t>
            </w:r>
            <w:r/>
          </w:p>
        </w:tc>
        <w:tc>
          <w:tcPr>
            <w:tcBorders/>
            <w:tcW w:w="2500" w:type="dxa"/>
          </w:tcPr>
          <w:p>
            <w:pPr>
              <w:pStyle w:val="731"/>
              <w:pBdr/>
              <w:spacing/>
              <w:ind/>
              <w:rPr/>
            </w:pPr>
            <w:r>
              <w:t xml:space="preserve">Reglas que cambian por temporada (categorías, cuotas, ascensos y descensos).</w:t>
            </w:r>
            <w:r/>
          </w:p>
        </w:tc>
        <w:tc>
          <w:tcPr>
            <w:tcBorders/>
            <w:tcW w:w="1500" w:type="dxa"/>
          </w:tcPr>
          <w:p>
            <w:pPr>
              <w:pStyle w:val="731"/>
              <w:pBdr/>
              <w:spacing/>
              <w:ind/>
              <w:rPr/>
            </w:pPr>
            <w:r>
              <w:t xml:space="preserve">Hecho (PR-06).</w:t>
            </w:r>
            <w:r/>
          </w:p>
        </w:tc>
        <w:tc>
          <w:tcPr>
            <w:tcBorders/>
            <w:tcW w:w="3054" w:type="dxa"/>
          </w:tcPr>
          <w:p>
            <w:pPr>
              <w:pStyle w:val="731"/>
              <w:pBdr/>
              <w:spacing/>
              <w:ind/>
              <w:rPr/>
            </w:pPr>
            <w:r>
              <w:t xml:space="preserve">Las reglas deberán poder actualizarse en cada temporada sin modificar el software (propuesta del documento base).</w:t>
            </w:r>
            <w:r/>
          </w:p>
        </w:tc>
        <w:tc>
          <w:tcPr>
            <w:tcBorders/>
            <w:tcW w:w="1600" w:type="dxa"/>
          </w:tcPr>
          <w:p>
            <w:pPr>
              <w:pStyle w:val="731"/>
              <w:pBdr/>
              <w:spacing/>
              <w:ind/>
              <w:rPr/>
            </w:pPr>
            <w:r>
              <w:t xml:space="preserve">REF-06, diap. 4 y 8</w:t>
            </w:r>
            <w:r/>
          </w:p>
        </w:tc>
      </w:tr>
    </w:tbl>
    <w:p>
      <w:pPr>
        <w:pBdr/>
        <w:spacing w:after="60" w:before="0"/>
        <w:ind/>
        <w:rPr/>
      </w:pPr>
      <w:r/>
      <w:r/>
    </w:p>
    <w:p>
      <w:pPr>
        <w:pStyle w:val="725"/>
        <w:pBdr/>
        <w:spacing/>
        <w:ind/>
        <w:rPr/>
      </w:pPr>
      <w:r/>
      <w:bookmarkStart w:id="15" w:name="_Toc100015"/>
      <w:r>
        <w:t xml:space="preserve">1.2.8 Consistencia con documentos de nivel superior</w:t>
      </w:r>
      <w:bookmarkEnd w:id="15"/>
      <w:r/>
      <w:r/>
    </w:p>
    <w:p>
      <w:pPr>
        <w:pBdr/>
        <w:spacing/>
        <w:ind/>
        <w:rPr/>
      </w:pPr>
      <w:r>
        <w:t xml:space="preserve">El alcance es consistente con el documento base de visión y alcance [REF-06], con dos diferencias: in</w:t>
      </w:r>
      <w:r>
        <w:t xml:space="preserve">corpora la gestión económica (AF-10), que el documento base no incluía [REF-07, P10-b], y limita las integraciones a WhatsApp [REF-07, P10-d]. Las reglas deportivas y administrativas se toman de las convocatorias de la temporada 2026–2027 [REF-01, REF-02].</w:t>
      </w:r>
      <w:r/>
    </w:p>
    <w:p>
      <w:pPr>
        <w:pStyle w:val="724"/>
        <w:pBdr/>
        <w:spacing/>
        <w:ind/>
        <w:rPr/>
      </w:pPr>
      <w:r/>
      <w:bookmarkStart w:id="16" w:name="_Toc100016"/>
      <w:r>
        <w:t xml:space="preserve">1.3 Definiciones, acrónimos y abreviaturas</w:t>
      </w:r>
      <w:bookmarkEnd w:id="16"/>
      <w:r/>
      <w:r/>
    </w:p>
    <w:p>
      <w:pPr>
        <w:pBdr/>
        <w:spacing/>
        <w:ind/>
        <w:rPr/>
      </w:pPr>
      <w:r>
        <w:t xml:space="preserve">La Liga no cuenta con un glosario oficial [REF-07,</w:t>
      </w:r>
      <w:r>
        <w:t xml:space="preserve"> P12]. Las definiciones del dominio provienen de sus convocatorias, de la programación oficial y del levantamiento de información. Cuando la fuente es una convocatoria, la definición tiene carácter normativo. Las definiciones no confirmadas se marcan como </w:t>
      </w:r>
      <w:r>
        <w:rPr>
          <w:b/>
          <w:bCs/>
          <w:color w:val="9c4a00"/>
          <w:shd w:val="clear" w:color="auto" w:fill="fff2cc"/>
        </w:rPr>
        <w:t xml:space="preserve">[POR DEFINIR]</w:t>
      </w:r>
      <w:r>
        <w:t xml:space="preserve">.</w:t>
      </w:r>
      <w:r/>
    </w:p>
    <w:p>
      <w:pPr>
        <w:pStyle w:val="725"/>
        <w:pBdr/>
        <w:spacing/>
        <w:ind/>
        <w:rPr/>
      </w:pPr>
      <w:r/>
      <w:bookmarkStart w:id="17" w:name="_Toc100017"/>
      <w:r>
        <w:t xml:space="preserve">1.3.1 Organización de la Liga</w:t>
      </w:r>
      <w:bookmarkEnd w:id="17"/>
      <w:r/>
      <w:r/>
    </w:p>
    <w:p>
      <w:pPr>
        <w:pStyle w:val="732"/>
        <w:keepNext w:val="true"/>
        <w:pBdr/>
        <w:spacing/>
        <w:ind/>
        <w:rPr/>
      </w:pPr>
      <w:r>
        <w:rPr>
          <w:b/>
          <w:bCs/>
          <w:color w:val="241a61"/>
          <w:sz w:val="18"/>
          <w:szCs w:val="18"/>
        </w:rPr>
        <w:t xml:space="preserve">Tabla 9. </w:t>
      </w:r>
      <w:r>
        <w:rPr>
          <w:sz w:val="18"/>
          <w:szCs w:val="18"/>
        </w:rPr>
        <w:t xml:space="preserve">Términos de la organización de la Liga.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000"/>
        <w:gridCol w:w="5404"/>
        <w:gridCol w:w="2000"/>
      </w:tblGrid>
      <w:tr>
        <w:trPr>
          <w:cantSplit/>
          <w:tblHeader/>
        </w:trPr>
        <w:tc>
          <w:tcPr>
            <w:shd w:val="clear" w:color="auto" w:fill="241a61"/>
            <w:tcBorders/>
            <w:tcW w:w="2000" w:type="dxa"/>
            <w:vAlign w:val="center"/>
          </w:tcPr>
          <w:p>
            <w:pPr>
              <w:pStyle w:val="731"/>
              <w:pBdr/>
              <w:spacing/>
              <w:ind/>
              <w:rPr/>
            </w:pPr>
            <w:r>
              <w:rPr>
                <w:b/>
                <w:bCs/>
                <w:color w:val="ffffff"/>
              </w:rPr>
              <w:t xml:space="preserve">Término</w:t>
            </w:r>
            <w:r/>
          </w:p>
        </w:tc>
        <w:tc>
          <w:tcPr>
            <w:shd w:val="clear" w:color="auto" w:fill="241a61"/>
            <w:tcBorders/>
            <w:tcW w:w="5404" w:type="dxa"/>
            <w:vAlign w:val="center"/>
          </w:tcPr>
          <w:p>
            <w:pPr>
              <w:pStyle w:val="731"/>
              <w:pBdr/>
              <w:spacing/>
              <w:ind/>
              <w:rPr/>
            </w:pPr>
            <w:r>
              <w:rPr>
                <w:b/>
                <w:bCs/>
                <w:color w:val="ffffff"/>
              </w:rPr>
              <w:t xml:space="preserve">Definición</w:t>
            </w:r>
            <w:r/>
          </w:p>
        </w:tc>
        <w:tc>
          <w:tcPr>
            <w:shd w:val="clear" w:color="auto" w:fill="241a61"/>
            <w:tcBorders/>
            <w:tcW w:w="2000" w:type="dxa"/>
            <w:vAlign w:val="center"/>
          </w:tcPr>
          <w:p>
            <w:pPr>
              <w:pStyle w:val="731"/>
              <w:pBdr/>
              <w:spacing/>
              <w:ind/>
              <w:rPr/>
            </w:pPr>
            <w:r>
              <w:rPr>
                <w:b/>
                <w:bCs/>
                <w:color w:val="ffffff"/>
              </w:rPr>
              <w:t xml:space="preserve">Fuente</w:t>
            </w:r>
            <w:r/>
          </w:p>
        </w:tc>
      </w:tr>
      <w:tr>
        <w:trPr>
          <w:cantSplit/>
        </w:trPr>
        <w:tc>
          <w:tcPr>
            <w:tcBorders/>
            <w:tcW w:w="2000" w:type="dxa"/>
          </w:tcPr>
          <w:p>
            <w:pPr>
              <w:pStyle w:val="731"/>
              <w:pBdr/>
              <w:spacing/>
              <w:ind/>
              <w:rPr/>
            </w:pPr>
            <w:r>
              <w:t xml:space="preserve">Liga</w:t>
            </w:r>
            <w:r/>
          </w:p>
        </w:tc>
        <w:tc>
          <w:tcPr>
            <w:tcBorders/>
            <w:tcW w:w="5404" w:type="dxa"/>
          </w:tcPr>
          <w:p>
            <w:pPr>
              <w:pStyle w:val="731"/>
              <w:pBdr/>
              <w:spacing/>
              <w:ind/>
              <w:rPr/>
            </w:pPr>
            <w:r>
              <w:t xml:space="preserve">Liga Municipal de Fútbol Amateur de Morelia, Asociación Civil, también conocida como Liga Municipal de Futbol Amateur Morelia A.C. Es el cliente del Sistema.</w:t>
            </w:r>
            <w:r/>
          </w:p>
        </w:tc>
        <w:tc>
          <w:tcPr>
            <w:tcBorders/>
            <w:tcW w:w="2000" w:type="dxa"/>
          </w:tcPr>
          <w:p>
            <w:pPr>
              <w:pStyle w:val="731"/>
              <w:pBdr/>
              <w:spacing/>
              <w:ind/>
              <w:rPr/>
            </w:pPr>
            <w:r>
              <w:t xml:space="preserve">REF-07, P8; REF-01</w:t>
            </w:r>
            <w:r/>
          </w:p>
        </w:tc>
      </w:tr>
      <w:tr>
        <w:trPr>
          <w:cantSplit/>
        </w:trPr>
        <w:tc>
          <w:tcPr>
            <w:shd w:val="clear" w:color="auto" w:fill="fafafc"/>
            <w:tcBorders/>
            <w:tcW w:w="2000" w:type="dxa"/>
          </w:tcPr>
          <w:p>
            <w:pPr>
              <w:pStyle w:val="731"/>
              <w:pBdr/>
              <w:spacing/>
              <w:ind/>
              <w:rPr/>
            </w:pPr>
            <w:r>
              <w:t xml:space="preserve">Consejo Directivo</w:t>
            </w:r>
            <w:r/>
          </w:p>
        </w:tc>
        <w:tc>
          <w:tcPr>
            <w:shd w:val="clear" w:color="auto" w:fill="fafafc"/>
            <w:tcBorders/>
            <w:tcW w:w="5404" w:type="dxa"/>
          </w:tcPr>
          <w:p>
            <w:pPr>
              <w:pStyle w:val="731"/>
              <w:pBdr/>
              <w:spacing/>
              <w:ind/>
              <w:rPr/>
            </w:pPr>
            <w:r>
              <w:t xml:space="preserve">Órgano por cuyo conducto la Liga emite las convocatorias de cada temporada. En 2026–2027 las firman el Presidente, el Secretario y el Tesorero.</w:t>
            </w:r>
            <w:r/>
          </w:p>
        </w:tc>
        <w:tc>
          <w:tcPr>
            <w:shd w:val="clear" w:color="auto" w:fill="fafafc"/>
            <w:tcBorders/>
            <w:tcW w:w="2000" w:type="dxa"/>
          </w:tcPr>
          <w:p>
            <w:pPr>
              <w:pStyle w:val="731"/>
              <w:pBdr/>
              <w:spacing/>
              <w:ind/>
              <w:rPr/>
            </w:pPr>
            <w:r>
              <w:t xml:space="preserve">REF-01; REF-02</w:t>
            </w:r>
            <w:r/>
          </w:p>
        </w:tc>
      </w:tr>
      <w:tr>
        <w:trPr>
          <w:cantSplit/>
        </w:trPr>
        <w:tc>
          <w:tcPr>
            <w:tcBorders/>
            <w:tcW w:w="2000" w:type="dxa"/>
          </w:tcPr>
          <w:p>
            <w:pPr>
              <w:pStyle w:val="731"/>
              <w:pBdr/>
              <w:spacing/>
              <w:ind/>
              <w:rPr/>
            </w:pPr>
            <w:r>
              <w:t xml:space="preserve">Comité Ejecutivo</w:t>
            </w:r>
            <w:r/>
          </w:p>
        </w:tc>
        <w:tc>
          <w:tcPr>
            <w:tcBorders/>
            <w:tcW w:w="5404" w:type="dxa"/>
          </w:tcPr>
          <w:p>
            <w:pPr>
              <w:pStyle w:val="731"/>
              <w:pBdr/>
              <w:spacing/>
              <w:ind/>
              <w:rPr/>
            </w:pPr>
            <w:r>
              <w:t xml:space="preserve">Órgano que resuelve los casos no previstos en la Convocatoria de la rama libre y de veteranos. La Convocatoria de la Rama Infantil asigna esa función al «Comité Directivo». Relación entre ambos y con el Consejo Directivo: </w:t>
            </w:r>
            <w:r>
              <w:rPr>
                <w:b/>
                <w:bCs/>
                <w:color w:val="9c4a00"/>
                <w:shd w:val="clear" w:color="auto" w:fill="fff2cc"/>
              </w:rPr>
              <w:t xml:space="preserve">[POR DEFINIR]</w:t>
            </w:r>
            <w:r>
              <w:t xml:space="preserve">.</w:t>
            </w:r>
            <w:r/>
          </w:p>
        </w:tc>
        <w:tc>
          <w:tcPr>
            <w:tcBorders/>
            <w:tcW w:w="2000" w:type="dxa"/>
          </w:tcPr>
          <w:p>
            <w:pPr>
              <w:pStyle w:val="731"/>
              <w:pBdr/>
              <w:spacing/>
              <w:ind/>
              <w:rPr/>
            </w:pPr>
            <w:r>
              <w:t xml:space="preserve">REF-01; REF-02</w:t>
            </w:r>
            <w:r/>
          </w:p>
        </w:tc>
      </w:tr>
      <w:tr>
        <w:trPr>
          <w:cantSplit/>
        </w:trPr>
        <w:tc>
          <w:tcPr>
            <w:shd w:val="clear" w:color="auto" w:fill="fafafc"/>
            <w:tcBorders/>
            <w:tcW w:w="2000" w:type="dxa"/>
          </w:tcPr>
          <w:p>
            <w:pPr>
              <w:pStyle w:val="731"/>
              <w:pBdr/>
              <w:spacing/>
              <w:ind/>
              <w:rPr/>
            </w:pPr>
            <w:r>
              <w:t xml:space="preserve">Directiva (mesa directiva)</w:t>
            </w:r>
            <w:r/>
          </w:p>
        </w:tc>
        <w:tc>
          <w:tcPr>
            <w:shd w:val="clear" w:color="auto" w:fill="fafafc"/>
            <w:tcBorders/>
            <w:tcW w:w="5404" w:type="dxa"/>
          </w:tcPr>
          <w:p>
            <w:pPr>
              <w:pStyle w:val="731"/>
              <w:pBdr/>
              <w:spacing/>
              <w:ind/>
              <w:rPr/>
            </w:pPr>
            <w:r>
              <w:t xml:space="preserve">Término del levantamiento para referirse a la dirigencia de la Liga: define el formato del campeonato, reprograma partidos y entrega la programación a los medios. Correspondencia con los órganos anteriores: </w:t>
            </w:r>
            <w:r>
              <w:rPr>
                <w:b/>
                <w:bCs/>
                <w:color w:val="9c4a00"/>
                <w:shd w:val="clear" w:color="auto" w:fill="fff2cc"/>
              </w:rPr>
              <w:t xml:space="preserve">[POR DEFINIR]</w:t>
            </w:r>
            <w:r>
              <w:t xml:space="preserve">.</w:t>
            </w:r>
            <w:r/>
          </w:p>
        </w:tc>
        <w:tc>
          <w:tcPr>
            <w:shd w:val="clear" w:color="auto" w:fill="fafafc"/>
            <w:tcBorders/>
            <w:tcW w:w="2000" w:type="dxa"/>
          </w:tcPr>
          <w:p>
            <w:pPr>
              <w:pStyle w:val="731"/>
              <w:pBdr/>
              <w:spacing/>
              <w:ind/>
              <w:rPr/>
            </w:pPr>
            <w:r>
              <w:t xml:space="preserve">REF-07, P13, P18, P21</w:t>
            </w:r>
            <w:r/>
          </w:p>
        </w:tc>
      </w:tr>
      <w:tr>
        <w:trPr>
          <w:cantSplit/>
        </w:trPr>
        <w:tc>
          <w:tcPr>
            <w:tcBorders/>
            <w:tcW w:w="2000" w:type="dxa"/>
          </w:tcPr>
          <w:p>
            <w:pPr>
              <w:pStyle w:val="731"/>
              <w:pBdr/>
              <w:spacing/>
              <w:ind/>
              <w:rPr/>
            </w:pPr>
            <w:r>
              <w:t xml:space="preserve">Secretaría de la Liga</w:t>
            </w:r>
            <w:r/>
          </w:p>
        </w:tc>
        <w:tc>
          <w:tcPr>
            <w:tcBorders/>
            <w:tcW w:w="5404" w:type="dxa"/>
          </w:tcPr>
          <w:p>
            <w:pPr>
              <w:pStyle w:val="731"/>
              <w:pBdr/>
              <w:spacing/>
              <w:ind/>
              <w:rPr/>
            </w:pPr>
            <w:r>
              <w:t xml:space="preserve">Área que programa los horarios de juego.</w:t>
            </w:r>
            <w:r/>
          </w:p>
        </w:tc>
        <w:tc>
          <w:tcPr>
            <w:tcBorders/>
            <w:tcW w:w="2000" w:type="dxa"/>
          </w:tcPr>
          <w:p>
            <w:pPr>
              <w:pStyle w:val="731"/>
              <w:pBdr/>
              <w:spacing/>
              <w:ind/>
              <w:rPr/>
            </w:pPr>
            <w:r>
              <w:t xml:space="preserve">REF-01, I-d</w:t>
            </w:r>
            <w:r/>
          </w:p>
        </w:tc>
      </w:tr>
      <w:tr>
        <w:trPr>
          <w:cantSplit/>
        </w:trPr>
        <w:tc>
          <w:tcPr>
            <w:shd w:val="clear" w:color="auto" w:fill="fafafc"/>
            <w:tcBorders/>
            <w:tcW w:w="2000" w:type="dxa"/>
          </w:tcPr>
          <w:p>
            <w:pPr>
              <w:pStyle w:val="731"/>
              <w:pBdr/>
              <w:spacing/>
              <w:ind/>
              <w:rPr/>
            </w:pPr>
            <w:r>
              <w:t xml:space="preserve">Tesorería de la Liga</w:t>
            </w:r>
            <w:r/>
          </w:p>
        </w:tc>
        <w:tc>
          <w:tcPr>
            <w:shd w:val="clear" w:color="auto" w:fill="fafafc"/>
            <w:tcBorders/>
            <w:tcW w:w="5404" w:type="dxa"/>
          </w:tcPr>
          <w:p>
            <w:pPr>
              <w:pStyle w:val="731"/>
              <w:pBdr/>
              <w:spacing/>
              <w:ind/>
              <w:rPr/>
            </w:pPr>
            <w:r>
              <w:t xml:space="preserve">Área que recibe las aportaciones de los clubes.</w:t>
            </w:r>
            <w:r/>
          </w:p>
        </w:tc>
        <w:tc>
          <w:tcPr>
            <w:shd w:val="clear" w:color="auto" w:fill="fafafc"/>
            <w:tcBorders/>
            <w:tcW w:w="2000" w:type="dxa"/>
          </w:tcPr>
          <w:p>
            <w:pPr>
              <w:pStyle w:val="731"/>
              <w:pBdr/>
              <w:spacing/>
              <w:ind/>
              <w:rPr/>
            </w:pPr>
            <w:r>
              <w:t xml:space="preserve">REF-01, IX-d</w:t>
            </w:r>
            <w:r/>
          </w:p>
        </w:tc>
      </w:tr>
      <w:tr>
        <w:trPr>
          <w:cantSplit/>
        </w:trPr>
        <w:tc>
          <w:tcPr>
            <w:tcBorders/>
            <w:tcW w:w="2000" w:type="dxa"/>
          </w:tcPr>
          <w:p>
            <w:pPr>
              <w:pStyle w:val="731"/>
              <w:pBdr/>
              <w:spacing/>
              <w:ind/>
              <w:rPr/>
            </w:pPr>
            <w:r>
              <w:t xml:space="preserve">Comisión de la Rama Infantil</w:t>
            </w:r>
            <w:r/>
          </w:p>
        </w:tc>
        <w:tc>
          <w:tcPr>
            <w:tcBorders/>
            <w:tcW w:w="5404" w:type="dxa"/>
          </w:tcPr>
          <w:p>
            <w:pPr>
              <w:pStyle w:val="731"/>
              <w:pBdr/>
              <w:spacing/>
              <w:ind/>
              <w:rPr/>
            </w:pPr>
            <w:r>
              <w:t xml:space="preserve">Comisión que convoca, junto con el Consejo Directivo, a la rama infantil y determina su sistema de competencia.</w:t>
            </w:r>
            <w:r/>
          </w:p>
        </w:tc>
        <w:tc>
          <w:tcPr>
            <w:tcBorders/>
            <w:tcW w:w="2000" w:type="dxa"/>
          </w:tcPr>
          <w:p>
            <w:pPr>
              <w:pStyle w:val="731"/>
              <w:pBdr/>
              <w:spacing/>
              <w:ind/>
              <w:rPr/>
            </w:pPr>
            <w:r>
              <w:t xml:space="preserve">REF-02, III-b</w:t>
            </w:r>
            <w:r/>
          </w:p>
        </w:tc>
      </w:tr>
      <w:tr>
        <w:trPr>
          <w:cantSplit/>
        </w:trPr>
        <w:tc>
          <w:tcPr>
            <w:shd w:val="clear" w:color="auto" w:fill="fafafc"/>
            <w:tcBorders/>
            <w:tcW w:w="2000" w:type="dxa"/>
          </w:tcPr>
          <w:p>
            <w:pPr>
              <w:pStyle w:val="731"/>
              <w:pBdr/>
              <w:spacing/>
              <w:ind/>
              <w:rPr/>
            </w:pPr>
            <w:r>
              <w:t xml:space="preserve">Tribunal de Penas</w:t>
            </w:r>
            <w:r/>
          </w:p>
        </w:tc>
        <w:tc>
          <w:tcPr>
            <w:shd w:val="clear" w:color="auto" w:fill="fafafc"/>
            <w:tcBorders/>
            <w:tcW w:w="5404" w:type="dxa"/>
          </w:tcPr>
          <w:p>
            <w:pPr>
              <w:pStyle w:val="731"/>
              <w:pBdr/>
              <w:spacing/>
              <w:ind/>
              <w:rPr/>
            </w:pPr>
            <w:r>
              <w:t xml:space="preserve">Órgano disciplinario de la Liga: </w:t>
            </w:r>
            <w:r>
              <w:t xml:space="preserve">lee las cédulas, dictamina los partidos de suspensión con base en el reglamento interno y emite el boletín semanal de castigados. Las fuentes también lo llaman «Comisión de Penas», «tribunal disciplinario» y «Comisión Disciplinaria»; denominación oficial: </w:t>
            </w:r>
            <w:r>
              <w:rPr>
                <w:b/>
                <w:bCs/>
                <w:color w:val="9c4a00"/>
                <w:shd w:val="clear" w:color="auto" w:fill="fff2cc"/>
              </w:rPr>
              <w:t xml:space="preserve">[POR DEFINIR]</w:t>
            </w:r>
            <w:r>
              <w:t xml:space="preserve">.</w:t>
            </w:r>
            <w:r/>
          </w:p>
        </w:tc>
        <w:tc>
          <w:tcPr>
            <w:shd w:val="clear" w:color="auto" w:fill="fafafc"/>
            <w:tcBorders/>
            <w:tcW w:w="2000" w:type="dxa"/>
          </w:tcPr>
          <w:p>
            <w:pPr>
              <w:pStyle w:val="731"/>
              <w:pBdr/>
              <w:spacing/>
              <w:ind/>
              <w:rPr/>
            </w:pPr>
            <w:r>
              <w:t xml:space="preserve">REF-07, P18–P19; REF-06, diap. 6</w:t>
            </w:r>
            <w:r/>
          </w:p>
        </w:tc>
      </w:tr>
      <w:tr>
        <w:trPr>
          <w:cantSplit/>
        </w:trPr>
        <w:tc>
          <w:tcPr>
            <w:tcBorders/>
            <w:tcW w:w="2000" w:type="dxa"/>
          </w:tcPr>
          <w:p>
            <w:pPr>
              <w:pStyle w:val="731"/>
              <w:pBdr/>
              <w:spacing/>
              <w:ind/>
              <w:rPr/>
            </w:pPr>
            <w:r>
              <w:t xml:space="preserve">Asamblea de presidentes de clubes</w:t>
            </w:r>
            <w:r/>
          </w:p>
        </w:tc>
        <w:tc>
          <w:tcPr>
            <w:tcBorders/>
            <w:tcW w:w="5404" w:type="dxa"/>
          </w:tcPr>
          <w:p>
            <w:pPr>
              <w:pStyle w:val="731"/>
              <w:pBdr/>
              <w:spacing/>
              <w:ind/>
              <w:rPr/>
            </w:pPr>
            <w:r>
              <w:t xml:space="preserve">Reunión de los presidentes de los clubes. Por acuerdo de esta asamblea se fijaron, por ejemplo, las reglas de cambios de la temporada 2026–2027.</w:t>
            </w:r>
            <w:r/>
          </w:p>
        </w:tc>
        <w:tc>
          <w:tcPr>
            <w:tcBorders/>
            <w:tcW w:w="2000" w:type="dxa"/>
          </w:tcPr>
          <w:p>
            <w:pPr>
              <w:pStyle w:val="731"/>
              <w:pBdr/>
              <w:spacing/>
              <w:ind/>
              <w:rPr/>
            </w:pPr>
            <w:r>
              <w:t xml:space="preserve">REF-01, X; REF-07, P13</w:t>
            </w:r>
            <w:r/>
          </w:p>
        </w:tc>
      </w:tr>
      <w:tr>
        <w:trPr>
          <w:cantSplit/>
        </w:trPr>
        <w:tc>
          <w:tcPr>
            <w:shd w:val="clear" w:color="auto" w:fill="fafafc"/>
            <w:tcBorders/>
            <w:tcW w:w="2000" w:type="dxa"/>
          </w:tcPr>
          <w:p>
            <w:pPr>
              <w:pStyle w:val="731"/>
              <w:pBdr/>
              <w:spacing/>
              <w:ind/>
              <w:rPr/>
            </w:pPr>
            <w:r>
              <w:t xml:space="preserve">Reunión semanal de delegados</w:t>
            </w:r>
            <w:r/>
          </w:p>
        </w:tc>
        <w:tc>
          <w:tcPr>
            <w:shd w:val="clear" w:color="auto" w:fill="fafafc"/>
            <w:tcBorders/>
            <w:tcW w:w="5404" w:type="dxa"/>
          </w:tcPr>
          <w:p>
            <w:pPr>
              <w:pStyle w:val="731"/>
              <w:pBdr/>
              <w:spacing/>
              <w:ind/>
              <w:rPr/>
            </w:pPr>
            <w:r>
              <w:t xml:space="preserve">Reunión en las oficinas de la Liga a la que los delegados deben asistir; en ella reciben los horarios oficiales de la jornada.</w:t>
            </w:r>
            <w:r/>
          </w:p>
        </w:tc>
        <w:tc>
          <w:tcPr>
            <w:shd w:val="clear" w:color="auto" w:fill="fafafc"/>
            <w:tcBorders/>
            <w:tcW w:w="2000" w:type="dxa"/>
          </w:tcPr>
          <w:p>
            <w:pPr>
              <w:pStyle w:val="731"/>
              <w:pBdr/>
              <w:spacing/>
              <w:ind/>
              <w:rPr/>
            </w:pPr>
            <w:r>
              <w:t xml:space="preserve">REF-01, I-f; REF-07, P13</w:t>
            </w:r>
            <w:r/>
          </w:p>
        </w:tc>
      </w:tr>
      <w:tr>
        <w:trPr>
          <w:cantSplit/>
        </w:trPr>
        <w:tc>
          <w:tcPr>
            <w:tcBorders/>
            <w:tcW w:w="2000" w:type="dxa"/>
          </w:tcPr>
          <w:p>
            <w:pPr>
              <w:pStyle w:val="731"/>
              <w:pBdr/>
              <w:spacing/>
              <w:ind/>
              <w:rPr/>
            </w:pPr>
            <w:r>
              <w:t xml:space="preserve">Club</w:t>
            </w:r>
            <w:r/>
          </w:p>
        </w:tc>
        <w:tc>
          <w:tcPr>
            <w:tcBorders/>
            <w:tcW w:w="5404" w:type="dxa"/>
          </w:tcPr>
          <w:p>
            <w:pPr>
              <w:pStyle w:val="731"/>
              <w:pBdr/>
              <w:spacing/>
              <w:ind/>
              <w:rPr/>
            </w:pPr>
            <w:r>
              <w:t xml:space="preserve">Entidad deportiva afiliada a la Liga que puede inscribir equipos en varias categorías al mismo tiempo. En la rama infantil, un club puede inscribir dos o más equipos en una misma categoría con nombres diferentes.</w:t>
            </w:r>
            <w:r/>
          </w:p>
        </w:tc>
        <w:tc>
          <w:tcPr>
            <w:tcBorders/>
            <w:tcW w:w="2000" w:type="dxa"/>
          </w:tcPr>
          <w:p>
            <w:pPr>
              <w:pStyle w:val="731"/>
              <w:pBdr/>
              <w:spacing/>
              <w:ind/>
              <w:rPr/>
            </w:pPr>
            <w:r>
              <w:t xml:space="preserve">REF-07, P13; REF-02, I-f</w:t>
            </w:r>
            <w:r/>
          </w:p>
        </w:tc>
      </w:tr>
      <w:tr>
        <w:trPr>
          <w:cantSplit/>
        </w:trPr>
        <w:tc>
          <w:tcPr>
            <w:shd w:val="clear" w:color="auto" w:fill="fafafc"/>
            <w:tcBorders/>
            <w:tcW w:w="2000" w:type="dxa"/>
          </w:tcPr>
          <w:p>
            <w:pPr>
              <w:pStyle w:val="731"/>
              <w:pBdr/>
              <w:spacing/>
              <w:ind/>
              <w:rPr/>
            </w:pPr>
            <w:r>
              <w:t xml:space="preserve">Club foráneo</w:t>
            </w:r>
            <w:r/>
          </w:p>
        </w:tc>
        <w:tc>
          <w:tcPr>
            <w:shd w:val="clear" w:color="auto" w:fill="fafafc"/>
            <w:tcBorders/>
            <w:tcW w:w="5404" w:type="dxa"/>
          </w:tcPr>
          <w:p>
            <w:pPr>
              <w:pStyle w:val="731"/>
              <w:pBdr/>
              <w:spacing/>
              <w:ind/>
              <w:rPr/>
            </w:pPr>
            <w:r>
              <w:t xml:space="preserve">Club con sede fuera de Morelia. Juega en su localidad hasta terminar el torneo de liga; las liguillas y los desempates se juegan en la U.D.C.</w:t>
            </w:r>
            <w:r/>
          </w:p>
        </w:tc>
        <w:tc>
          <w:tcPr>
            <w:shd w:val="clear" w:color="auto" w:fill="fafafc"/>
            <w:tcBorders/>
            <w:tcW w:w="2000" w:type="dxa"/>
          </w:tcPr>
          <w:p>
            <w:pPr>
              <w:pStyle w:val="731"/>
              <w:pBdr/>
              <w:spacing/>
              <w:ind/>
              <w:rPr/>
            </w:pPr>
            <w:r>
              <w:t xml:space="preserve">REF-01, X-e</w:t>
            </w:r>
            <w:r/>
          </w:p>
        </w:tc>
      </w:tr>
      <w:tr>
        <w:trPr>
          <w:cantSplit/>
        </w:trPr>
        <w:tc>
          <w:tcPr>
            <w:tcBorders/>
            <w:tcW w:w="2000" w:type="dxa"/>
          </w:tcPr>
          <w:p>
            <w:pPr>
              <w:pStyle w:val="731"/>
              <w:pBdr/>
              <w:spacing/>
              <w:ind/>
              <w:rPr/>
            </w:pPr>
            <w:r>
              <w:t xml:space="preserve">Presidente del club</w:t>
            </w:r>
            <w:r/>
          </w:p>
        </w:tc>
        <w:tc>
          <w:tcPr>
            <w:tcBorders/>
            <w:tcW w:w="5404" w:type="dxa"/>
          </w:tcPr>
          <w:p>
            <w:pPr>
              <w:pStyle w:val="731"/>
              <w:pBdr/>
              <w:spacing/>
              <w:ind/>
              <w:rPr/>
            </w:pPr>
            <w:r>
              <w:t xml:space="preserve">Propietario, fundador o máxima autoridad legal e institucional del club. Administra su presupuesto y asiste a las asambleas generales y a las votaciones de directiva.</w:t>
            </w:r>
            <w:r/>
          </w:p>
        </w:tc>
        <w:tc>
          <w:tcPr>
            <w:tcBorders/>
            <w:tcW w:w="2000" w:type="dxa"/>
          </w:tcPr>
          <w:p>
            <w:pPr>
              <w:pStyle w:val="731"/>
              <w:pBdr/>
              <w:spacing/>
              <w:ind/>
              <w:rPr/>
            </w:pPr>
            <w:r>
              <w:t xml:space="preserve">REF-07, P13</w:t>
            </w:r>
            <w:r/>
          </w:p>
        </w:tc>
      </w:tr>
      <w:tr>
        <w:trPr>
          <w:cantSplit/>
        </w:trPr>
        <w:tc>
          <w:tcPr>
            <w:shd w:val="clear" w:color="auto" w:fill="fafafc"/>
            <w:tcBorders/>
            <w:tcW w:w="2000" w:type="dxa"/>
          </w:tcPr>
          <w:p>
            <w:pPr>
              <w:pStyle w:val="731"/>
              <w:pBdr/>
              <w:spacing/>
              <w:ind/>
              <w:rPr/>
            </w:pPr>
            <w:r>
              <w:t xml:space="preserve">Delegado del club (titular o suplente)</w:t>
            </w:r>
            <w:r/>
          </w:p>
        </w:tc>
        <w:tc>
          <w:tcPr>
            <w:shd w:val="clear" w:color="auto" w:fill="fafafc"/>
            <w:tcBorders/>
            <w:tcW w:w="5404" w:type="dxa"/>
          </w:tcPr>
          <w:p>
            <w:pPr>
              <w:pStyle w:val="731"/>
              <w:pBdr/>
              <w:spacing/>
              <w:ind/>
              <w:rPr/>
            </w:pPr>
            <w:r>
              <w:t xml:space="preserve">Vínculo operativo y administrativo diario entre el club y la Liga: asiste a las reuniones sema</w:t>
            </w:r>
            <w:r>
              <w:t xml:space="preserve">nales, recolecta las cooperaciones de los jugadores, paga los arbitrajes, recoge las credenciales selladas, revisa los reportes arbitrales, recibe los horarios oficiales de la jornada y notifica las sanciones. En la rama infantil debe ser mayor de 18 años.</w:t>
            </w:r>
            <w:r/>
          </w:p>
        </w:tc>
        <w:tc>
          <w:tcPr>
            <w:shd w:val="clear" w:color="auto" w:fill="fafafc"/>
            <w:tcBorders/>
            <w:tcW w:w="2000" w:type="dxa"/>
          </w:tcPr>
          <w:p>
            <w:pPr>
              <w:pStyle w:val="731"/>
              <w:pBdr/>
              <w:spacing/>
              <w:ind/>
              <w:rPr/>
            </w:pPr>
            <w:r>
              <w:t xml:space="preserve">REF-07, P13; REF-02, I-d; REF-01, I-f</w:t>
            </w:r>
            <w:r/>
          </w:p>
        </w:tc>
      </w:tr>
      <w:tr>
        <w:trPr>
          <w:cantSplit/>
        </w:trPr>
        <w:tc>
          <w:tcPr>
            <w:tcBorders/>
            <w:tcW w:w="2000" w:type="dxa"/>
          </w:tcPr>
          <w:p>
            <w:pPr>
              <w:pStyle w:val="731"/>
              <w:pBdr/>
              <w:spacing/>
              <w:ind/>
              <w:rPr/>
            </w:pPr>
            <w:r>
              <w:t xml:space="preserve">Franquicia</w:t>
            </w:r>
            <w:r/>
          </w:p>
        </w:tc>
        <w:tc>
          <w:tcPr>
            <w:tcBorders/>
            <w:tcW w:w="5404" w:type="dxa"/>
          </w:tcPr>
          <w:p>
            <w:pPr>
              <w:pStyle w:val="731"/>
              <w:pBdr/>
              <w:spacing/>
              <w:ind/>
              <w:rPr/>
            </w:pPr>
            <w:r>
              <w:t xml:space="preserve">Derecho de un club a participar en una categoría. La convocatoria restringe su cesión, su adquisición y la fusión de clubes.</w:t>
            </w:r>
            <w:r/>
          </w:p>
        </w:tc>
        <w:tc>
          <w:tcPr>
            <w:tcBorders/>
            <w:tcW w:w="2000" w:type="dxa"/>
          </w:tcPr>
          <w:p>
            <w:pPr>
              <w:pStyle w:val="731"/>
              <w:pBdr/>
              <w:spacing/>
              <w:ind/>
              <w:rPr/>
            </w:pPr>
            <w:r>
              <w:t xml:space="preserve">REF-01, I-d, I-e y II-n</w:t>
            </w:r>
            <w:r/>
          </w:p>
        </w:tc>
      </w:tr>
      <w:tr>
        <w:trPr>
          <w:cantSplit/>
        </w:trPr>
        <w:tc>
          <w:tcPr>
            <w:shd w:val="clear" w:color="auto" w:fill="fafafc"/>
            <w:tcBorders/>
            <w:tcW w:w="2000" w:type="dxa"/>
          </w:tcPr>
          <w:p>
            <w:pPr>
              <w:pStyle w:val="731"/>
              <w:pBdr/>
              <w:spacing/>
              <w:ind/>
              <w:rPr/>
            </w:pPr>
            <w:r>
              <w:t xml:space="preserve">Fuerza</w:t>
            </w:r>
            <w:r/>
          </w:p>
        </w:tc>
        <w:tc>
          <w:tcPr>
            <w:shd w:val="clear" w:color="auto" w:fill="fafafc"/>
            <w:tcBorders/>
            <w:tcW w:w="5404" w:type="dxa"/>
          </w:tcPr>
          <w:p>
            <w:pPr>
              <w:pStyle w:val="731"/>
              <w:pBdr/>
              <w:spacing/>
              <w:ind/>
              <w:rPr/>
            </w:pPr>
            <w:r>
              <w:t xml:space="preserve">Término de la convocatoria equivalente a una categoría inscrita por un club (por ejemplo, «cuarta fuerza» o «clubes que tengan más de 5 fuerzas»).</w:t>
            </w:r>
            <w:r/>
          </w:p>
        </w:tc>
        <w:tc>
          <w:tcPr>
            <w:shd w:val="clear" w:color="auto" w:fill="fafafc"/>
            <w:tcBorders/>
            <w:tcW w:w="2000" w:type="dxa"/>
          </w:tcPr>
          <w:p>
            <w:pPr>
              <w:pStyle w:val="731"/>
              <w:pBdr/>
              <w:spacing/>
              <w:ind/>
              <w:rPr/>
            </w:pPr>
            <w:r>
              <w:t xml:space="preserve">REF-01</w:t>
            </w:r>
            <w:r/>
          </w:p>
        </w:tc>
      </w:tr>
    </w:tbl>
    <w:p>
      <w:pPr>
        <w:pBdr/>
        <w:spacing w:after="60" w:before="0"/>
        <w:ind/>
        <w:rPr/>
      </w:pPr>
      <w:r/>
      <w:r/>
    </w:p>
    <w:p>
      <w:pPr>
        <w:pStyle w:val="725"/>
        <w:pBdr/>
        <w:spacing/>
        <w:ind/>
        <w:rPr/>
      </w:pPr>
      <w:r/>
      <w:bookmarkStart w:id="18" w:name="_Toc100018"/>
      <w:r>
        <w:t xml:space="preserve">1.3.2 Competencia</w:t>
      </w:r>
      <w:bookmarkEnd w:id="18"/>
      <w:r/>
      <w:r/>
    </w:p>
    <w:p>
      <w:pPr>
        <w:pStyle w:val="732"/>
        <w:keepNext w:val="true"/>
        <w:pBdr/>
        <w:spacing/>
        <w:ind/>
        <w:rPr/>
      </w:pPr>
      <w:r>
        <w:rPr>
          <w:b/>
          <w:bCs/>
          <w:color w:val="241a61"/>
          <w:sz w:val="18"/>
          <w:szCs w:val="18"/>
        </w:rPr>
        <w:t xml:space="preserve">Tabla 10. </w:t>
      </w:r>
      <w:r>
        <w:rPr>
          <w:sz w:val="18"/>
          <w:szCs w:val="18"/>
        </w:rPr>
        <w:t xml:space="preserve">Términos de la competencia.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000"/>
        <w:gridCol w:w="5404"/>
        <w:gridCol w:w="2000"/>
      </w:tblGrid>
      <w:tr>
        <w:trPr>
          <w:cantSplit/>
          <w:tblHeader/>
        </w:trPr>
        <w:tc>
          <w:tcPr>
            <w:shd w:val="clear" w:color="auto" w:fill="241a61"/>
            <w:tcBorders/>
            <w:tcW w:w="2000" w:type="dxa"/>
            <w:vAlign w:val="center"/>
          </w:tcPr>
          <w:p>
            <w:pPr>
              <w:pStyle w:val="731"/>
              <w:pBdr/>
              <w:spacing/>
              <w:ind/>
              <w:rPr/>
            </w:pPr>
            <w:r>
              <w:rPr>
                <w:b/>
                <w:bCs/>
                <w:color w:val="ffffff"/>
              </w:rPr>
              <w:t xml:space="preserve">Término</w:t>
            </w:r>
            <w:r/>
          </w:p>
        </w:tc>
        <w:tc>
          <w:tcPr>
            <w:shd w:val="clear" w:color="auto" w:fill="241a61"/>
            <w:tcBorders/>
            <w:tcW w:w="5404" w:type="dxa"/>
            <w:vAlign w:val="center"/>
          </w:tcPr>
          <w:p>
            <w:pPr>
              <w:pStyle w:val="731"/>
              <w:pBdr/>
              <w:spacing/>
              <w:ind/>
              <w:rPr/>
            </w:pPr>
            <w:r>
              <w:rPr>
                <w:b/>
                <w:bCs/>
                <w:color w:val="ffffff"/>
              </w:rPr>
              <w:t xml:space="preserve">Definición</w:t>
            </w:r>
            <w:r/>
          </w:p>
        </w:tc>
        <w:tc>
          <w:tcPr>
            <w:shd w:val="clear" w:color="auto" w:fill="241a61"/>
            <w:tcBorders/>
            <w:tcW w:w="2000" w:type="dxa"/>
            <w:vAlign w:val="center"/>
          </w:tcPr>
          <w:p>
            <w:pPr>
              <w:pStyle w:val="731"/>
              <w:pBdr/>
              <w:spacing/>
              <w:ind/>
              <w:rPr/>
            </w:pPr>
            <w:r>
              <w:rPr>
                <w:b/>
                <w:bCs/>
                <w:color w:val="ffffff"/>
              </w:rPr>
              <w:t xml:space="preserve">Fuente</w:t>
            </w:r>
            <w:r/>
          </w:p>
        </w:tc>
      </w:tr>
      <w:tr>
        <w:trPr>
          <w:cantSplit/>
        </w:trPr>
        <w:tc>
          <w:tcPr>
            <w:tcBorders/>
            <w:tcW w:w="2000" w:type="dxa"/>
          </w:tcPr>
          <w:p>
            <w:pPr>
              <w:pStyle w:val="731"/>
              <w:pBdr/>
              <w:spacing/>
              <w:ind/>
              <w:rPr/>
            </w:pPr>
            <w:r>
              <w:t xml:space="preserve">Temporada</w:t>
            </w:r>
            <w:r/>
          </w:p>
        </w:tc>
        <w:tc>
          <w:tcPr>
            <w:tcBorders/>
            <w:tcW w:w="5404" w:type="dxa"/>
          </w:tcPr>
          <w:p>
            <w:pPr>
              <w:pStyle w:val="731"/>
              <w:pBdr/>
              <w:spacing/>
              <w:ind/>
              <w:rPr/>
            </w:pPr>
            <w:r>
              <w:t xml:space="preserve">Ciclo anual de competencia (por ejemplo, 2025–2026 o 2026–2027). La temporada oficial 2026–2027 inicia con el desfile inaugural del 8 de noviembre de 2026.</w:t>
            </w:r>
            <w:r/>
          </w:p>
        </w:tc>
        <w:tc>
          <w:tcPr>
            <w:tcBorders/>
            <w:tcW w:w="2000" w:type="dxa"/>
          </w:tcPr>
          <w:p>
            <w:pPr>
              <w:pStyle w:val="731"/>
              <w:pBdr/>
              <w:spacing/>
              <w:ind/>
              <w:rPr/>
            </w:pPr>
            <w:r>
              <w:t xml:space="preserve">REF-01, III; REF-07, P13</w:t>
            </w:r>
            <w:r/>
          </w:p>
        </w:tc>
      </w:tr>
      <w:tr>
        <w:trPr>
          <w:cantSplit/>
        </w:trPr>
        <w:tc>
          <w:tcPr>
            <w:shd w:val="clear" w:color="auto" w:fill="fafafc"/>
            <w:tcBorders/>
            <w:tcW w:w="2000" w:type="dxa"/>
          </w:tcPr>
          <w:p>
            <w:pPr>
              <w:pStyle w:val="731"/>
              <w:pBdr/>
              <w:spacing/>
              <w:ind/>
              <w:rPr/>
            </w:pPr>
            <w:r>
              <w:t xml:space="preserve">Temporada oficial</w:t>
            </w:r>
            <w:r/>
          </w:p>
        </w:tc>
        <w:tc>
          <w:tcPr>
            <w:shd w:val="clear" w:color="auto" w:fill="fafafc"/>
            <w:tcBorders/>
            <w:tcW w:w="5404" w:type="dxa"/>
          </w:tcPr>
          <w:p>
            <w:pPr>
              <w:pStyle w:val="731"/>
              <w:pBdr/>
              <w:spacing/>
              <w:ind/>
              <w:rPr/>
            </w:pPr>
            <w:r>
              <w:t xml:space="preserve">Conjunto de torneos obligatorios para todos los clubes: torneo de liga, liguilla, campeón de campeones y goleo.</w:t>
            </w:r>
            <w:r/>
          </w:p>
        </w:tc>
        <w:tc>
          <w:tcPr>
            <w:shd w:val="clear" w:color="auto" w:fill="fafafc"/>
            <w:tcBorders/>
            <w:tcW w:w="2000" w:type="dxa"/>
          </w:tcPr>
          <w:p>
            <w:pPr>
              <w:pStyle w:val="731"/>
              <w:pBdr/>
              <w:spacing/>
              <w:ind/>
              <w:rPr/>
            </w:pPr>
            <w:r>
              <w:t xml:space="preserve">REF-01, IV</w:t>
            </w:r>
            <w:r/>
          </w:p>
        </w:tc>
      </w:tr>
      <w:tr>
        <w:trPr>
          <w:cantSplit/>
        </w:trPr>
        <w:tc>
          <w:tcPr>
            <w:tcBorders/>
            <w:tcW w:w="2000" w:type="dxa"/>
          </w:tcPr>
          <w:p>
            <w:pPr>
              <w:pStyle w:val="731"/>
              <w:pBdr/>
              <w:spacing/>
              <w:ind/>
              <w:rPr/>
            </w:pPr>
            <w:r>
              <w:t xml:space="preserve">Convocatoria</w:t>
            </w:r>
            <w:r/>
          </w:p>
        </w:tc>
        <w:tc>
          <w:tcPr>
            <w:tcBorders/>
            <w:tcW w:w="5404" w:type="dxa"/>
          </w:tcPr>
          <w:p>
            <w:pPr>
              <w:pStyle w:val="731"/>
              <w:pBdr/>
              <w:spacing/>
              <w:ind/>
              <w:rPr/>
            </w:pPr>
            <w:r>
              <w:t xml:space="preserve">Documento normativo que la Liga emite para cada temporada y rama. Fija fechas de inscripción, categorías, requisitos, aportaciones, ascensos, descensos y premiación.</w:t>
            </w:r>
            <w:r/>
          </w:p>
        </w:tc>
        <w:tc>
          <w:tcPr>
            <w:tcBorders/>
            <w:tcW w:w="2000" w:type="dxa"/>
          </w:tcPr>
          <w:p>
            <w:pPr>
              <w:pStyle w:val="731"/>
              <w:pBdr/>
              <w:spacing/>
              <w:ind/>
              <w:rPr/>
            </w:pPr>
            <w:r>
              <w:t xml:space="preserve">REF-01; REF-02</w:t>
            </w:r>
            <w:r/>
          </w:p>
        </w:tc>
      </w:tr>
      <w:tr>
        <w:trPr>
          <w:cantSplit/>
        </w:trPr>
        <w:tc>
          <w:tcPr>
            <w:shd w:val="clear" w:color="auto" w:fill="fafafc"/>
            <w:tcBorders/>
            <w:tcW w:w="2000" w:type="dxa"/>
          </w:tcPr>
          <w:p>
            <w:pPr>
              <w:pStyle w:val="731"/>
              <w:pBdr/>
              <w:spacing/>
              <w:ind/>
              <w:rPr/>
            </w:pPr>
            <w:r>
              <w:t xml:space="preserve">Reglamento interno</w:t>
            </w:r>
            <w:r/>
          </w:p>
        </w:tc>
        <w:tc>
          <w:tcPr>
            <w:shd w:val="clear" w:color="auto" w:fill="fafafc"/>
            <w:tcBorders/>
            <w:tcW w:w="5404" w:type="dxa"/>
          </w:tcPr>
          <w:p>
            <w:pPr>
              <w:pStyle w:val="731"/>
              <w:pBdr/>
              <w:spacing/>
              <w:ind/>
              <w:rPr/>
            </w:pPr>
            <w:r>
              <w:t xml:space="preserve">Reglamento de la Liga que cita la convocatoria (por ejemplo, arts. 70, 71, 82, 147 y 154). Documento no disponible: </w:t>
            </w:r>
            <w:r>
              <w:rPr>
                <w:b/>
                <w:bCs/>
                <w:color w:val="9c4a00"/>
                <w:shd w:val="clear" w:color="auto" w:fill="fff2cc"/>
              </w:rPr>
              <w:t xml:space="preserve">[POR DEFINIR]</w:t>
            </w:r>
            <w:r>
              <w:t xml:space="preserve">.</w:t>
            </w:r>
            <w:r/>
          </w:p>
        </w:tc>
        <w:tc>
          <w:tcPr>
            <w:shd w:val="clear" w:color="auto" w:fill="fafafc"/>
            <w:tcBorders/>
            <w:tcW w:w="2000" w:type="dxa"/>
          </w:tcPr>
          <w:p>
            <w:pPr>
              <w:pStyle w:val="731"/>
              <w:pBdr/>
              <w:spacing/>
              <w:ind/>
              <w:rPr/>
            </w:pPr>
            <w:r>
              <w:t xml:space="preserve">REF-01; REF-04</w:t>
            </w:r>
            <w:r/>
          </w:p>
        </w:tc>
      </w:tr>
      <w:tr>
        <w:trPr>
          <w:cantSplit/>
        </w:trPr>
        <w:tc>
          <w:tcPr>
            <w:tcBorders/>
            <w:tcW w:w="2000" w:type="dxa"/>
          </w:tcPr>
          <w:p>
            <w:pPr>
              <w:pStyle w:val="731"/>
              <w:pBdr/>
              <w:spacing/>
              <w:ind/>
              <w:rPr/>
            </w:pPr>
            <w:r>
              <w:t xml:space="preserve">Torneo de Liga</w:t>
            </w:r>
            <w:r/>
          </w:p>
        </w:tc>
        <w:tc>
          <w:tcPr>
            <w:tcBorders/>
            <w:tcW w:w="5404" w:type="dxa"/>
          </w:tcPr>
          <w:p>
            <w:pPr>
              <w:pStyle w:val="731"/>
              <w:pBdr/>
              <w:spacing/>
              <w:ind/>
              <w:rPr/>
            </w:pPr>
            <w:r>
              <w:t xml:space="preserve">Compe</w:t>
            </w:r>
            <w:r>
              <w:t xml:space="preserve">tencia larga de la temporada en la que los equipos se enfrentan todos contra todos y acumulan puntos jornada a jornada. Según la categoría y lo que disponga la directiva en cada ciclo, el campeonato se define por la tabla general o mediante una fase final.</w:t>
            </w:r>
            <w:r/>
          </w:p>
        </w:tc>
        <w:tc>
          <w:tcPr>
            <w:tcBorders/>
            <w:tcW w:w="2000" w:type="dxa"/>
          </w:tcPr>
          <w:p>
            <w:pPr>
              <w:pStyle w:val="731"/>
              <w:pBdr/>
              <w:spacing/>
              <w:ind/>
              <w:rPr/>
            </w:pPr>
            <w:r>
              <w:t xml:space="preserve">REF-07, P13</w:t>
            </w:r>
            <w:r/>
          </w:p>
        </w:tc>
      </w:tr>
      <w:tr>
        <w:trPr>
          <w:cantSplit/>
        </w:trPr>
        <w:tc>
          <w:tcPr>
            <w:shd w:val="clear" w:color="auto" w:fill="fafafc"/>
            <w:tcBorders/>
            <w:tcW w:w="2000" w:type="dxa"/>
          </w:tcPr>
          <w:p>
            <w:pPr>
              <w:pStyle w:val="731"/>
              <w:pBdr/>
              <w:spacing/>
              <w:ind/>
              <w:rPr/>
            </w:pPr>
            <w:r>
              <w:t xml:space="preserve">Campeón de liga</w:t>
            </w:r>
            <w:r/>
          </w:p>
        </w:tc>
        <w:tc>
          <w:tcPr>
            <w:shd w:val="clear" w:color="auto" w:fill="fafafc"/>
            <w:tcBorders/>
            <w:tcW w:w="5404" w:type="dxa"/>
          </w:tcPr>
          <w:p>
            <w:pPr>
              <w:pStyle w:val="731"/>
              <w:pBdr/>
              <w:spacing/>
              <w:ind/>
              <w:rPr/>
            </w:pPr>
            <w:r>
              <w:t xml:space="preserve">Primer lugar de cada grupo en el torneo de liga. Juega contra el campeón de liguilla por el título de Campeón de Campeones.</w:t>
            </w:r>
            <w:r/>
          </w:p>
        </w:tc>
        <w:tc>
          <w:tcPr>
            <w:shd w:val="clear" w:color="auto" w:fill="fafafc"/>
            <w:tcBorders/>
            <w:tcW w:w="2000" w:type="dxa"/>
          </w:tcPr>
          <w:p>
            <w:pPr>
              <w:pStyle w:val="731"/>
              <w:pBdr/>
              <w:spacing/>
              <w:ind/>
              <w:rPr/>
            </w:pPr>
            <w:r>
              <w:t xml:space="preserve">REF-01, VII</w:t>
            </w:r>
            <w:r/>
          </w:p>
        </w:tc>
      </w:tr>
      <w:tr>
        <w:trPr>
          <w:cantSplit/>
        </w:trPr>
        <w:tc>
          <w:tcPr>
            <w:tcBorders/>
            <w:tcW w:w="2000" w:type="dxa"/>
          </w:tcPr>
          <w:p>
            <w:pPr>
              <w:pStyle w:val="731"/>
              <w:pBdr/>
              <w:spacing/>
              <w:ind/>
              <w:rPr/>
            </w:pPr>
            <w:r>
              <w:t xml:space="preserve">Liguilla</w:t>
            </w:r>
            <w:r/>
          </w:p>
        </w:tc>
        <w:tc>
          <w:tcPr>
            <w:tcBorders/>
            <w:tcW w:w="5404" w:type="dxa"/>
          </w:tcPr>
          <w:p>
            <w:pPr>
              <w:pStyle w:val="731"/>
              <w:pBdr/>
              <w:spacing/>
              <w:ind/>
              <w:rPr/>
            </w:pPr>
            <w:r>
              <w:t xml:space="preserve">Fase final que define al campeón y al subcampeón. En las ramas libre y de veteranos califican los 8 primeros lugares de cada grupo, que se enfrentan 1.° vs. 8.°, 2.° vs. 7.°, 3.° vs. 6.° y 4.° vs. 5.°, hasta la final. Formato de las rondas intermedias: </w:t>
            </w:r>
            <w:r>
              <w:rPr>
                <w:b/>
                <w:bCs/>
                <w:color w:val="9c4a00"/>
                <w:shd w:val="clear" w:color="auto" w:fill="fff2cc"/>
              </w:rPr>
              <w:t xml:space="preserve">[POR DEFINIR]</w:t>
            </w:r>
            <w:r>
              <w:t xml:space="preserve">. En la rama infantil, el sistema lo determina la Comisión de la Rama Infantil.</w:t>
            </w:r>
            <w:r/>
          </w:p>
        </w:tc>
        <w:tc>
          <w:tcPr>
            <w:tcBorders/>
            <w:tcW w:w="2000" w:type="dxa"/>
          </w:tcPr>
          <w:p>
            <w:pPr>
              <w:pStyle w:val="731"/>
              <w:pBdr/>
              <w:spacing/>
              <w:ind/>
              <w:rPr/>
            </w:pPr>
            <w:r>
              <w:t xml:space="preserve">REF-01, VII; REF-02, III</w:t>
            </w:r>
            <w:r/>
          </w:p>
        </w:tc>
      </w:tr>
      <w:tr>
        <w:trPr>
          <w:cantSplit/>
        </w:trPr>
        <w:tc>
          <w:tcPr>
            <w:shd w:val="clear" w:color="auto" w:fill="fafafc"/>
            <w:tcBorders/>
            <w:tcW w:w="2000" w:type="dxa"/>
          </w:tcPr>
          <w:p>
            <w:pPr>
              <w:pStyle w:val="731"/>
              <w:pBdr/>
              <w:spacing/>
              <w:ind/>
              <w:rPr/>
            </w:pPr>
            <w:r>
              <w:t xml:space="preserve">Campeón de Campeones</w:t>
            </w:r>
            <w:r/>
          </w:p>
        </w:tc>
        <w:tc>
          <w:tcPr>
            <w:shd w:val="clear" w:color="auto" w:fill="fafafc"/>
            <w:tcBorders/>
            <w:tcW w:w="5404" w:type="dxa"/>
          </w:tcPr>
          <w:p>
            <w:pPr>
              <w:pStyle w:val="731"/>
              <w:pBdr/>
              <w:spacing/>
              <w:ind/>
              <w:rPr/>
            </w:pPr>
            <w:r>
              <w:t xml:space="preserve">Encuentro definitivo entre los campeones de los certámenes de la temporada. En las ramas libre y de veteranos, lo juegan el campeón de liga y el campeón de liguilla.</w:t>
            </w:r>
            <w:r/>
          </w:p>
        </w:tc>
        <w:tc>
          <w:tcPr>
            <w:shd w:val="clear" w:color="auto" w:fill="fafafc"/>
            <w:tcBorders/>
            <w:tcW w:w="2000" w:type="dxa"/>
          </w:tcPr>
          <w:p>
            <w:pPr>
              <w:pStyle w:val="731"/>
              <w:pBdr/>
              <w:spacing/>
              <w:ind/>
              <w:rPr/>
            </w:pPr>
            <w:r>
              <w:t xml:space="preserve">REF-07, P13; REF-01, VII</w:t>
            </w:r>
            <w:r/>
          </w:p>
        </w:tc>
      </w:tr>
      <w:tr>
        <w:trPr>
          <w:cantSplit/>
        </w:trPr>
        <w:tc>
          <w:tcPr>
            <w:tcBorders/>
            <w:tcW w:w="2000" w:type="dxa"/>
          </w:tcPr>
          <w:p>
            <w:pPr>
              <w:pStyle w:val="731"/>
              <w:pBdr/>
              <w:spacing/>
              <w:ind/>
              <w:rPr/>
            </w:pPr>
            <w:r>
              <w:t xml:space="preserve">Torneo de Copa</w:t>
            </w:r>
            <w:r/>
          </w:p>
        </w:tc>
        <w:tc>
          <w:tcPr>
            <w:tcBorders/>
            <w:tcW w:w="5404" w:type="dxa"/>
          </w:tcPr>
          <w:p>
            <w:pPr>
              <w:pStyle w:val="731"/>
              <w:pBdr/>
              <w:spacing/>
              <w:ind/>
              <w:rPr/>
            </w:pPr>
            <w:r>
              <w:t xml:space="preserve">Certamen complementario que se juega de manera simultánea a la temporada regular. Una nota de prensa lo describe como opcional en 2025–2026.</w:t>
            </w:r>
            <w:r/>
          </w:p>
        </w:tc>
        <w:tc>
          <w:tcPr>
            <w:tcBorders/>
            <w:tcW w:w="2000" w:type="dxa"/>
          </w:tcPr>
          <w:p>
            <w:pPr>
              <w:pStyle w:val="731"/>
              <w:pBdr/>
              <w:spacing/>
              <w:ind/>
              <w:rPr/>
            </w:pPr>
            <w:r>
              <w:t xml:space="preserve">REF-07, P13; REF-14</w:t>
            </w:r>
            <w:r/>
          </w:p>
        </w:tc>
      </w:tr>
      <w:tr>
        <w:trPr>
          <w:cantSplit/>
        </w:trPr>
        <w:tc>
          <w:tcPr>
            <w:shd w:val="clear" w:color="auto" w:fill="fafafc"/>
            <w:tcBorders/>
            <w:tcW w:w="2000" w:type="dxa"/>
          </w:tcPr>
          <w:p>
            <w:pPr>
              <w:pStyle w:val="731"/>
              <w:pBdr/>
              <w:spacing/>
              <w:ind/>
              <w:rPr/>
            </w:pPr>
            <w:r>
              <w:t xml:space="preserve">Torneo de goleo (campeón de goleo)</w:t>
            </w:r>
            <w:r/>
          </w:p>
        </w:tc>
        <w:tc>
          <w:tcPr>
            <w:shd w:val="clear" w:color="auto" w:fill="fafafc"/>
            <w:tcBorders/>
            <w:tcW w:w="5404" w:type="dxa"/>
          </w:tcPr>
          <w:p>
            <w:pPr>
              <w:pStyle w:val="731"/>
              <w:pBdr/>
              <w:spacing/>
              <w:ind/>
              <w:rPr/>
            </w:pPr>
            <w:r>
              <w:t xml:space="preserve">Reconocimiento al máximo goleador de cada categoría en el torneo de liga.</w:t>
            </w:r>
            <w:r/>
          </w:p>
        </w:tc>
        <w:tc>
          <w:tcPr>
            <w:shd w:val="clear" w:color="auto" w:fill="fafafc"/>
            <w:tcBorders/>
            <w:tcW w:w="2000" w:type="dxa"/>
          </w:tcPr>
          <w:p>
            <w:pPr>
              <w:pStyle w:val="731"/>
              <w:pBdr/>
              <w:spacing/>
              <w:ind/>
              <w:rPr/>
            </w:pPr>
            <w:r>
              <w:t xml:space="preserve">REF-01, VIII-b; REF-02, IV-b</w:t>
            </w:r>
            <w:r/>
          </w:p>
        </w:tc>
      </w:tr>
      <w:tr>
        <w:trPr>
          <w:cantSplit/>
        </w:trPr>
        <w:tc>
          <w:tcPr>
            <w:tcBorders/>
            <w:tcW w:w="2000" w:type="dxa"/>
          </w:tcPr>
          <w:p>
            <w:pPr>
              <w:pStyle w:val="731"/>
              <w:pBdr/>
              <w:spacing/>
              <w:ind/>
              <w:rPr/>
            </w:pPr>
            <w:r>
              <w:t xml:space="preserve">Campeón alterno</w:t>
            </w:r>
            <w:r/>
          </w:p>
        </w:tc>
        <w:tc>
          <w:tcPr>
            <w:tcBorders/>
            <w:tcW w:w="5404" w:type="dxa"/>
          </w:tcPr>
          <w:p>
            <w:pPr>
              <w:pStyle w:val="731"/>
              <w:pBdr/>
              <w:spacing/>
              <w:ind/>
              <w:rPr/>
            </w:pPr>
            <w:r>
              <w:t xml:space="preserve">Premiación de campeón y subcampeón «alterno» en la rama infantil. Definición: </w:t>
            </w:r>
            <w:r>
              <w:rPr>
                <w:b/>
                <w:bCs/>
                <w:color w:val="9c4a00"/>
                <w:shd w:val="clear" w:color="auto" w:fill="fff2cc"/>
              </w:rPr>
              <w:t xml:space="preserve">[POR DEFINIR]</w:t>
            </w:r>
            <w:r>
              <w:t xml:space="preserve">.</w:t>
            </w:r>
            <w:r/>
          </w:p>
        </w:tc>
        <w:tc>
          <w:tcPr>
            <w:tcBorders/>
            <w:tcW w:w="2000" w:type="dxa"/>
          </w:tcPr>
          <w:p>
            <w:pPr>
              <w:pStyle w:val="731"/>
              <w:pBdr/>
              <w:spacing/>
              <w:ind/>
              <w:rPr/>
            </w:pPr>
            <w:r>
              <w:t xml:space="preserve">REF-02, IV-c</w:t>
            </w:r>
            <w:r/>
          </w:p>
        </w:tc>
      </w:tr>
      <w:tr>
        <w:trPr>
          <w:cantSplit/>
        </w:trPr>
        <w:tc>
          <w:tcPr>
            <w:shd w:val="clear" w:color="auto" w:fill="fafafc"/>
            <w:tcBorders/>
            <w:tcW w:w="2000" w:type="dxa"/>
          </w:tcPr>
          <w:p>
            <w:pPr>
              <w:pStyle w:val="731"/>
              <w:pBdr/>
              <w:spacing/>
              <w:ind/>
              <w:rPr/>
            </w:pPr>
            <w:r>
              <w:t xml:space="preserve">Torneos especiales</w:t>
            </w:r>
            <w:r/>
          </w:p>
        </w:tc>
        <w:tc>
          <w:tcPr>
            <w:shd w:val="clear" w:color="auto" w:fill="fafafc"/>
            <w:tcBorders/>
            <w:tcW w:w="5404" w:type="dxa"/>
          </w:tcPr>
          <w:p>
            <w:pPr>
              <w:pStyle w:val="731"/>
              <w:pBdr/>
              <w:spacing/>
              <w:ind/>
              <w:rPr/>
            </w:pPr>
            <w:r>
              <w:t xml:space="preserve">Convocatorias espec</w:t>
            </w:r>
            <w:r>
              <w:t xml:space="preserve">iales en recesos o durante el año, como los torneos de verano (por ejemplo, el «5.º Torneo de Verano 2026» de la rama infantil) o el Torneo de Interdependencias, que se juega entre semana con trabajadores de dependencias de gobierno, sindicatos y empresas.</w:t>
            </w:r>
            <w:r/>
          </w:p>
        </w:tc>
        <w:tc>
          <w:tcPr>
            <w:shd w:val="clear" w:color="auto" w:fill="fafafc"/>
            <w:tcBorders/>
            <w:tcW w:w="2000" w:type="dxa"/>
          </w:tcPr>
          <w:p>
            <w:pPr>
              <w:pStyle w:val="731"/>
              <w:pBdr/>
              <w:spacing/>
              <w:ind/>
              <w:rPr/>
            </w:pPr>
            <w:r>
              <w:t xml:space="preserve">REF-07, P13 y P21; REF-03</w:t>
            </w:r>
            <w:r/>
          </w:p>
        </w:tc>
      </w:tr>
      <w:tr>
        <w:trPr>
          <w:cantSplit/>
        </w:trPr>
        <w:tc>
          <w:tcPr>
            <w:tcBorders/>
            <w:tcW w:w="2000" w:type="dxa"/>
          </w:tcPr>
          <w:p>
            <w:pPr>
              <w:pStyle w:val="731"/>
              <w:pBdr/>
              <w:spacing/>
              <w:ind/>
              <w:rPr/>
            </w:pPr>
            <w:r>
              <w:t xml:space="preserve">Rama</w:t>
            </w:r>
            <w:r/>
          </w:p>
        </w:tc>
        <w:tc>
          <w:tcPr>
            <w:tcBorders/>
            <w:tcW w:w="5404" w:type="dxa"/>
          </w:tcPr>
          <w:p>
            <w:pPr>
              <w:pStyle w:val="731"/>
              <w:pBdr/>
              <w:spacing/>
              <w:ind/>
              <w:rPr/>
            </w:pPr>
            <w:r>
              <w:t xml:space="preserve">Agrupación de categorías: libre (mayores de 18 años), veteranos, femenil e infantil.</w:t>
            </w:r>
            <w:r/>
          </w:p>
        </w:tc>
        <w:tc>
          <w:tcPr>
            <w:tcBorders/>
            <w:tcW w:w="2000" w:type="dxa"/>
          </w:tcPr>
          <w:p>
            <w:pPr>
              <w:pStyle w:val="731"/>
              <w:pBdr/>
              <w:spacing/>
              <w:ind/>
              <w:rPr/>
            </w:pPr>
            <w:r>
              <w:t xml:space="preserve">REF-07, P13; REF-01; REF-02</w:t>
            </w:r>
            <w:r/>
          </w:p>
        </w:tc>
      </w:tr>
      <w:tr>
        <w:trPr>
          <w:cantSplit/>
        </w:trPr>
        <w:tc>
          <w:tcPr>
            <w:shd w:val="clear" w:color="auto" w:fill="fafafc"/>
            <w:tcBorders/>
            <w:tcW w:w="2000" w:type="dxa"/>
          </w:tcPr>
          <w:p>
            <w:pPr>
              <w:pStyle w:val="731"/>
              <w:pBdr/>
              <w:spacing/>
              <w:ind/>
              <w:rPr/>
            </w:pPr>
            <w:r>
              <w:t xml:space="preserve">Categoría</w:t>
            </w:r>
            <w:r/>
          </w:p>
        </w:tc>
        <w:tc>
          <w:tcPr>
            <w:shd w:val="clear" w:color="auto" w:fill="fafafc"/>
            <w:tcBorders/>
            <w:tcW w:w="5404" w:type="dxa"/>
          </w:tcPr>
          <w:p>
            <w:pPr>
              <w:pStyle w:val="731"/>
              <w:pBdr/>
              <w:spacing/>
              <w:ind/>
              <w:rPr/>
            </w:pPr>
            <w:r>
              <w:t xml:space="preserve">División de competencia definida por nivel deportivo (fuerza) o por año de nacimiento de los jugadores. Ver 1.3.3.</w:t>
            </w:r>
            <w:r/>
          </w:p>
        </w:tc>
        <w:tc>
          <w:tcPr>
            <w:shd w:val="clear" w:color="auto" w:fill="fafafc"/>
            <w:tcBorders/>
            <w:tcW w:w="2000" w:type="dxa"/>
          </w:tcPr>
          <w:p>
            <w:pPr>
              <w:pStyle w:val="731"/>
              <w:pBdr/>
              <w:spacing/>
              <w:ind/>
              <w:rPr/>
            </w:pPr>
            <w:r>
              <w:t xml:space="preserve">REF-01; REF-02</w:t>
            </w:r>
            <w:r/>
          </w:p>
        </w:tc>
      </w:tr>
      <w:tr>
        <w:trPr>
          <w:cantSplit/>
        </w:trPr>
        <w:tc>
          <w:tcPr>
            <w:tcBorders/>
            <w:tcW w:w="2000" w:type="dxa"/>
          </w:tcPr>
          <w:p>
            <w:pPr>
              <w:pStyle w:val="731"/>
              <w:pBdr/>
              <w:spacing/>
              <w:ind/>
              <w:rPr/>
            </w:pPr>
            <w:r>
              <w:t xml:space="preserve">Grupo</w:t>
            </w:r>
            <w:r/>
          </w:p>
        </w:tc>
        <w:tc>
          <w:tcPr>
            <w:tcBorders/>
            <w:tcW w:w="5404" w:type="dxa"/>
          </w:tcPr>
          <w:p>
            <w:pPr>
              <w:pStyle w:val="731"/>
              <w:pBdr/>
              <w:spacing/>
              <w:ind/>
              <w:rPr/>
            </w:pPr>
            <w:r>
              <w:t xml:space="preserve">Subdivisión de una categoría. La clasificación a liguilla, los ascensos y los descensos se determinan por grupo.</w:t>
            </w:r>
            <w:r/>
          </w:p>
        </w:tc>
        <w:tc>
          <w:tcPr>
            <w:tcBorders/>
            <w:tcW w:w="2000" w:type="dxa"/>
          </w:tcPr>
          <w:p>
            <w:pPr>
              <w:pStyle w:val="731"/>
              <w:pBdr/>
              <w:spacing/>
              <w:ind/>
              <w:rPr/>
            </w:pPr>
            <w:r>
              <w:t xml:space="preserve">REF-01, V–VII</w:t>
            </w:r>
            <w:r/>
          </w:p>
        </w:tc>
      </w:tr>
      <w:tr>
        <w:trPr>
          <w:cantSplit/>
        </w:trPr>
        <w:tc>
          <w:tcPr>
            <w:shd w:val="clear" w:color="auto" w:fill="fafafc"/>
            <w:tcBorders/>
            <w:tcW w:w="2000" w:type="dxa"/>
          </w:tcPr>
          <w:p>
            <w:pPr>
              <w:pStyle w:val="731"/>
              <w:pBdr/>
              <w:spacing/>
              <w:ind/>
              <w:rPr/>
            </w:pPr>
            <w:r>
              <w:t xml:space="preserve">Ascenso</w:t>
            </w:r>
            <w:r/>
          </w:p>
        </w:tc>
        <w:tc>
          <w:tcPr>
            <w:shd w:val="clear" w:color="auto" w:fill="fafafc"/>
            <w:tcBorders/>
            <w:tcW w:w="5404" w:type="dxa"/>
          </w:tcPr>
          <w:p>
            <w:pPr>
              <w:pStyle w:val="731"/>
              <w:pBdr/>
              <w:spacing/>
              <w:ind/>
              <w:rPr/>
            </w:pPr>
            <w:r>
              <w:t xml:space="preserve">Paso de un equipo a la categoría superior. Ascienden el campeón y el subcampeón de liguilla de cada grupo; en Juvenil, solo el primer lugar.</w:t>
            </w:r>
            <w:r/>
          </w:p>
        </w:tc>
        <w:tc>
          <w:tcPr>
            <w:shd w:val="clear" w:color="auto" w:fill="fafafc"/>
            <w:tcBorders/>
            <w:tcW w:w="2000" w:type="dxa"/>
          </w:tcPr>
          <w:p>
            <w:pPr>
              <w:pStyle w:val="731"/>
              <w:pBdr/>
              <w:spacing/>
              <w:ind/>
              <w:rPr/>
            </w:pPr>
            <w:r>
              <w:t xml:space="preserve">REF-01, V</w:t>
            </w:r>
            <w:r/>
          </w:p>
        </w:tc>
      </w:tr>
      <w:tr>
        <w:trPr>
          <w:cantSplit/>
        </w:trPr>
        <w:tc>
          <w:tcPr>
            <w:tcBorders/>
            <w:tcW w:w="2000" w:type="dxa"/>
          </w:tcPr>
          <w:p>
            <w:pPr>
              <w:pStyle w:val="731"/>
              <w:pBdr/>
              <w:spacing/>
              <w:ind/>
              <w:rPr/>
            </w:pPr>
            <w:r>
              <w:t xml:space="preserve">Descenso</w:t>
            </w:r>
            <w:r/>
          </w:p>
        </w:tc>
        <w:tc>
          <w:tcPr>
            <w:tcBorders/>
            <w:tcW w:w="5404" w:type="dxa"/>
          </w:tcPr>
          <w:p>
            <w:pPr>
              <w:pStyle w:val="731"/>
              <w:pBdr/>
              <w:spacing/>
              <w:ind/>
              <w:rPr/>
            </w:pPr>
            <w:r>
              <w:t xml:space="preserve">Paso de un equipo a la categoría inferior: los 4 últimos lugares de Primera Especial y los 2 últimos de cada grupo en las demás categorías. En Cuarta Sábado, los 5 últimos lugares de cada grupo desaparecen.</w:t>
            </w:r>
            <w:r/>
          </w:p>
        </w:tc>
        <w:tc>
          <w:tcPr>
            <w:tcBorders/>
            <w:tcW w:w="2000" w:type="dxa"/>
          </w:tcPr>
          <w:p>
            <w:pPr>
              <w:pStyle w:val="731"/>
              <w:pBdr/>
              <w:spacing/>
              <w:ind/>
              <w:rPr/>
            </w:pPr>
            <w:r>
              <w:t xml:space="preserve">REF-01, VI</w:t>
            </w:r>
            <w:r/>
          </w:p>
        </w:tc>
      </w:tr>
      <w:tr>
        <w:trPr>
          <w:cantSplit/>
        </w:trPr>
        <w:tc>
          <w:tcPr>
            <w:shd w:val="clear" w:color="auto" w:fill="fafafc"/>
            <w:tcBorders/>
            <w:tcW w:w="2000" w:type="dxa"/>
          </w:tcPr>
          <w:p>
            <w:pPr>
              <w:pStyle w:val="731"/>
              <w:pBdr/>
              <w:spacing/>
              <w:ind/>
              <w:rPr/>
            </w:pPr>
            <w:r>
              <w:t xml:space="preserve">Jornada</w:t>
            </w:r>
            <w:r/>
          </w:p>
        </w:tc>
        <w:tc>
          <w:tcPr>
            <w:shd w:val="clear" w:color="auto" w:fill="fafafc"/>
            <w:tcBorders/>
            <w:tcW w:w="5404" w:type="dxa"/>
          </w:tcPr>
          <w:p>
            <w:pPr>
              <w:pStyle w:val="731"/>
              <w:pBdr/>
              <w:spacing/>
              <w:ind/>
              <w:rPr/>
            </w:pPr>
            <w:r>
              <w:t xml:space="preserve">Número de la ronda o semana del torneo; es un concepto de calendario deportivo.</w:t>
            </w:r>
            <w:r/>
          </w:p>
        </w:tc>
        <w:tc>
          <w:tcPr>
            <w:shd w:val="clear" w:color="auto" w:fill="fafafc"/>
            <w:tcBorders/>
            <w:tcW w:w="2000" w:type="dxa"/>
          </w:tcPr>
          <w:p>
            <w:pPr>
              <w:pStyle w:val="731"/>
              <w:pBdr/>
              <w:spacing/>
              <w:ind/>
              <w:rPr/>
            </w:pPr>
            <w:r>
              <w:t xml:space="preserve">REF-07, P13; REF-03</w:t>
            </w:r>
            <w:r/>
          </w:p>
        </w:tc>
      </w:tr>
      <w:tr>
        <w:trPr>
          <w:cantSplit/>
        </w:trPr>
        <w:tc>
          <w:tcPr>
            <w:tcBorders/>
            <w:tcW w:w="2000" w:type="dxa"/>
          </w:tcPr>
          <w:p>
            <w:pPr>
              <w:pStyle w:val="731"/>
              <w:pBdr/>
              <w:spacing/>
              <w:ind/>
              <w:rPr/>
            </w:pPr>
            <w:r>
              <w:t xml:space="preserve">Fecha</w:t>
            </w:r>
            <w:r/>
          </w:p>
        </w:tc>
        <w:tc>
          <w:tcPr>
            <w:tcBorders/>
            <w:tcW w:w="5404" w:type="dxa"/>
          </w:tcPr>
          <w:p>
            <w:pPr>
              <w:pStyle w:val="731"/>
              <w:pBdr/>
              <w:spacing/>
              <w:ind/>
              <w:rPr/>
            </w:pPr>
            <w:r>
              <w:t xml:space="preserve">Día exacto (día, mes y año) en que se disputa un partido. Algunas publicaciones usan «Fecha N» como número de ronda (por ejemplo, «Programación Oficial Fecha 32»); este ERS usa «jornada» para la ronda y «fecha» para el día.</w:t>
            </w:r>
            <w:r/>
          </w:p>
        </w:tc>
        <w:tc>
          <w:tcPr>
            <w:tcBorders/>
            <w:tcW w:w="2000" w:type="dxa"/>
          </w:tcPr>
          <w:p>
            <w:pPr>
              <w:pStyle w:val="731"/>
              <w:pBdr/>
              <w:spacing/>
              <w:ind/>
              <w:rPr/>
            </w:pPr>
            <w:r>
              <w:t xml:space="preserve">REF-07, P13; REF-06, diap. 3</w:t>
            </w:r>
            <w:r/>
          </w:p>
        </w:tc>
      </w:tr>
      <w:tr>
        <w:trPr>
          <w:cantSplit/>
        </w:trPr>
        <w:tc>
          <w:tcPr>
            <w:shd w:val="clear" w:color="auto" w:fill="fafafc"/>
            <w:tcBorders/>
            <w:tcW w:w="2000" w:type="dxa"/>
          </w:tcPr>
          <w:p>
            <w:pPr>
              <w:pStyle w:val="731"/>
              <w:pBdr/>
              <w:spacing/>
              <w:ind/>
              <w:rPr/>
            </w:pPr>
            <w:r>
              <w:t xml:space="preserve">Programación oficial (rol de juego)</w:t>
            </w:r>
            <w:r/>
          </w:p>
        </w:tc>
        <w:tc>
          <w:tcPr>
            <w:shd w:val="clear" w:color="auto" w:fill="fafafc"/>
            <w:tcBorders/>
            <w:tcW w:w="5404" w:type="dxa"/>
          </w:tcPr>
          <w:p>
            <w:pPr>
              <w:pStyle w:val="731"/>
              <w:pBdr/>
              <w:spacing/>
              <w:ind/>
              <w:rPr/>
            </w:pPr>
            <w:r>
              <w:t xml:space="preserve">Publicación de la Liga que asigna, por día, categoría y jornada, los partidos con su número, equipos, cancha, horario y árbitro. Incluye descansos, resultados por default y la duración de los tiempos de juego.</w:t>
            </w:r>
            <w:r/>
          </w:p>
        </w:tc>
        <w:tc>
          <w:tcPr>
            <w:shd w:val="clear" w:color="auto" w:fill="fafafc"/>
            <w:tcBorders/>
            <w:tcW w:w="2000" w:type="dxa"/>
          </w:tcPr>
          <w:p>
            <w:pPr>
              <w:pStyle w:val="731"/>
              <w:pBdr/>
              <w:spacing/>
              <w:ind/>
              <w:rPr/>
            </w:pPr>
            <w:r>
              <w:t xml:space="preserve">REF-03; REF-07, P18</w:t>
            </w:r>
            <w:r/>
          </w:p>
        </w:tc>
      </w:tr>
      <w:tr>
        <w:trPr>
          <w:cantSplit/>
        </w:trPr>
        <w:tc>
          <w:tcPr>
            <w:tcBorders/>
            <w:tcW w:w="2000" w:type="dxa"/>
          </w:tcPr>
          <w:p>
            <w:pPr>
              <w:pStyle w:val="731"/>
              <w:pBdr/>
              <w:spacing/>
              <w:ind/>
              <w:rPr/>
            </w:pPr>
            <w:r>
              <w:t xml:space="preserve">Sábana de programación</w:t>
            </w:r>
            <w:r/>
          </w:p>
        </w:tc>
        <w:tc>
          <w:tcPr>
            <w:tcBorders/>
            <w:tcW w:w="5404" w:type="dxa"/>
          </w:tcPr>
          <w:p>
            <w:pPr>
              <w:pStyle w:val="731"/>
              <w:pBdr/>
              <w:spacing/>
              <w:ind/>
              <w:rPr/>
            </w:pPr>
            <w:r>
              <w:t xml:space="preserve">Programación oficial en formato imagen o PDF que la directiva entrega a los portales locales para su difusión.</w:t>
            </w:r>
            <w:r/>
          </w:p>
        </w:tc>
        <w:tc>
          <w:tcPr>
            <w:tcBorders/>
            <w:tcW w:w="2000" w:type="dxa"/>
          </w:tcPr>
          <w:p>
            <w:pPr>
              <w:pStyle w:val="731"/>
              <w:pBdr/>
              <w:spacing/>
              <w:ind/>
              <w:rPr/>
            </w:pPr>
            <w:r>
              <w:t xml:space="preserve">REF-07, P18</w:t>
            </w:r>
            <w:r/>
          </w:p>
        </w:tc>
      </w:tr>
      <w:tr>
        <w:trPr>
          <w:cantSplit/>
        </w:trPr>
        <w:tc>
          <w:tcPr>
            <w:shd w:val="clear" w:color="auto" w:fill="fafafc"/>
            <w:tcBorders/>
            <w:tcW w:w="2000" w:type="dxa"/>
          </w:tcPr>
          <w:p>
            <w:pPr>
              <w:pStyle w:val="731"/>
              <w:pBdr/>
              <w:spacing/>
              <w:ind/>
              <w:rPr/>
            </w:pPr>
            <w:r>
              <w:t xml:space="preserve">Descansa</w:t>
            </w:r>
            <w:r/>
          </w:p>
        </w:tc>
        <w:tc>
          <w:tcPr>
            <w:shd w:val="clear" w:color="auto" w:fill="fafafc"/>
            <w:tcBorders/>
            <w:tcW w:w="5404" w:type="dxa"/>
          </w:tcPr>
          <w:p>
            <w:pPr>
              <w:pStyle w:val="731"/>
              <w:pBdr/>
              <w:spacing/>
              <w:ind/>
              <w:rPr/>
            </w:pPr>
            <w:r>
              <w:t xml:space="preserve">Indicación de que un equipo no tiene partido en la jornada.</w:t>
            </w:r>
            <w:r/>
          </w:p>
        </w:tc>
        <w:tc>
          <w:tcPr>
            <w:shd w:val="clear" w:color="auto" w:fill="fafafc"/>
            <w:tcBorders/>
            <w:tcW w:w="2000" w:type="dxa"/>
          </w:tcPr>
          <w:p>
            <w:pPr>
              <w:pStyle w:val="731"/>
              <w:pBdr/>
              <w:spacing/>
              <w:ind/>
              <w:rPr/>
            </w:pPr>
            <w:r>
              <w:t xml:space="preserve">REF-03</w:t>
            </w:r>
            <w:r/>
          </w:p>
        </w:tc>
      </w:tr>
      <w:tr>
        <w:trPr>
          <w:cantSplit/>
        </w:trPr>
        <w:tc>
          <w:tcPr>
            <w:tcBorders/>
            <w:tcW w:w="2000" w:type="dxa"/>
          </w:tcPr>
          <w:p>
            <w:pPr>
              <w:pStyle w:val="731"/>
              <w:pBdr/>
              <w:spacing/>
              <w:ind/>
              <w:rPr/>
            </w:pPr>
            <w:r>
              <w:t xml:space="preserve">Partido reprogramado</w:t>
            </w:r>
            <w:r/>
          </w:p>
        </w:tc>
        <w:tc>
          <w:tcPr>
            <w:tcBorders/>
            <w:tcW w:w="5404" w:type="dxa"/>
          </w:tcPr>
          <w:p>
            <w:pPr>
              <w:pStyle w:val="731"/>
              <w:pBdr/>
              <w:spacing/>
              <w:ind/>
              <w:rPr/>
            </w:pPr>
            <w:r>
              <w:t xml:space="preserve">Partido suspendido (por ejemplo, por tormentas, inundación de canchas o fuerza mayor) que la directiva vuelve a programar, habitualmente entre semana por la tarde, previo acuerdo de los delegados.</w:t>
            </w:r>
            <w:r/>
          </w:p>
        </w:tc>
        <w:tc>
          <w:tcPr>
            <w:tcBorders/>
            <w:tcW w:w="2000" w:type="dxa"/>
          </w:tcPr>
          <w:p>
            <w:pPr>
              <w:pStyle w:val="731"/>
              <w:pBdr/>
              <w:spacing/>
              <w:ind/>
              <w:rPr/>
            </w:pPr>
            <w:r>
              <w:t xml:space="preserve">REF-07, P21</w:t>
            </w:r>
            <w:r/>
          </w:p>
        </w:tc>
      </w:tr>
      <w:tr>
        <w:trPr>
          <w:cantSplit/>
        </w:trPr>
        <w:tc>
          <w:tcPr>
            <w:shd w:val="clear" w:color="auto" w:fill="fafafc"/>
            <w:tcBorders/>
            <w:tcW w:w="2000" w:type="dxa"/>
          </w:tcPr>
          <w:p>
            <w:pPr>
              <w:pStyle w:val="731"/>
              <w:pBdr/>
              <w:spacing/>
              <w:ind/>
              <w:rPr/>
            </w:pPr>
            <w:r>
              <w:t xml:space="preserve">«Ya terminó»</w:t>
            </w:r>
            <w:r/>
          </w:p>
        </w:tc>
        <w:tc>
          <w:tcPr>
            <w:shd w:val="clear" w:color="auto" w:fill="fafafc"/>
            <w:tcBorders/>
            <w:tcW w:w="5404" w:type="dxa"/>
          </w:tcPr>
          <w:p>
            <w:pPr>
              <w:pStyle w:val="731"/>
              <w:pBdr/>
              <w:spacing/>
              <w:ind/>
              <w:rPr/>
            </w:pPr>
            <w:r>
              <w:t xml:space="preserve">Anotación en la programación que indica que el partido ya se jugó y finalizó.</w:t>
            </w:r>
            <w:r/>
          </w:p>
        </w:tc>
        <w:tc>
          <w:tcPr>
            <w:shd w:val="clear" w:color="auto" w:fill="fafafc"/>
            <w:tcBorders/>
            <w:tcW w:w="2000" w:type="dxa"/>
          </w:tcPr>
          <w:p>
            <w:pPr>
              <w:pStyle w:val="731"/>
              <w:pBdr/>
              <w:spacing/>
              <w:ind/>
              <w:rPr/>
            </w:pPr>
            <w:r>
              <w:t xml:space="preserve">REF-07, P13</w:t>
            </w:r>
            <w:r/>
          </w:p>
        </w:tc>
      </w:tr>
      <w:tr>
        <w:trPr>
          <w:cantSplit/>
        </w:trPr>
        <w:tc>
          <w:tcPr>
            <w:tcBorders/>
            <w:tcW w:w="2000" w:type="dxa"/>
          </w:tcPr>
          <w:p>
            <w:pPr>
              <w:pStyle w:val="731"/>
              <w:pBdr/>
              <w:spacing/>
              <w:ind/>
              <w:rPr/>
            </w:pPr>
            <w:r>
              <w:t xml:space="preserve">Resultado por default</w:t>
            </w:r>
            <w:r/>
          </w:p>
        </w:tc>
        <w:tc>
          <w:tcPr>
            <w:tcBorders/>
            <w:tcW w:w="5404" w:type="dxa"/>
          </w:tcPr>
          <w:p>
            <w:pPr>
              <w:pStyle w:val="731"/>
              <w:pBdr/>
              <w:spacing/>
              <w:ind/>
              <w:rPr/>
            </w:pPr>
            <w:r>
              <w:t xml:space="preserve">Victoria que se otorga sin disputar el partido. En la programación aparece como «PIERDE [equipo]» seguido del motivo (por ejemplo, «ART. 103-E» o «PPP»). El ganador recibe los tres puntos y debe pagar su arbitraje. Catálogo de motivos: </w:t>
            </w:r>
            <w:r>
              <w:rPr>
                <w:b/>
                <w:bCs/>
                <w:color w:val="9c4a00"/>
                <w:shd w:val="clear" w:color="auto" w:fill="fff2cc"/>
              </w:rPr>
              <w:t xml:space="preserve">[POR DEFINIR]</w:t>
            </w:r>
            <w:r>
              <w:t xml:space="preserve">.</w:t>
            </w:r>
            <w:r/>
          </w:p>
        </w:tc>
        <w:tc>
          <w:tcPr>
            <w:tcBorders/>
            <w:tcW w:w="2000" w:type="dxa"/>
          </w:tcPr>
          <w:p>
            <w:pPr>
              <w:pStyle w:val="731"/>
              <w:pBdr/>
              <w:spacing/>
              <w:ind/>
              <w:rPr/>
            </w:pPr>
            <w:r>
              <w:t xml:space="preserve">REF-03; REF-01, nota de X</w:t>
            </w:r>
            <w:r/>
          </w:p>
        </w:tc>
      </w:tr>
      <w:tr>
        <w:trPr>
          <w:cantSplit/>
        </w:trPr>
        <w:tc>
          <w:tcPr>
            <w:shd w:val="clear" w:color="auto" w:fill="fafafc"/>
            <w:tcBorders/>
            <w:tcW w:w="2000" w:type="dxa"/>
          </w:tcPr>
          <w:p>
            <w:pPr>
              <w:pStyle w:val="731"/>
              <w:pBdr/>
              <w:spacing/>
              <w:ind/>
              <w:rPr/>
            </w:pPr>
            <w:r>
              <w:t xml:space="preserve">Cambio o sustitución</w:t>
            </w:r>
            <w:r/>
          </w:p>
        </w:tc>
        <w:tc>
          <w:tcPr>
            <w:shd w:val="clear" w:color="auto" w:fill="fafafc"/>
            <w:tcBorders/>
            <w:tcW w:w="5404" w:type="dxa"/>
          </w:tcPr>
          <w:p>
            <w:pPr>
              <w:pStyle w:val="731"/>
              <w:pBdr/>
              <w:spacing/>
              <w:ind/>
              <w:rPr/>
            </w:pPr>
            <w:r>
              <w:t xml:space="preserve">Reemplazo de un jugador durante </w:t>
            </w:r>
            <w:r>
              <w:t xml:space="preserve">el partido. El número permitido varía por categoría: 9 de Primera Especial a Juvenil; 8 en Veteranos Libre; 9 en Veteranos Especiales; sin límite y con reingreso en Masters, Premier, Diamante, Dorado y Platino; ilimitados con reingreso en la rama infantil.</w:t>
            </w:r>
            <w:r/>
          </w:p>
        </w:tc>
        <w:tc>
          <w:tcPr>
            <w:shd w:val="clear" w:color="auto" w:fill="fafafc"/>
            <w:tcBorders/>
            <w:tcW w:w="2000" w:type="dxa"/>
          </w:tcPr>
          <w:p>
            <w:pPr>
              <w:pStyle w:val="731"/>
              <w:pBdr/>
              <w:spacing/>
              <w:ind/>
              <w:rPr/>
            </w:pPr>
            <w:r>
              <w:t xml:space="preserve">REF-01, X; REF-02, II-e; REF-03</w:t>
            </w:r>
            <w:r/>
          </w:p>
        </w:tc>
      </w:tr>
      <w:tr>
        <w:trPr>
          <w:cantSplit/>
        </w:trPr>
        <w:tc>
          <w:tcPr>
            <w:tcBorders/>
            <w:tcW w:w="2000" w:type="dxa"/>
          </w:tcPr>
          <w:p>
            <w:pPr>
              <w:pStyle w:val="731"/>
              <w:pBdr/>
              <w:spacing/>
              <w:ind/>
              <w:rPr/>
            </w:pPr>
            <w:r>
              <w:t xml:space="preserve">Desfile inaugural</w:t>
            </w:r>
            <w:r/>
          </w:p>
        </w:tc>
        <w:tc>
          <w:tcPr>
            <w:tcBorders/>
            <w:tcW w:w="5404" w:type="dxa"/>
          </w:tcPr>
          <w:p>
            <w:pPr>
              <w:pStyle w:val="731"/>
              <w:pBdr/>
              <w:spacing/>
              <w:ind/>
              <w:rPr/>
            </w:pPr>
            <w:r>
              <w:t xml:space="preserve">Acto de apertura de la temporada oficial: 8 de noviembre de 2026, 10:00 h, campo «Félix Cerda Loza».</w:t>
            </w:r>
            <w:r/>
          </w:p>
        </w:tc>
        <w:tc>
          <w:tcPr>
            <w:tcBorders/>
            <w:tcW w:w="2000" w:type="dxa"/>
          </w:tcPr>
          <w:p>
            <w:pPr>
              <w:pStyle w:val="731"/>
              <w:pBdr/>
              <w:spacing/>
              <w:ind/>
              <w:rPr/>
            </w:pPr>
            <w:r>
              <w:t xml:space="preserve">REF-01, III; REF-02, VI</w:t>
            </w:r>
            <w:r/>
          </w:p>
        </w:tc>
      </w:tr>
    </w:tbl>
    <w:p>
      <w:pPr>
        <w:pBdr/>
        <w:spacing w:after="60" w:before="0"/>
        <w:ind/>
        <w:rPr/>
      </w:pPr>
      <w:r/>
      <w:r/>
    </w:p>
    <w:p>
      <w:pPr>
        <w:pStyle w:val="725"/>
        <w:pBdr/>
        <w:spacing/>
        <w:ind/>
        <w:rPr/>
      </w:pPr>
      <w:r/>
      <w:bookmarkStart w:id="19" w:name="_Toc100019"/>
      <w:r>
        <w:t xml:space="preserve">1.3.3 Categorías</w:t>
      </w:r>
      <w:bookmarkEnd w:id="19"/>
      <w:r/>
      <w:r/>
    </w:p>
    <w:p>
      <w:pPr>
        <w:pBdr/>
        <w:spacing/>
        <w:ind/>
        <w:rPr/>
      </w:pPr>
      <w:r>
        <w:t xml:space="preserve">La tabla resume las categorías que nombran las convocatorias 2026–2027 y su criterio de edad. Los años de nacimiento se transcriben tal como aparecen en cada convocatoria.</w:t>
      </w:r>
      <w:r/>
    </w:p>
    <w:p>
      <w:pPr>
        <w:pStyle w:val="732"/>
        <w:keepNext w:val="true"/>
        <w:pBdr/>
        <w:spacing/>
        <w:ind/>
        <w:rPr/>
      </w:pPr>
      <w:r>
        <w:rPr>
          <w:b/>
          <w:bCs/>
          <w:color w:val="241a61"/>
          <w:sz w:val="18"/>
          <w:szCs w:val="18"/>
        </w:rPr>
        <w:t xml:space="preserve">Tabla 11. </w:t>
      </w:r>
      <w:r>
        <w:rPr>
          <w:sz w:val="18"/>
          <w:szCs w:val="18"/>
        </w:rPr>
        <w:t xml:space="preserve">Categorías de la temporada 2026–2027.</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300"/>
        <w:gridCol w:w="2200"/>
        <w:gridCol w:w="2400"/>
        <w:gridCol w:w="3504"/>
      </w:tblGrid>
      <w:tr>
        <w:trPr>
          <w:cantSplit/>
          <w:tblHeader/>
        </w:trPr>
        <w:tc>
          <w:tcPr>
            <w:shd w:val="clear" w:color="auto" w:fill="241a61"/>
            <w:tcBorders/>
            <w:tcW w:w="1300" w:type="dxa"/>
            <w:vAlign w:val="center"/>
          </w:tcPr>
          <w:p>
            <w:pPr>
              <w:pStyle w:val="731"/>
              <w:pBdr/>
              <w:spacing/>
              <w:ind/>
              <w:rPr/>
            </w:pPr>
            <w:r>
              <w:rPr>
                <w:b/>
                <w:bCs/>
                <w:color w:val="ffffff"/>
              </w:rPr>
              <w:t xml:space="preserve">Rama</w:t>
            </w:r>
            <w:r/>
          </w:p>
        </w:tc>
        <w:tc>
          <w:tcPr>
            <w:shd w:val="clear" w:color="auto" w:fill="241a61"/>
            <w:tcBorders/>
            <w:tcW w:w="2200" w:type="dxa"/>
            <w:vAlign w:val="center"/>
          </w:tcPr>
          <w:p>
            <w:pPr>
              <w:pStyle w:val="731"/>
              <w:pBdr/>
              <w:spacing/>
              <w:ind/>
              <w:rPr/>
            </w:pPr>
            <w:r>
              <w:rPr>
                <w:b/>
                <w:bCs/>
                <w:color w:val="ffffff"/>
              </w:rPr>
              <w:t xml:space="preserve">Categoría</w:t>
            </w:r>
            <w:r/>
          </w:p>
        </w:tc>
        <w:tc>
          <w:tcPr>
            <w:shd w:val="clear" w:color="auto" w:fill="241a61"/>
            <w:tcBorders/>
            <w:tcW w:w="2400" w:type="dxa"/>
            <w:vAlign w:val="center"/>
          </w:tcPr>
          <w:p>
            <w:pPr>
              <w:pStyle w:val="731"/>
              <w:pBdr/>
              <w:spacing/>
              <w:ind/>
              <w:rPr/>
            </w:pPr>
            <w:r>
              <w:rPr>
                <w:b/>
                <w:bCs/>
                <w:color w:val="ffffff"/>
              </w:rPr>
              <w:t xml:space="preserve">Año de nacimiento</w:t>
            </w:r>
            <w:r/>
          </w:p>
        </w:tc>
        <w:tc>
          <w:tcPr>
            <w:shd w:val="clear" w:color="auto" w:fill="241a61"/>
            <w:tcBorders/>
            <w:tcW w:w="3504" w:type="dxa"/>
            <w:vAlign w:val="center"/>
          </w:tcPr>
          <w:p>
            <w:pPr>
              <w:pStyle w:val="731"/>
              <w:pBdr/>
              <w:spacing/>
              <w:ind/>
              <w:rPr/>
            </w:pPr>
            <w:r>
              <w:rPr>
                <w:b/>
                <w:bCs/>
                <w:color w:val="ffffff"/>
              </w:rPr>
              <w:t xml:space="preserve">Observaciones</w:t>
            </w:r>
            <w:r/>
          </w:p>
        </w:tc>
      </w:tr>
      <w:tr>
        <w:trPr>
          <w:cantSplit/>
        </w:trPr>
        <w:tc>
          <w:tcPr>
            <w:tcBorders/>
            <w:tcW w:w="1300" w:type="dxa"/>
          </w:tcPr>
          <w:p>
            <w:pPr>
              <w:pStyle w:val="731"/>
              <w:pBdr/>
              <w:spacing/>
              <w:ind/>
              <w:rPr/>
            </w:pPr>
            <w:r>
              <w:t xml:space="preserve">Libre</w:t>
            </w:r>
            <w:r/>
          </w:p>
        </w:tc>
        <w:tc>
          <w:tcPr>
            <w:tcBorders/>
            <w:tcW w:w="2200" w:type="dxa"/>
          </w:tcPr>
          <w:p>
            <w:pPr>
              <w:pStyle w:val="731"/>
              <w:pBdr/>
              <w:spacing/>
              <w:ind/>
              <w:rPr/>
            </w:pPr>
            <w:r>
              <w:t xml:space="preserve">Primera Especial</w:t>
            </w:r>
            <w:r/>
          </w:p>
        </w:tc>
        <w:tc>
          <w:tcPr>
            <w:tcBorders/>
            <w:tcW w:w="2400" w:type="dxa"/>
          </w:tcPr>
          <w:p>
            <w:pPr>
              <w:pStyle w:val="731"/>
              <w:pBdr/>
              <w:spacing/>
              <w:ind/>
              <w:rPr/>
            </w:pPr>
            <w:r>
              <w:t xml:space="preserve">No se indica</w:t>
            </w:r>
            <w:r/>
          </w:p>
        </w:tc>
        <w:tc>
          <w:tcPr>
            <w:tcBorders/>
            <w:tcW w:w="3504" w:type="dxa"/>
          </w:tcPr>
          <w:p>
            <w:pPr>
              <w:pStyle w:val="731"/>
              <w:pBdr/>
              <w:spacing/>
              <w:ind/>
              <w:rPr/>
            </w:pPr>
            <w:r>
              <w:t xml:space="preserve">Desciende a Primera Fuerza (4 últimos lugares).</w:t>
            </w:r>
            <w:r/>
          </w:p>
        </w:tc>
      </w:tr>
      <w:tr>
        <w:trPr>
          <w:cantSplit/>
        </w:trPr>
        <w:tc>
          <w:tcPr>
            <w:shd w:val="clear" w:color="auto" w:fill="fafafc"/>
            <w:tcBorders/>
            <w:tcW w:w="1300" w:type="dxa"/>
          </w:tcPr>
          <w:p>
            <w:pPr>
              <w:pStyle w:val="731"/>
              <w:pBdr/>
              <w:spacing/>
              <w:ind/>
              <w:rPr/>
            </w:pPr>
            <w:r>
              <w:t xml:space="preserve">Libre</w:t>
            </w:r>
            <w:r/>
          </w:p>
        </w:tc>
        <w:tc>
          <w:tcPr>
            <w:shd w:val="clear" w:color="auto" w:fill="fafafc"/>
            <w:tcBorders/>
            <w:tcW w:w="2200" w:type="dxa"/>
          </w:tcPr>
          <w:p>
            <w:pPr>
              <w:pStyle w:val="731"/>
              <w:pBdr/>
              <w:spacing/>
              <w:ind/>
              <w:rPr/>
            </w:pPr>
            <w:r>
              <w:t xml:space="preserve">Primera Fuerza</w:t>
            </w:r>
            <w:r/>
          </w:p>
        </w:tc>
        <w:tc>
          <w:tcPr>
            <w:shd w:val="clear" w:color="auto" w:fill="fafafc"/>
            <w:tcBorders/>
            <w:tcW w:w="2400" w:type="dxa"/>
          </w:tcPr>
          <w:p>
            <w:pPr>
              <w:pStyle w:val="731"/>
              <w:pBdr/>
              <w:spacing/>
              <w:ind/>
              <w:rPr/>
            </w:pPr>
            <w:r>
              <w:t xml:space="preserve">No se indica</w:t>
            </w:r>
            <w:r/>
          </w:p>
        </w:tc>
        <w:tc>
          <w:tcPr>
            <w:shd w:val="clear" w:color="auto" w:fill="fafafc"/>
            <w:tcBorders/>
            <w:tcW w:w="3504" w:type="dxa"/>
          </w:tcPr>
          <w:p>
            <w:pPr>
              <w:pStyle w:val="731"/>
              <w:pBdr/>
              <w:spacing/>
              <w:ind/>
              <w:rPr/>
            </w:pPr>
            <w:r/>
            <w:r/>
          </w:p>
        </w:tc>
      </w:tr>
      <w:tr>
        <w:trPr>
          <w:cantSplit/>
        </w:trPr>
        <w:tc>
          <w:tcPr>
            <w:tcBorders/>
            <w:tcW w:w="1300" w:type="dxa"/>
          </w:tcPr>
          <w:p>
            <w:pPr>
              <w:pStyle w:val="731"/>
              <w:pBdr/>
              <w:spacing/>
              <w:ind/>
              <w:rPr/>
            </w:pPr>
            <w:r>
              <w:t xml:space="preserve">Libre</w:t>
            </w:r>
            <w:r/>
          </w:p>
        </w:tc>
        <w:tc>
          <w:tcPr>
            <w:tcBorders/>
            <w:tcW w:w="2200" w:type="dxa"/>
          </w:tcPr>
          <w:p>
            <w:pPr>
              <w:pStyle w:val="731"/>
              <w:pBdr/>
              <w:spacing/>
              <w:ind/>
              <w:rPr/>
            </w:pPr>
            <w:r>
              <w:t xml:space="preserve">Reserva</w:t>
            </w:r>
            <w:r/>
          </w:p>
        </w:tc>
        <w:tc>
          <w:tcPr>
            <w:tcBorders/>
            <w:tcW w:w="2400" w:type="dxa"/>
          </w:tcPr>
          <w:p>
            <w:pPr>
              <w:pStyle w:val="731"/>
              <w:pBdr/>
              <w:spacing/>
              <w:ind/>
              <w:rPr/>
            </w:pPr>
            <w:r>
              <w:t xml:space="preserve">No se indica</w:t>
            </w:r>
            <w:r/>
          </w:p>
        </w:tc>
        <w:tc>
          <w:tcPr>
            <w:tcBorders/>
            <w:tcW w:w="3504" w:type="dxa"/>
          </w:tcPr>
          <w:p>
            <w:pPr>
              <w:pStyle w:val="731"/>
              <w:pBdr/>
              <w:spacing/>
              <w:ind/>
              <w:rPr/>
            </w:pPr>
            <w:r/>
            <w:r/>
          </w:p>
        </w:tc>
      </w:tr>
      <w:tr>
        <w:trPr>
          <w:cantSplit/>
        </w:trPr>
        <w:tc>
          <w:tcPr>
            <w:shd w:val="clear" w:color="auto" w:fill="fafafc"/>
            <w:tcBorders/>
            <w:tcW w:w="1300" w:type="dxa"/>
          </w:tcPr>
          <w:p>
            <w:pPr>
              <w:pStyle w:val="731"/>
              <w:pBdr/>
              <w:spacing/>
              <w:ind/>
              <w:rPr/>
            </w:pPr>
            <w:r>
              <w:t xml:space="preserve">Libre</w:t>
            </w:r>
            <w:r/>
          </w:p>
        </w:tc>
        <w:tc>
          <w:tcPr>
            <w:shd w:val="clear" w:color="auto" w:fill="fafafc"/>
            <w:tcBorders/>
            <w:tcW w:w="2200" w:type="dxa"/>
          </w:tcPr>
          <w:p>
            <w:pPr>
              <w:pStyle w:val="731"/>
              <w:pBdr/>
              <w:spacing/>
              <w:ind/>
              <w:rPr/>
            </w:pPr>
            <w:r>
              <w:t xml:space="preserve">Intermedia</w:t>
            </w:r>
            <w:r/>
          </w:p>
        </w:tc>
        <w:tc>
          <w:tcPr>
            <w:shd w:val="clear" w:color="auto" w:fill="fafafc"/>
            <w:tcBorders/>
            <w:tcW w:w="2400" w:type="dxa"/>
          </w:tcPr>
          <w:p>
            <w:pPr>
              <w:pStyle w:val="731"/>
              <w:pBdr/>
              <w:spacing/>
              <w:ind/>
              <w:rPr/>
            </w:pPr>
            <w:r>
              <w:t xml:space="preserve">No se indica</w:t>
            </w:r>
            <w:r/>
          </w:p>
        </w:tc>
        <w:tc>
          <w:tcPr>
            <w:shd w:val="clear" w:color="auto" w:fill="fafafc"/>
            <w:tcBorders/>
            <w:tcW w:w="3504" w:type="dxa"/>
          </w:tcPr>
          <w:p>
            <w:pPr>
              <w:pStyle w:val="731"/>
              <w:pBdr/>
              <w:spacing/>
              <w:ind/>
              <w:rPr/>
            </w:pPr>
            <w:r/>
            <w:r/>
          </w:p>
        </w:tc>
      </w:tr>
      <w:tr>
        <w:trPr>
          <w:cantSplit/>
        </w:trPr>
        <w:tc>
          <w:tcPr>
            <w:tcBorders/>
            <w:tcW w:w="1300" w:type="dxa"/>
          </w:tcPr>
          <w:p>
            <w:pPr>
              <w:pStyle w:val="731"/>
              <w:pBdr/>
              <w:spacing/>
              <w:ind/>
              <w:rPr/>
            </w:pPr>
            <w:r>
              <w:t xml:space="preserve">Libre</w:t>
            </w:r>
            <w:r/>
          </w:p>
        </w:tc>
        <w:tc>
          <w:tcPr>
            <w:tcBorders/>
            <w:tcW w:w="2200" w:type="dxa"/>
          </w:tcPr>
          <w:p>
            <w:pPr>
              <w:pStyle w:val="731"/>
              <w:pBdr/>
              <w:spacing/>
              <w:ind/>
              <w:rPr/>
            </w:pPr>
            <w:r>
              <w:t xml:space="preserve">Segunda Fuerza</w:t>
            </w:r>
            <w:r/>
          </w:p>
        </w:tc>
        <w:tc>
          <w:tcPr>
            <w:tcBorders/>
            <w:tcW w:w="2400" w:type="dxa"/>
          </w:tcPr>
          <w:p>
            <w:pPr>
              <w:pStyle w:val="731"/>
              <w:pBdr/>
              <w:spacing/>
              <w:ind/>
              <w:rPr/>
            </w:pPr>
            <w:r>
              <w:t xml:space="preserve">No se indica</w:t>
            </w:r>
            <w:r/>
          </w:p>
        </w:tc>
        <w:tc>
          <w:tcPr>
            <w:tcBorders/>
            <w:tcW w:w="3504" w:type="dxa"/>
          </w:tcPr>
          <w:p>
            <w:pPr>
              <w:pStyle w:val="731"/>
              <w:pBdr/>
              <w:spacing/>
              <w:ind/>
              <w:rPr/>
            </w:pPr>
            <w:r/>
            <w:r/>
          </w:p>
        </w:tc>
      </w:tr>
      <w:tr>
        <w:trPr>
          <w:cantSplit/>
        </w:trPr>
        <w:tc>
          <w:tcPr>
            <w:shd w:val="clear" w:color="auto" w:fill="fafafc"/>
            <w:tcBorders/>
            <w:tcW w:w="1300" w:type="dxa"/>
          </w:tcPr>
          <w:p>
            <w:pPr>
              <w:pStyle w:val="731"/>
              <w:pBdr/>
              <w:spacing/>
              <w:ind/>
              <w:rPr/>
            </w:pPr>
            <w:r>
              <w:t xml:space="preserve">Libre</w:t>
            </w:r>
            <w:r/>
          </w:p>
        </w:tc>
        <w:tc>
          <w:tcPr>
            <w:shd w:val="clear" w:color="auto" w:fill="fafafc"/>
            <w:tcBorders/>
            <w:tcW w:w="2200" w:type="dxa"/>
          </w:tcPr>
          <w:p>
            <w:pPr>
              <w:pStyle w:val="731"/>
              <w:pBdr/>
              <w:spacing/>
              <w:ind/>
              <w:rPr/>
            </w:pPr>
            <w:r>
              <w:t xml:space="preserve">Tercera Fuerza</w:t>
            </w:r>
            <w:r/>
          </w:p>
        </w:tc>
        <w:tc>
          <w:tcPr>
            <w:shd w:val="clear" w:color="auto" w:fill="fafafc"/>
            <w:tcBorders/>
            <w:tcW w:w="2400" w:type="dxa"/>
          </w:tcPr>
          <w:p>
            <w:pPr>
              <w:pStyle w:val="731"/>
              <w:pBdr/>
              <w:spacing/>
              <w:ind/>
              <w:rPr/>
            </w:pPr>
            <w:r>
              <w:t xml:space="preserve">No se indica</w:t>
            </w:r>
            <w:r/>
          </w:p>
        </w:tc>
        <w:tc>
          <w:tcPr>
            <w:shd w:val="clear" w:color="auto" w:fill="fafafc"/>
            <w:tcBorders/>
            <w:tcW w:w="3504" w:type="dxa"/>
          </w:tcPr>
          <w:p>
            <w:pPr>
              <w:pStyle w:val="731"/>
              <w:pBdr/>
              <w:spacing/>
              <w:ind/>
              <w:rPr/>
            </w:pPr>
            <w:r/>
            <w:r/>
          </w:p>
        </w:tc>
      </w:tr>
      <w:tr>
        <w:trPr>
          <w:cantSplit/>
        </w:trPr>
        <w:tc>
          <w:tcPr>
            <w:tcBorders/>
            <w:tcW w:w="1300" w:type="dxa"/>
          </w:tcPr>
          <w:p>
            <w:pPr>
              <w:pStyle w:val="731"/>
              <w:pBdr/>
              <w:spacing/>
              <w:ind/>
              <w:rPr/>
            </w:pPr>
            <w:r>
              <w:t xml:space="preserve">Libre</w:t>
            </w:r>
            <w:r/>
          </w:p>
        </w:tc>
        <w:tc>
          <w:tcPr>
            <w:tcBorders/>
            <w:tcW w:w="2200" w:type="dxa"/>
          </w:tcPr>
          <w:p>
            <w:pPr>
              <w:pStyle w:val="731"/>
              <w:pBdr/>
              <w:spacing/>
              <w:ind/>
              <w:rPr/>
            </w:pPr>
            <w:r>
              <w:t xml:space="preserve">Cuarta Fuerza Domingo</w:t>
            </w:r>
            <w:r/>
          </w:p>
        </w:tc>
        <w:tc>
          <w:tcPr>
            <w:tcBorders/>
            <w:tcW w:w="2400" w:type="dxa"/>
          </w:tcPr>
          <w:p>
            <w:pPr>
              <w:pStyle w:val="731"/>
              <w:pBdr/>
              <w:spacing/>
              <w:ind/>
              <w:rPr/>
            </w:pPr>
            <w:r>
              <w:t xml:space="preserve">No se indica</w:t>
            </w:r>
            <w:r/>
          </w:p>
        </w:tc>
        <w:tc>
          <w:tcPr>
            <w:tcBorders/>
            <w:tcW w:w="3504" w:type="dxa"/>
          </w:tcPr>
          <w:p>
            <w:pPr>
              <w:pStyle w:val="731"/>
              <w:pBdr/>
              <w:spacing/>
              <w:ind/>
              <w:rPr/>
            </w:pPr>
            <w:r>
              <w:t xml:space="preserve">Inscripción restringida (art. 82 del reglamento interno y antigüedad mínima de dos temporadas).</w:t>
            </w:r>
            <w:r/>
          </w:p>
        </w:tc>
      </w:tr>
      <w:tr>
        <w:trPr>
          <w:cantSplit/>
        </w:trPr>
        <w:tc>
          <w:tcPr>
            <w:shd w:val="clear" w:color="auto" w:fill="fafafc"/>
            <w:tcBorders/>
            <w:tcW w:w="1300" w:type="dxa"/>
          </w:tcPr>
          <w:p>
            <w:pPr>
              <w:pStyle w:val="731"/>
              <w:pBdr/>
              <w:spacing/>
              <w:ind/>
              <w:rPr/>
            </w:pPr>
            <w:r>
              <w:t xml:space="preserve">Libre</w:t>
            </w:r>
            <w:r/>
          </w:p>
        </w:tc>
        <w:tc>
          <w:tcPr>
            <w:shd w:val="clear" w:color="auto" w:fill="fafafc"/>
            <w:tcBorders/>
            <w:tcW w:w="2200" w:type="dxa"/>
          </w:tcPr>
          <w:p>
            <w:pPr>
              <w:pStyle w:val="731"/>
              <w:pBdr/>
              <w:spacing/>
              <w:ind/>
              <w:rPr/>
            </w:pPr>
            <w:r>
              <w:t xml:space="preserve">Cuarta Sábado</w:t>
            </w:r>
            <w:r/>
          </w:p>
        </w:tc>
        <w:tc>
          <w:tcPr>
            <w:shd w:val="clear" w:color="auto" w:fill="fafafc"/>
            <w:tcBorders/>
            <w:tcW w:w="2400" w:type="dxa"/>
          </w:tcPr>
          <w:p>
            <w:pPr>
              <w:pStyle w:val="731"/>
              <w:pBdr/>
              <w:spacing/>
              <w:ind/>
              <w:rPr/>
            </w:pPr>
            <w:r>
              <w:t xml:space="preserve">No se indica</w:t>
            </w:r>
            <w:r/>
          </w:p>
        </w:tc>
        <w:tc>
          <w:tcPr>
            <w:shd w:val="clear" w:color="auto" w:fill="fafafc"/>
            <w:tcBorders/>
            <w:tcW w:w="3504" w:type="dxa"/>
          </w:tcPr>
          <w:p>
            <w:pPr>
              <w:pStyle w:val="731"/>
              <w:pBdr/>
              <w:spacing/>
              <w:ind/>
              <w:rPr/>
            </w:pPr>
            <w:r>
              <w:t xml:space="preserve">Los 5 últimos lugares de cada grupo desaparecen.</w:t>
            </w:r>
            <w:r/>
          </w:p>
        </w:tc>
      </w:tr>
      <w:tr>
        <w:trPr>
          <w:cantSplit/>
        </w:trPr>
        <w:tc>
          <w:tcPr>
            <w:tcBorders/>
            <w:tcW w:w="1300" w:type="dxa"/>
          </w:tcPr>
          <w:p>
            <w:pPr>
              <w:pStyle w:val="731"/>
              <w:pBdr/>
              <w:spacing/>
              <w:ind/>
              <w:rPr/>
            </w:pPr>
            <w:r>
              <w:t xml:space="preserve">Libre / Infantil</w:t>
            </w:r>
            <w:r/>
          </w:p>
        </w:tc>
        <w:tc>
          <w:tcPr>
            <w:tcBorders/>
            <w:tcW w:w="2200" w:type="dxa"/>
          </w:tcPr>
          <w:p>
            <w:pPr>
              <w:pStyle w:val="731"/>
              <w:pBdr/>
              <w:spacing/>
              <w:ind/>
              <w:rPr/>
            </w:pPr>
            <w:r>
              <w:t xml:space="preserve">Juvenil</w:t>
            </w:r>
            <w:r/>
          </w:p>
        </w:tc>
        <w:tc>
          <w:tcPr>
            <w:tcBorders/>
            <w:tcW w:w="2400" w:type="dxa"/>
          </w:tcPr>
          <w:p>
            <w:pPr>
              <w:pStyle w:val="731"/>
              <w:pBdr/>
              <w:spacing/>
              <w:ind/>
              <w:rPr/>
            </w:pPr>
            <w:r>
              <w:t xml:space="preserve">2009–2010</w:t>
            </w:r>
            <w:r/>
          </w:p>
        </w:tc>
        <w:tc>
          <w:tcPr>
            <w:tcBorders/>
            <w:tcW w:w="3504" w:type="dxa"/>
          </w:tcPr>
          <w:p>
            <w:pPr>
              <w:pStyle w:val="731"/>
              <w:pBdr/>
              <w:spacing/>
              <w:ind/>
              <w:rPr/>
            </w:pPr>
            <w:r>
              <w:t xml:space="preserve">Aparece en ambas convocatorias. Si es una sola categoría: </w:t>
            </w:r>
            <w:r>
              <w:rPr>
                <w:b/>
                <w:bCs/>
                <w:color w:val="9c4a00"/>
                <w:shd w:val="clear" w:color="auto" w:fill="fff2cc"/>
              </w:rPr>
              <w:t xml:space="preserve">[POR DEFINIR]</w:t>
            </w:r>
            <w:r>
              <w:t xml:space="preserve">.</w:t>
            </w:r>
            <w:r/>
          </w:p>
        </w:tc>
      </w:tr>
      <w:tr>
        <w:trPr>
          <w:cantSplit/>
        </w:trPr>
        <w:tc>
          <w:tcPr>
            <w:shd w:val="clear" w:color="auto" w:fill="fafafc"/>
            <w:tcBorders/>
            <w:tcW w:w="1300" w:type="dxa"/>
          </w:tcPr>
          <w:p>
            <w:pPr>
              <w:pStyle w:val="731"/>
              <w:pBdr/>
              <w:spacing/>
              <w:ind/>
              <w:rPr/>
            </w:pPr>
            <w:r>
              <w:t xml:space="preserve">Veteranos</w:t>
            </w:r>
            <w:r/>
          </w:p>
        </w:tc>
        <w:tc>
          <w:tcPr>
            <w:shd w:val="clear" w:color="auto" w:fill="fafafc"/>
            <w:tcBorders/>
            <w:tcW w:w="2200" w:type="dxa"/>
          </w:tcPr>
          <w:p>
            <w:pPr>
              <w:pStyle w:val="731"/>
              <w:pBdr/>
              <w:spacing/>
              <w:ind/>
              <w:rPr/>
            </w:pPr>
            <w:r>
              <w:t xml:space="preserve">Veteranos Libre</w:t>
            </w:r>
            <w:r/>
          </w:p>
        </w:tc>
        <w:tc>
          <w:tcPr>
            <w:shd w:val="clear" w:color="auto" w:fill="fafafc"/>
            <w:tcBorders/>
            <w:tcW w:w="2400" w:type="dxa"/>
          </w:tcPr>
          <w:p>
            <w:pPr>
              <w:pStyle w:val="731"/>
              <w:pBdr/>
              <w:spacing/>
              <w:ind/>
              <w:rPr/>
            </w:pPr>
            <w:r>
              <w:t xml:space="preserve">1990 o antes</w:t>
            </w:r>
            <w:r/>
          </w:p>
        </w:tc>
        <w:tc>
          <w:tcPr>
            <w:shd w:val="clear" w:color="auto" w:fill="fafafc"/>
            <w:tcBorders/>
            <w:tcW w:w="3504" w:type="dxa"/>
          </w:tcPr>
          <w:p>
            <w:pPr>
              <w:pStyle w:val="731"/>
              <w:pBdr/>
              <w:spacing/>
              <w:ind/>
              <w:rPr/>
            </w:pPr>
            <w:r>
              <w:t xml:space="preserve">La prensa 2025–2026 menciona «Primera de Veteranos» y «Segunda de Veteranos»; relación con Veteranos Libre: </w:t>
            </w:r>
            <w:r>
              <w:rPr>
                <w:b/>
                <w:bCs/>
                <w:color w:val="9c4a00"/>
                <w:shd w:val="clear" w:color="auto" w:fill="fff2cc"/>
              </w:rPr>
              <w:t xml:space="preserve">[POR DEFINIR]</w:t>
            </w:r>
            <w:r>
              <w:t xml:space="preserve">.</w:t>
            </w:r>
            <w:r/>
          </w:p>
        </w:tc>
      </w:tr>
      <w:tr>
        <w:trPr>
          <w:cantSplit/>
        </w:trPr>
        <w:tc>
          <w:tcPr>
            <w:tcBorders/>
            <w:tcW w:w="1300" w:type="dxa"/>
          </w:tcPr>
          <w:p>
            <w:pPr>
              <w:pStyle w:val="731"/>
              <w:pBdr/>
              <w:spacing/>
              <w:ind/>
              <w:rPr/>
            </w:pPr>
            <w:r>
              <w:t xml:space="preserve">Veteranos</w:t>
            </w:r>
            <w:r/>
          </w:p>
        </w:tc>
        <w:tc>
          <w:tcPr>
            <w:tcBorders/>
            <w:tcW w:w="2200" w:type="dxa"/>
          </w:tcPr>
          <w:p>
            <w:pPr>
              <w:pStyle w:val="731"/>
              <w:pBdr/>
              <w:spacing/>
              <w:ind/>
              <w:rPr/>
            </w:pPr>
            <w:r>
              <w:t xml:space="preserve">Veteranos Especiales</w:t>
            </w:r>
            <w:r/>
          </w:p>
        </w:tc>
        <w:tc>
          <w:tcPr>
            <w:tcBorders/>
            <w:tcW w:w="2400" w:type="dxa"/>
          </w:tcPr>
          <w:p>
            <w:pPr>
              <w:pStyle w:val="731"/>
              <w:pBdr/>
              <w:spacing/>
              <w:ind/>
              <w:rPr/>
            </w:pPr>
            <w:r>
              <w:t xml:space="preserve">1984 o antes</w:t>
            </w:r>
            <w:r/>
          </w:p>
        </w:tc>
        <w:tc>
          <w:tcPr>
            <w:tcBorders/>
            <w:tcW w:w="3504" w:type="dxa"/>
          </w:tcPr>
          <w:p>
            <w:pPr>
              <w:pStyle w:val="731"/>
              <w:pBdr/>
              <w:spacing/>
              <w:ind/>
              <w:rPr/>
            </w:pPr>
            <w:r/>
            <w:r/>
          </w:p>
        </w:tc>
      </w:tr>
      <w:tr>
        <w:trPr>
          <w:cantSplit/>
        </w:trPr>
        <w:tc>
          <w:tcPr>
            <w:shd w:val="clear" w:color="auto" w:fill="fafafc"/>
            <w:tcBorders/>
            <w:tcW w:w="1300" w:type="dxa"/>
          </w:tcPr>
          <w:p>
            <w:pPr>
              <w:pStyle w:val="731"/>
              <w:pBdr/>
              <w:spacing/>
              <w:ind/>
              <w:rPr/>
            </w:pPr>
            <w:r>
              <w:t xml:space="preserve">Veteranos</w:t>
            </w:r>
            <w:r/>
          </w:p>
        </w:tc>
        <w:tc>
          <w:tcPr>
            <w:shd w:val="clear" w:color="auto" w:fill="fafafc"/>
            <w:tcBorders/>
            <w:tcW w:w="2200" w:type="dxa"/>
          </w:tcPr>
          <w:p>
            <w:pPr>
              <w:pStyle w:val="731"/>
              <w:pBdr/>
              <w:spacing/>
              <w:ind/>
              <w:rPr/>
            </w:pPr>
            <w:r>
              <w:t xml:space="preserve">Masters</w:t>
            </w:r>
            <w:r/>
          </w:p>
        </w:tc>
        <w:tc>
          <w:tcPr>
            <w:shd w:val="clear" w:color="auto" w:fill="fafafc"/>
            <w:tcBorders/>
            <w:tcW w:w="2400" w:type="dxa"/>
          </w:tcPr>
          <w:p>
            <w:pPr>
              <w:pStyle w:val="731"/>
              <w:pBdr/>
              <w:spacing/>
              <w:ind/>
              <w:rPr/>
            </w:pPr>
            <w:r>
              <w:t xml:space="preserve">1978 o antes</w:t>
            </w:r>
            <w:r/>
          </w:p>
        </w:tc>
        <w:tc>
          <w:tcPr>
            <w:shd w:val="clear" w:color="auto" w:fill="fafafc"/>
            <w:tcBorders/>
            <w:tcW w:w="3504" w:type="dxa"/>
          </w:tcPr>
          <w:p>
            <w:pPr>
              <w:pStyle w:val="731"/>
              <w:pBdr/>
              <w:spacing/>
              <w:ind/>
              <w:rPr/>
            </w:pPr>
            <w:r>
              <w:t xml:space="preserve">Juega los sábados.</w:t>
            </w:r>
            <w:r/>
          </w:p>
        </w:tc>
      </w:tr>
      <w:tr>
        <w:trPr>
          <w:cantSplit/>
        </w:trPr>
        <w:tc>
          <w:tcPr>
            <w:tcBorders/>
            <w:tcW w:w="1300" w:type="dxa"/>
          </w:tcPr>
          <w:p>
            <w:pPr>
              <w:pStyle w:val="731"/>
              <w:pBdr/>
              <w:spacing/>
              <w:ind/>
              <w:rPr/>
            </w:pPr>
            <w:r>
              <w:t xml:space="preserve">Veteranos</w:t>
            </w:r>
            <w:r/>
          </w:p>
        </w:tc>
        <w:tc>
          <w:tcPr>
            <w:tcBorders/>
            <w:tcW w:w="2200" w:type="dxa"/>
          </w:tcPr>
          <w:p>
            <w:pPr>
              <w:pStyle w:val="731"/>
              <w:pBdr/>
              <w:spacing/>
              <w:ind/>
              <w:rPr/>
            </w:pPr>
            <w:r>
              <w:t xml:space="preserve">Premier</w:t>
            </w:r>
            <w:r/>
          </w:p>
        </w:tc>
        <w:tc>
          <w:tcPr>
            <w:tcBorders/>
            <w:tcW w:w="2400" w:type="dxa"/>
          </w:tcPr>
          <w:p>
            <w:pPr>
              <w:pStyle w:val="731"/>
              <w:pBdr/>
              <w:spacing/>
              <w:ind/>
              <w:rPr/>
            </w:pPr>
            <w:r>
              <w:t xml:space="preserve">1972 o antes</w:t>
            </w:r>
            <w:r/>
          </w:p>
        </w:tc>
        <w:tc>
          <w:tcPr>
            <w:tcBorders/>
            <w:tcW w:w="3504" w:type="dxa"/>
          </w:tcPr>
          <w:p>
            <w:pPr>
              <w:pStyle w:val="731"/>
              <w:pBdr/>
              <w:spacing/>
              <w:ind/>
              <w:rPr/>
            </w:pPr>
            <w:r>
              <w:t xml:space="preserve">Juega los sábados.</w:t>
            </w:r>
            <w:r/>
          </w:p>
        </w:tc>
      </w:tr>
      <w:tr>
        <w:trPr>
          <w:cantSplit/>
        </w:trPr>
        <w:tc>
          <w:tcPr>
            <w:shd w:val="clear" w:color="auto" w:fill="fafafc"/>
            <w:tcBorders/>
            <w:tcW w:w="1300" w:type="dxa"/>
          </w:tcPr>
          <w:p>
            <w:pPr>
              <w:pStyle w:val="731"/>
              <w:pBdr/>
              <w:spacing/>
              <w:ind/>
              <w:rPr/>
            </w:pPr>
            <w:r>
              <w:t xml:space="preserve">Veteranos</w:t>
            </w:r>
            <w:r/>
          </w:p>
        </w:tc>
        <w:tc>
          <w:tcPr>
            <w:shd w:val="clear" w:color="auto" w:fill="fafafc"/>
            <w:tcBorders/>
            <w:tcW w:w="2200" w:type="dxa"/>
          </w:tcPr>
          <w:p>
            <w:pPr>
              <w:pStyle w:val="731"/>
              <w:pBdr/>
              <w:spacing/>
              <w:ind/>
              <w:rPr/>
            </w:pPr>
            <w:r>
              <w:t xml:space="preserve">Diamante</w:t>
            </w:r>
            <w:r/>
          </w:p>
        </w:tc>
        <w:tc>
          <w:tcPr>
            <w:shd w:val="clear" w:color="auto" w:fill="fafafc"/>
            <w:tcBorders/>
            <w:tcW w:w="2400" w:type="dxa"/>
          </w:tcPr>
          <w:p>
            <w:pPr>
              <w:pStyle w:val="731"/>
              <w:pBdr/>
              <w:spacing/>
              <w:ind/>
              <w:rPr/>
            </w:pPr>
            <w:r>
              <w:t xml:space="preserve">1967 o antes</w:t>
            </w:r>
            <w:r/>
          </w:p>
        </w:tc>
        <w:tc>
          <w:tcPr>
            <w:shd w:val="clear" w:color="auto" w:fill="fafafc"/>
            <w:tcBorders/>
            <w:tcW w:w="3504" w:type="dxa"/>
          </w:tcPr>
          <w:p>
            <w:pPr>
              <w:pStyle w:val="731"/>
              <w:pBdr/>
              <w:spacing/>
              <w:ind/>
              <w:rPr/>
            </w:pPr>
            <w:r>
              <w:t xml:space="preserve">Juega los sábados.</w:t>
            </w:r>
            <w:r/>
          </w:p>
        </w:tc>
      </w:tr>
      <w:tr>
        <w:trPr>
          <w:cantSplit/>
        </w:trPr>
        <w:tc>
          <w:tcPr>
            <w:tcBorders/>
            <w:tcW w:w="1300" w:type="dxa"/>
          </w:tcPr>
          <w:p>
            <w:pPr>
              <w:pStyle w:val="731"/>
              <w:pBdr/>
              <w:spacing/>
              <w:ind/>
              <w:rPr/>
            </w:pPr>
            <w:r>
              <w:t xml:space="preserve">Veteranos</w:t>
            </w:r>
            <w:r/>
          </w:p>
        </w:tc>
        <w:tc>
          <w:tcPr>
            <w:tcBorders/>
            <w:tcW w:w="2200" w:type="dxa"/>
          </w:tcPr>
          <w:p>
            <w:pPr>
              <w:pStyle w:val="731"/>
              <w:pBdr/>
              <w:spacing/>
              <w:ind/>
              <w:rPr/>
            </w:pPr>
            <w:r>
              <w:t xml:space="preserve">Dorado</w:t>
            </w:r>
            <w:r/>
          </w:p>
        </w:tc>
        <w:tc>
          <w:tcPr>
            <w:tcBorders/>
            <w:tcW w:w="2400" w:type="dxa"/>
          </w:tcPr>
          <w:p>
            <w:pPr>
              <w:pStyle w:val="731"/>
              <w:pBdr/>
              <w:spacing/>
              <w:ind/>
              <w:rPr/>
            </w:pPr>
            <w:r>
              <w:t xml:space="preserve">1963 o antes</w:t>
            </w:r>
            <w:r/>
          </w:p>
        </w:tc>
        <w:tc>
          <w:tcPr>
            <w:tcBorders/>
            <w:tcW w:w="3504" w:type="dxa"/>
          </w:tcPr>
          <w:p>
            <w:pPr>
              <w:pStyle w:val="731"/>
              <w:pBdr/>
              <w:spacing/>
              <w:ind/>
              <w:rPr/>
            </w:pPr>
            <w:r>
              <w:t xml:space="preserve">Juega los sábados.</w:t>
            </w:r>
            <w:r/>
          </w:p>
        </w:tc>
      </w:tr>
      <w:tr>
        <w:trPr>
          <w:cantSplit/>
        </w:trPr>
        <w:tc>
          <w:tcPr>
            <w:shd w:val="clear" w:color="auto" w:fill="fafafc"/>
            <w:tcBorders/>
            <w:tcW w:w="1300" w:type="dxa"/>
          </w:tcPr>
          <w:p>
            <w:pPr>
              <w:pStyle w:val="731"/>
              <w:pBdr/>
              <w:spacing/>
              <w:ind/>
              <w:rPr/>
            </w:pPr>
            <w:r>
              <w:t xml:space="preserve">Veteranos</w:t>
            </w:r>
            <w:r/>
          </w:p>
        </w:tc>
        <w:tc>
          <w:tcPr>
            <w:shd w:val="clear" w:color="auto" w:fill="fafafc"/>
            <w:tcBorders/>
            <w:tcW w:w="2200" w:type="dxa"/>
          </w:tcPr>
          <w:p>
            <w:pPr>
              <w:pStyle w:val="731"/>
              <w:pBdr/>
              <w:spacing/>
              <w:ind/>
              <w:rPr/>
            </w:pPr>
            <w:r>
              <w:t xml:space="preserve">Platino</w:t>
            </w:r>
            <w:r/>
          </w:p>
        </w:tc>
        <w:tc>
          <w:tcPr>
            <w:shd w:val="clear" w:color="auto" w:fill="fafafc"/>
            <w:tcBorders/>
            <w:tcW w:w="2400" w:type="dxa"/>
          </w:tcPr>
          <w:p>
            <w:pPr>
              <w:pStyle w:val="731"/>
              <w:pBdr/>
              <w:spacing/>
              <w:ind/>
              <w:rPr/>
            </w:pPr>
            <w:r>
              <w:t xml:space="preserve">1959 o antes</w:t>
            </w:r>
            <w:r/>
          </w:p>
        </w:tc>
        <w:tc>
          <w:tcPr>
            <w:shd w:val="clear" w:color="auto" w:fill="fafafc"/>
            <w:tcBorders/>
            <w:tcW w:w="3504" w:type="dxa"/>
          </w:tcPr>
          <w:p>
            <w:pPr>
              <w:pStyle w:val="731"/>
              <w:pBdr/>
              <w:spacing/>
              <w:ind/>
              <w:rPr/>
            </w:pPr>
            <w:r>
              <w:t xml:space="preserve">Juega los sábados.</w:t>
            </w:r>
            <w:r/>
          </w:p>
        </w:tc>
      </w:tr>
      <w:tr>
        <w:trPr>
          <w:cantSplit/>
        </w:trPr>
        <w:tc>
          <w:tcPr>
            <w:tcBorders/>
            <w:tcW w:w="1300" w:type="dxa"/>
          </w:tcPr>
          <w:p>
            <w:pPr>
              <w:pStyle w:val="731"/>
              <w:pBdr/>
              <w:spacing/>
              <w:ind/>
              <w:rPr/>
            </w:pPr>
            <w:r>
              <w:t xml:space="preserve">Infantil</w:t>
            </w:r>
            <w:r/>
          </w:p>
        </w:tc>
        <w:tc>
          <w:tcPr>
            <w:tcBorders/>
            <w:tcW w:w="2200" w:type="dxa"/>
          </w:tcPr>
          <w:p>
            <w:pPr>
              <w:pStyle w:val="731"/>
              <w:pBdr/>
              <w:spacing/>
              <w:ind/>
              <w:rPr/>
            </w:pPr>
            <w:r>
              <w:t xml:space="preserve">Miniponys Especiales</w:t>
            </w:r>
            <w:r/>
          </w:p>
        </w:tc>
        <w:tc>
          <w:tcPr>
            <w:tcBorders/>
            <w:tcW w:w="2400" w:type="dxa"/>
          </w:tcPr>
          <w:p>
            <w:pPr>
              <w:pStyle w:val="731"/>
              <w:pBdr/>
              <w:spacing/>
              <w:ind/>
              <w:rPr/>
            </w:pPr>
            <w:r>
              <w:t xml:space="preserve">2021 o menores</w:t>
            </w:r>
            <w:r/>
          </w:p>
        </w:tc>
        <w:tc>
          <w:tcPr>
            <w:tcBorders/>
            <w:tcW w:w="3504" w:type="dxa"/>
          </w:tcPr>
          <w:p>
            <w:pPr>
              <w:pStyle w:val="731"/>
              <w:pBdr/>
              <w:spacing/>
              <w:ind/>
              <w:rPr/>
            </w:pPr>
            <w:r/>
            <w:r/>
          </w:p>
        </w:tc>
      </w:tr>
      <w:tr>
        <w:trPr>
          <w:cantSplit/>
        </w:trPr>
        <w:tc>
          <w:tcPr>
            <w:shd w:val="clear" w:color="auto" w:fill="fafafc"/>
            <w:tcBorders/>
            <w:tcW w:w="1300" w:type="dxa"/>
          </w:tcPr>
          <w:p>
            <w:pPr>
              <w:pStyle w:val="731"/>
              <w:pBdr/>
              <w:spacing/>
              <w:ind/>
              <w:rPr/>
            </w:pPr>
            <w:r>
              <w:t xml:space="preserve">Infantil</w:t>
            </w:r>
            <w:r/>
          </w:p>
        </w:tc>
        <w:tc>
          <w:tcPr>
            <w:shd w:val="clear" w:color="auto" w:fill="fafafc"/>
            <w:tcBorders/>
            <w:tcW w:w="2200" w:type="dxa"/>
          </w:tcPr>
          <w:p>
            <w:pPr>
              <w:pStyle w:val="731"/>
              <w:pBdr/>
              <w:spacing/>
              <w:ind/>
              <w:rPr/>
            </w:pPr>
            <w:r>
              <w:t xml:space="preserve">Miniponys</w:t>
            </w:r>
            <w:r/>
          </w:p>
        </w:tc>
        <w:tc>
          <w:tcPr>
            <w:shd w:val="clear" w:color="auto" w:fill="fafafc"/>
            <w:tcBorders/>
            <w:tcW w:w="2400" w:type="dxa"/>
          </w:tcPr>
          <w:p>
            <w:pPr>
              <w:pStyle w:val="731"/>
              <w:pBdr/>
              <w:spacing/>
              <w:ind/>
              <w:rPr/>
            </w:pPr>
            <w:r>
              <w:t xml:space="preserve">2019–2020</w:t>
            </w:r>
            <w:r/>
          </w:p>
        </w:tc>
        <w:tc>
          <w:tcPr>
            <w:shd w:val="clear" w:color="auto" w:fill="fafafc"/>
            <w:tcBorders/>
            <w:tcW w:w="3504" w:type="dxa"/>
          </w:tcPr>
          <w:p>
            <w:pPr>
              <w:pStyle w:val="731"/>
              <w:pBdr/>
              <w:spacing/>
              <w:ind/>
              <w:rPr/>
            </w:pPr>
            <w:r>
              <w:t xml:space="preserve">9 jugadores por equipo.</w:t>
            </w:r>
            <w:r/>
          </w:p>
        </w:tc>
      </w:tr>
      <w:tr>
        <w:trPr>
          <w:cantSplit/>
        </w:trPr>
        <w:tc>
          <w:tcPr>
            <w:tcBorders/>
            <w:tcW w:w="1300" w:type="dxa"/>
          </w:tcPr>
          <w:p>
            <w:pPr>
              <w:pStyle w:val="731"/>
              <w:pBdr/>
              <w:spacing/>
              <w:ind/>
              <w:rPr/>
            </w:pPr>
            <w:r>
              <w:t xml:space="preserve">Infantil</w:t>
            </w:r>
            <w:r/>
          </w:p>
        </w:tc>
        <w:tc>
          <w:tcPr>
            <w:tcBorders/>
            <w:tcW w:w="2200" w:type="dxa"/>
          </w:tcPr>
          <w:p>
            <w:pPr>
              <w:pStyle w:val="731"/>
              <w:pBdr/>
              <w:spacing/>
              <w:ind/>
              <w:rPr/>
            </w:pPr>
            <w:r>
              <w:t xml:space="preserve">Ponys</w:t>
            </w:r>
            <w:r/>
          </w:p>
        </w:tc>
        <w:tc>
          <w:tcPr>
            <w:tcBorders/>
            <w:tcW w:w="2400" w:type="dxa"/>
          </w:tcPr>
          <w:p>
            <w:pPr>
              <w:pStyle w:val="731"/>
              <w:pBdr/>
              <w:spacing/>
              <w:ind/>
              <w:rPr/>
            </w:pPr>
            <w:r>
              <w:t xml:space="preserve">2017–2018</w:t>
            </w:r>
            <w:r/>
          </w:p>
        </w:tc>
        <w:tc>
          <w:tcPr>
            <w:tcBorders/>
            <w:tcW w:w="3504" w:type="dxa"/>
          </w:tcPr>
          <w:p>
            <w:pPr>
              <w:pStyle w:val="731"/>
              <w:pBdr/>
              <w:spacing/>
              <w:ind/>
              <w:rPr/>
            </w:pPr>
            <w:r>
              <w:t xml:space="preserve">9 jugadores por equipo.</w:t>
            </w:r>
            <w:r/>
          </w:p>
        </w:tc>
      </w:tr>
      <w:tr>
        <w:trPr>
          <w:cantSplit/>
        </w:trPr>
        <w:tc>
          <w:tcPr>
            <w:shd w:val="clear" w:color="auto" w:fill="fafafc"/>
            <w:tcBorders/>
            <w:tcW w:w="1300" w:type="dxa"/>
          </w:tcPr>
          <w:p>
            <w:pPr>
              <w:pStyle w:val="731"/>
              <w:pBdr/>
              <w:spacing/>
              <w:ind/>
              <w:rPr/>
            </w:pPr>
            <w:r>
              <w:t xml:space="preserve">Infantil</w:t>
            </w:r>
            <w:r/>
          </w:p>
        </w:tc>
        <w:tc>
          <w:tcPr>
            <w:shd w:val="clear" w:color="auto" w:fill="fafafc"/>
            <w:tcBorders/>
            <w:tcW w:w="2200" w:type="dxa"/>
          </w:tcPr>
          <w:p>
            <w:pPr>
              <w:pStyle w:val="731"/>
              <w:pBdr/>
              <w:spacing/>
              <w:ind/>
              <w:rPr/>
            </w:pPr>
            <w:r>
              <w:t xml:space="preserve">Pre infantil</w:t>
            </w:r>
            <w:r/>
          </w:p>
        </w:tc>
        <w:tc>
          <w:tcPr>
            <w:shd w:val="clear" w:color="auto" w:fill="fafafc"/>
            <w:tcBorders/>
            <w:tcW w:w="2400" w:type="dxa"/>
          </w:tcPr>
          <w:p>
            <w:pPr>
              <w:pStyle w:val="731"/>
              <w:pBdr/>
              <w:spacing/>
              <w:ind/>
              <w:rPr/>
            </w:pPr>
            <w:r>
              <w:t xml:space="preserve">2015–2016</w:t>
            </w:r>
            <w:r/>
          </w:p>
        </w:tc>
        <w:tc>
          <w:tcPr>
            <w:shd w:val="clear" w:color="auto" w:fill="fafafc"/>
            <w:tcBorders/>
            <w:tcW w:w="3504" w:type="dxa"/>
          </w:tcPr>
          <w:p>
            <w:pPr>
              <w:pStyle w:val="731"/>
              <w:pBdr/>
              <w:spacing/>
              <w:ind/>
              <w:rPr/>
            </w:pPr>
            <w:r>
              <w:t xml:space="preserve">11 jugadores por equipo.</w:t>
            </w:r>
            <w:r/>
          </w:p>
        </w:tc>
      </w:tr>
      <w:tr>
        <w:trPr>
          <w:cantSplit/>
        </w:trPr>
        <w:tc>
          <w:tcPr>
            <w:tcBorders/>
            <w:tcW w:w="1300" w:type="dxa"/>
          </w:tcPr>
          <w:p>
            <w:pPr>
              <w:pStyle w:val="731"/>
              <w:pBdr/>
              <w:spacing/>
              <w:ind/>
              <w:rPr/>
            </w:pPr>
            <w:r>
              <w:t xml:space="preserve">Infantil</w:t>
            </w:r>
            <w:r/>
          </w:p>
        </w:tc>
        <w:tc>
          <w:tcPr>
            <w:tcBorders/>
            <w:tcW w:w="2200" w:type="dxa"/>
          </w:tcPr>
          <w:p>
            <w:pPr>
              <w:pStyle w:val="731"/>
              <w:pBdr/>
              <w:spacing/>
              <w:ind/>
              <w:rPr/>
            </w:pPr>
            <w:r>
              <w:t xml:space="preserve">Infantil</w:t>
            </w:r>
            <w:r/>
          </w:p>
        </w:tc>
        <w:tc>
          <w:tcPr>
            <w:tcBorders/>
            <w:tcW w:w="2400" w:type="dxa"/>
          </w:tcPr>
          <w:p>
            <w:pPr>
              <w:pStyle w:val="731"/>
              <w:pBdr/>
              <w:spacing/>
              <w:ind/>
              <w:rPr/>
            </w:pPr>
            <w:r>
              <w:t xml:space="preserve">2013–2014</w:t>
            </w:r>
            <w:r/>
          </w:p>
        </w:tc>
        <w:tc>
          <w:tcPr>
            <w:tcBorders/>
            <w:tcW w:w="3504" w:type="dxa"/>
          </w:tcPr>
          <w:p>
            <w:pPr>
              <w:pStyle w:val="731"/>
              <w:pBdr/>
              <w:spacing/>
              <w:ind/>
              <w:rPr/>
            </w:pPr>
            <w:r>
              <w:t xml:space="preserve">11 jugadores por equipo.</w:t>
            </w:r>
            <w:r/>
          </w:p>
        </w:tc>
      </w:tr>
      <w:tr>
        <w:trPr>
          <w:cantSplit/>
        </w:trPr>
        <w:tc>
          <w:tcPr>
            <w:shd w:val="clear" w:color="auto" w:fill="fafafc"/>
            <w:tcBorders/>
            <w:tcW w:w="1300" w:type="dxa"/>
          </w:tcPr>
          <w:p>
            <w:pPr>
              <w:pStyle w:val="731"/>
              <w:pBdr/>
              <w:spacing/>
              <w:ind/>
              <w:rPr/>
            </w:pPr>
            <w:r>
              <w:t xml:space="preserve">Infantil</w:t>
            </w:r>
            <w:r/>
          </w:p>
        </w:tc>
        <w:tc>
          <w:tcPr>
            <w:shd w:val="clear" w:color="auto" w:fill="fafafc"/>
            <w:tcBorders/>
            <w:tcW w:w="2200" w:type="dxa"/>
          </w:tcPr>
          <w:p>
            <w:pPr>
              <w:pStyle w:val="731"/>
              <w:pBdr/>
              <w:spacing/>
              <w:ind/>
              <w:rPr/>
            </w:pPr>
            <w:r>
              <w:t xml:space="preserve">Pre juvenil</w:t>
            </w:r>
            <w:r/>
          </w:p>
        </w:tc>
        <w:tc>
          <w:tcPr>
            <w:shd w:val="clear" w:color="auto" w:fill="fafafc"/>
            <w:tcBorders/>
            <w:tcW w:w="2400" w:type="dxa"/>
          </w:tcPr>
          <w:p>
            <w:pPr>
              <w:pStyle w:val="731"/>
              <w:pBdr/>
              <w:spacing/>
              <w:ind/>
              <w:rPr/>
            </w:pPr>
            <w:r>
              <w:t xml:space="preserve">2011–2012</w:t>
            </w:r>
            <w:r/>
          </w:p>
        </w:tc>
        <w:tc>
          <w:tcPr>
            <w:shd w:val="clear" w:color="auto" w:fill="fafafc"/>
            <w:tcBorders/>
            <w:tcW w:w="3504" w:type="dxa"/>
          </w:tcPr>
          <w:p>
            <w:pPr>
              <w:pStyle w:val="731"/>
              <w:pBdr/>
              <w:spacing/>
              <w:ind/>
              <w:rPr/>
            </w:pPr>
            <w:r>
              <w:t xml:space="preserve">11 jugadores por equipo.</w:t>
            </w:r>
            <w:r/>
          </w:p>
        </w:tc>
      </w:tr>
      <w:tr>
        <w:trPr>
          <w:cantSplit/>
        </w:trPr>
        <w:tc>
          <w:tcPr>
            <w:tcBorders/>
            <w:tcW w:w="1300" w:type="dxa"/>
          </w:tcPr>
          <w:p>
            <w:pPr>
              <w:pStyle w:val="731"/>
              <w:pBdr/>
              <w:spacing/>
              <w:ind/>
              <w:rPr/>
            </w:pPr>
            <w:r>
              <w:t xml:space="preserve">Femenil</w:t>
            </w:r>
            <w:r/>
          </w:p>
        </w:tc>
        <w:tc>
          <w:tcPr>
            <w:tcBorders/>
            <w:tcW w:w="2200" w:type="dxa"/>
          </w:tcPr>
          <w:p>
            <w:pPr>
              <w:pStyle w:val="731"/>
              <w:pBdr/>
              <w:spacing/>
              <w:ind/>
              <w:rPr/>
            </w:pPr>
            <w:r>
              <w:t xml:space="preserve">Femenil Libre</w:t>
            </w:r>
            <w:r/>
          </w:p>
        </w:tc>
        <w:tc>
          <w:tcPr>
            <w:tcBorders/>
            <w:tcW w:w="2400" w:type="dxa"/>
          </w:tcPr>
          <w:p>
            <w:pPr>
              <w:pStyle w:val="731"/>
              <w:pBdr/>
              <w:spacing/>
              <w:ind/>
              <w:rPr/>
            </w:pPr>
            <w:r>
              <w:t xml:space="preserve">No se indica</w:t>
            </w:r>
            <w:r/>
          </w:p>
        </w:tc>
        <w:tc>
          <w:tcPr>
            <w:tcBorders/>
            <w:tcW w:w="3504" w:type="dxa"/>
          </w:tcPr>
          <w:p>
            <w:pPr>
              <w:pStyle w:val="731"/>
              <w:pBdr/>
              <w:spacing/>
              <w:ind/>
              <w:rPr/>
            </w:pPr>
            <w:r/>
            <w:r/>
          </w:p>
        </w:tc>
      </w:tr>
      <w:tr>
        <w:trPr>
          <w:cantSplit/>
        </w:trPr>
        <w:tc>
          <w:tcPr>
            <w:shd w:val="clear" w:color="auto" w:fill="fafafc"/>
            <w:tcBorders/>
            <w:tcW w:w="1300" w:type="dxa"/>
          </w:tcPr>
          <w:p>
            <w:pPr>
              <w:pStyle w:val="731"/>
              <w:pBdr/>
              <w:spacing/>
              <w:ind/>
              <w:rPr/>
            </w:pPr>
            <w:r>
              <w:t xml:space="preserve">Femenil</w:t>
            </w:r>
            <w:r/>
          </w:p>
        </w:tc>
        <w:tc>
          <w:tcPr>
            <w:shd w:val="clear" w:color="auto" w:fill="fafafc"/>
            <w:tcBorders/>
            <w:tcW w:w="2200" w:type="dxa"/>
          </w:tcPr>
          <w:p>
            <w:pPr>
              <w:pStyle w:val="731"/>
              <w:pBdr/>
              <w:spacing/>
              <w:ind/>
              <w:rPr/>
            </w:pPr>
            <w:r>
              <w:t xml:space="preserve">Femenil</w:t>
            </w:r>
            <w:r/>
          </w:p>
        </w:tc>
        <w:tc>
          <w:tcPr>
            <w:shd w:val="clear" w:color="auto" w:fill="fafafc"/>
            <w:tcBorders/>
            <w:tcW w:w="2400" w:type="dxa"/>
          </w:tcPr>
          <w:p>
            <w:pPr>
              <w:pStyle w:val="731"/>
              <w:pBdr/>
              <w:spacing/>
              <w:ind/>
              <w:rPr/>
            </w:pPr>
            <w:r>
              <w:t xml:space="preserve">2012 o menores</w:t>
            </w:r>
            <w:r/>
          </w:p>
        </w:tc>
        <w:tc>
          <w:tcPr>
            <w:shd w:val="clear" w:color="auto" w:fill="fafafc"/>
            <w:tcBorders/>
            <w:tcW w:w="3504" w:type="dxa"/>
          </w:tcPr>
          <w:p>
            <w:pPr>
              <w:pStyle w:val="731"/>
              <w:pBdr/>
              <w:spacing/>
              <w:ind/>
              <w:rPr/>
            </w:pPr>
            <w:r/>
            <w:r/>
          </w:p>
        </w:tc>
      </w:tr>
    </w:tbl>
    <w:p>
      <w:pPr>
        <w:pBdr/>
        <w:spacing w:after="60" w:before="0"/>
        <w:ind/>
        <w:rPr/>
      </w:pPr>
      <w:r/>
      <w:r/>
    </w:p>
    <w:p>
      <w:pPr>
        <w:keepNext w:val="true"/>
        <w:pBdr/>
        <w:spacing/>
        <w:ind/>
        <w:rPr/>
      </w:pPr>
      <w:r>
        <w:t xml:space="preserve">Observaciones sobre las categorías:</w:t>
      </w:r>
      <w:r/>
    </w:p>
    <w:p>
      <w:pPr>
        <w:pStyle w:val="730"/>
        <w:numPr>
          <w:ilvl w:val="0"/>
          <w:numId w:val="1"/>
        </w:numPr>
        <w:pBdr/>
        <w:spacing/>
        <w:ind/>
        <w:rPr/>
      </w:pPr>
      <w:r>
        <w:rPr>
          <w:b/>
          <w:bCs/>
        </w:rPr>
        <w:t xml:space="preserve">Número de categorías.</w:t>
      </w:r>
      <w:r>
        <w:t xml:space="preserve"> En 2025–20</w:t>
      </w:r>
      <w:r>
        <w:t xml:space="preserve">26 hubo 25 categorías [REF-07, P13; REF-14]. Las convocatorias 2026–2027 nombran 25 (9 libres, 7 de veteranos, 7 infantiles y 2 femeniles), pero «Juvenil» aparece en las dos convocatorias; si es la misma categoría, serían 24. Total vigente para 2026–2027: </w:t>
      </w:r>
      <w:r>
        <w:rPr>
          <w:b/>
          <w:bCs/>
          <w:color w:val="9c4a00"/>
          <w:shd w:val="clear" w:color="auto" w:fill="fff2cc"/>
        </w:rPr>
        <w:t xml:space="preserve">[POR DEFINIR]</w:t>
      </w:r>
      <w:r>
        <w:t xml:space="preserve">. </w:t>
      </w:r>
      <w:r>
        <w:rPr>
          <w:b/>
          <w:bCs/>
        </w:rPr>
        <w:t xml:space="preserve">Impacto:</w:t>
      </w:r>
      <w:r>
        <w:t xml:space="preserve"> bajo, siempre que el Sistema no limite el número de categorías.</w:t>
      </w:r>
      <w:r/>
    </w:p>
    <w:p>
      <w:pPr>
        <w:pStyle w:val="730"/>
        <w:numPr>
          <w:ilvl w:val="0"/>
          <w:numId w:val="1"/>
        </w:numPr>
        <w:pBdr/>
        <w:spacing/>
        <w:ind/>
        <w:rPr/>
      </w:pPr>
      <w:r>
        <w:rPr>
          <w:b/>
          <w:bCs/>
        </w:rPr>
        <w:t xml:space="preserve">Discrepancia de edades.</w:t>
      </w:r>
      <w:r>
        <w:t xml:space="preserve"> El levantamiento indica que Dorado es para jugadores de 63 años o más </w:t>
      </w:r>
      <w:r>
        <w:t xml:space="preserve">y Premier para mayores de 65 [REF-07, P13]. La Convocatoria 2026–2027 establece Premier para nacidos en 1972 o antes, Dorado para 1963 o antes y Platino para 1959 o antes [REF-01, II]. Este ERS adopta la convocatoria por ser el documento normativo vigente.</w:t>
      </w:r>
      <w:r/>
    </w:p>
    <w:p>
      <w:pPr>
        <w:pStyle w:val="730"/>
        <w:numPr>
          <w:ilvl w:val="0"/>
          <w:numId w:val="1"/>
        </w:numPr>
        <w:pBdr/>
        <w:spacing/>
        <w:ind/>
        <w:rPr/>
      </w:pPr>
      <w:r>
        <w:rPr>
          <w:b/>
          <w:bCs/>
        </w:rPr>
        <w:t xml:space="preserve">Alineación en otras categorías.</w:t>
      </w:r>
      <w:r>
        <w:t xml:space="preserve"> En la rama infantil, los jugadores de categorías inferiores pueden alinear en la categoría inmediata superior [REF-02, II-d]. En veteranos, un jugador puede jugar en otra categoría de veteranos si su club la tiene [REF-01, II-i a II-m].</w:t>
      </w:r>
      <w:r/>
    </w:p>
    <w:p>
      <w:pPr>
        <w:pStyle w:val="725"/>
        <w:pBdr/>
        <w:spacing/>
        <w:ind/>
        <w:rPr/>
      </w:pPr>
      <w:r/>
      <w:bookmarkStart w:id="20" w:name="_Toc100020"/>
      <w:r>
        <w:t xml:space="preserve">1.3.4 Partidos, arbitraje y disciplina</w:t>
      </w:r>
      <w:bookmarkEnd w:id="20"/>
      <w:r/>
      <w:r/>
    </w:p>
    <w:p>
      <w:pPr>
        <w:pStyle w:val="732"/>
        <w:keepNext w:val="true"/>
        <w:pBdr/>
        <w:spacing/>
        <w:ind/>
        <w:rPr/>
      </w:pPr>
      <w:r>
        <w:rPr>
          <w:b/>
          <w:bCs/>
          <w:color w:val="241a61"/>
          <w:sz w:val="18"/>
          <w:szCs w:val="18"/>
        </w:rPr>
        <w:t xml:space="preserve">Tabla 12. </w:t>
      </w:r>
      <w:r>
        <w:rPr>
          <w:sz w:val="18"/>
          <w:szCs w:val="18"/>
        </w:rPr>
        <w:t xml:space="preserve">Términos de partidos, arbitraje y disciplina.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000"/>
        <w:gridCol w:w="5404"/>
        <w:gridCol w:w="2000"/>
      </w:tblGrid>
      <w:tr>
        <w:trPr>
          <w:cantSplit/>
          <w:tblHeader/>
        </w:trPr>
        <w:tc>
          <w:tcPr>
            <w:shd w:val="clear" w:color="auto" w:fill="241a61"/>
            <w:tcBorders/>
            <w:tcW w:w="2000" w:type="dxa"/>
            <w:vAlign w:val="center"/>
          </w:tcPr>
          <w:p>
            <w:pPr>
              <w:pStyle w:val="731"/>
              <w:pBdr/>
              <w:spacing/>
              <w:ind/>
              <w:rPr/>
            </w:pPr>
            <w:r>
              <w:rPr>
                <w:b/>
                <w:bCs/>
                <w:color w:val="ffffff"/>
              </w:rPr>
              <w:t xml:space="preserve">Término</w:t>
            </w:r>
            <w:r/>
          </w:p>
        </w:tc>
        <w:tc>
          <w:tcPr>
            <w:shd w:val="clear" w:color="auto" w:fill="241a61"/>
            <w:tcBorders/>
            <w:tcW w:w="5404" w:type="dxa"/>
            <w:vAlign w:val="center"/>
          </w:tcPr>
          <w:p>
            <w:pPr>
              <w:pStyle w:val="731"/>
              <w:pBdr/>
              <w:spacing/>
              <w:ind/>
              <w:rPr/>
            </w:pPr>
            <w:r>
              <w:rPr>
                <w:b/>
                <w:bCs/>
                <w:color w:val="ffffff"/>
              </w:rPr>
              <w:t xml:space="preserve">Definición</w:t>
            </w:r>
            <w:r/>
          </w:p>
        </w:tc>
        <w:tc>
          <w:tcPr>
            <w:shd w:val="clear" w:color="auto" w:fill="241a61"/>
            <w:tcBorders/>
            <w:tcW w:w="2000" w:type="dxa"/>
            <w:vAlign w:val="center"/>
          </w:tcPr>
          <w:p>
            <w:pPr>
              <w:pStyle w:val="731"/>
              <w:pBdr/>
              <w:spacing/>
              <w:ind/>
              <w:rPr/>
            </w:pPr>
            <w:r>
              <w:rPr>
                <w:b/>
                <w:bCs/>
                <w:color w:val="ffffff"/>
              </w:rPr>
              <w:t xml:space="preserve">Fuente</w:t>
            </w:r>
            <w:r/>
          </w:p>
        </w:tc>
      </w:tr>
      <w:tr>
        <w:trPr>
          <w:cantSplit/>
        </w:trPr>
        <w:tc>
          <w:tcPr>
            <w:tcBorders/>
            <w:tcW w:w="2000" w:type="dxa"/>
          </w:tcPr>
          <w:p>
            <w:pPr>
              <w:pStyle w:val="731"/>
              <w:pBdr/>
              <w:spacing/>
              <w:ind/>
              <w:rPr/>
            </w:pPr>
            <w:r>
              <w:t xml:space="preserve">Cancha</w:t>
            </w:r>
            <w:r/>
          </w:p>
        </w:tc>
        <w:tc>
          <w:tcPr>
            <w:tcBorders/>
            <w:tcW w:w="5404" w:type="dxa"/>
          </w:tcPr>
          <w:p>
            <w:pPr>
              <w:pStyle w:val="731"/>
              <w:pBdr/>
              <w:spacing/>
              <w:ind/>
              <w:rPr/>
            </w:pPr>
            <w:r>
              <w:t xml:space="preserve">Campo de juego donde se disputa un partido. En la U.D.C. se identifica por número (por ejemplo, las canchas 1, 7–13, 16, 17 y 20 de la programación del 03/10/2026) y algunas tienen nombre, como «Félix Cerda Loza».</w:t>
            </w:r>
            <w:r/>
          </w:p>
        </w:tc>
        <w:tc>
          <w:tcPr>
            <w:tcBorders/>
            <w:tcW w:w="2000" w:type="dxa"/>
          </w:tcPr>
          <w:p>
            <w:pPr>
              <w:pStyle w:val="731"/>
              <w:pBdr/>
              <w:spacing/>
              <w:ind/>
              <w:rPr/>
            </w:pPr>
            <w:r>
              <w:t xml:space="preserve">REF-03; REF-15</w:t>
            </w:r>
            <w:r/>
          </w:p>
        </w:tc>
      </w:tr>
      <w:tr>
        <w:trPr>
          <w:cantSplit/>
        </w:trPr>
        <w:tc>
          <w:tcPr>
            <w:shd w:val="clear" w:color="auto" w:fill="fafafc"/>
            <w:tcBorders/>
            <w:tcW w:w="2000" w:type="dxa"/>
          </w:tcPr>
          <w:p>
            <w:pPr>
              <w:pStyle w:val="731"/>
              <w:pBdr/>
              <w:spacing/>
              <w:ind/>
              <w:rPr/>
            </w:pPr>
            <w:r>
              <w:t xml:space="preserve">Cancha alterna o foránea</w:t>
            </w:r>
            <w:r/>
          </w:p>
        </w:tc>
        <w:tc>
          <w:tcPr>
            <w:shd w:val="clear" w:color="auto" w:fill="fafafc"/>
            <w:tcBorders/>
            <w:tcW w:w="5404" w:type="dxa"/>
          </w:tcPr>
          <w:p>
            <w:pPr>
              <w:pStyle w:val="731"/>
              <w:pBdr/>
              <w:spacing/>
              <w:ind/>
              <w:rPr/>
            </w:pPr>
            <w:r>
              <w:t xml:space="preserve">Cancha fuera de la U.D.C.: de clubes o en otras localidades.</w:t>
            </w:r>
            <w:r/>
          </w:p>
        </w:tc>
        <w:tc>
          <w:tcPr>
            <w:shd w:val="clear" w:color="auto" w:fill="fafafc"/>
            <w:tcBorders/>
            <w:tcW w:w="2000" w:type="dxa"/>
          </w:tcPr>
          <w:p>
            <w:pPr>
              <w:pStyle w:val="731"/>
              <w:pBdr/>
              <w:spacing/>
              <w:ind/>
              <w:rPr/>
            </w:pPr>
            <w:r>
              <w:t xml:space="preserve">REF-07, P19; REF-01, X-e</w:t>
            </w:r>
            <w:r/>
          </w:p>
        </w:tc>
      </w:tr>
      <w:tr>
        <w:trPr>
          <w:cantSplit/>
        </w:trPr>
        <w:tc>
          <w:tcPr>
            <w:tcBorders/>
            <w:tcW w:w="2000" w:type="dxa"/>
          </w:tcPr>
          <w:p>
            <w:pPr>
              <w:pStyle w:val="731"/>
              <w:pBdr/>
              <w:spacing/>
              <w:ind/>
              <w:rPr/>
            </w:pPr>
            <w:r>
              <w:t xml:space="preserve">Árbitro (silbante)</w:t>
            </w:r>
            <w:r/>
          </w:p>
        </w:tc>
        <w:tc>
          <w:tcPr>
            <w:tcBorders/>
            <w:tcW w:w="5404" w:type="dxa"/>
          </w:tcPr>
          <w:p>
            <w:pPr>
              <w:pStyle w:val="731"/>
              <w:pBdr/>
              <w:spacing/>
              <w:ind/>
              <w:rPr/>
            </w:pPr>
            <w:r>
              <w:t xml:space="preserve">Persona que dirige el partido. La Liga no emplea árbitros: contrata colegios de arbitraje independientes de la región.</w:t>
            </w:r>
            <w:r/>
          </w:p>
        </w:tc>
        <w:tc>
          <w:tcPr>
            <w:tcBorders/>
            <w:tcW w:w="2000" w:type="dxa"/>
          </w:tcPr>
          <w:p>
            <w:pPr>
              <w:pStyle w:val="731"/>
              <w:pBdr/>
              <w:spacing/>
              <w:ind/>
              <w:rPr/>
            </w:pPr>
            <w:r>
              <w:t xml:space="preserve">REF-07, P18</w:t>
            </w:r>
            <w:r/>
          </w:p>
        </w:tc>
      </w:tr>
      <w:tr>
        <w:trPr>
          <w:cantSplit/>
        </w:trPr>
        <w:tc>
          <w:tcPr>
            <w:shd w:val="clear" w:color="auto" w:fill="fafafc"/>
            <w:tcBorders/>
            <w:tcW w:w="2000" w:type="dxa"/>
          </w:tcPr>
          <w:p>
            <w:pPr>
              <w:pStyle w:val="731"/>
              <w:pBdr/>
              <w:spacing/>
              <w:ind/>
              <w:rPr/>
            </w:pPr>
            <w:r>
              <w:t xml:space="preserve">Colegio de árbitros</w:t>
            </w:r>
            <w:r/>
          </w:p>
        </w:tc>
        <w:tc>
          <w:tcPr>
            <w:shd w:val="clear" w:color="auto" w:fill="fafafc"/>
            <w:tcBorders/>
            <w:tcW w:w="5404" w:type="dxa"/>
          </w:tcPr>
          <w:p>
            <w:pPr>
              <w:pStyle w:val="731"/>
              <w:pBdr/>
              <w:spacing/>
              <w:ind/>
              <w:rPr/>
            </w:pPr>
            <w:r>
              <w:t xml:space="preserve">Organización independiente que provee árbitros a la Liga. Recolecta las cédulas de sus árbitros y las entrega en las oficinas de la Liga.</w:t>
            </w:r>
            <w:r/>
          </w:p>
        </w:tc>
        <w:tc>
          <w:tcPr>
            <w:shd w:val="clear" w:color="auto" w:fill="fafafc"/>
            <w:tcBorders/>
            <w:tcW w:w="2000" w:type="dxa"/>
          </w:tcPr>
          <w:p>
            <w:pPr>
              <w:pStyle w:val="731"/>
              <w:pBdr/>
              <w:spacing/>
              <w:ind/>
              <w:rPr/>
            </w:pPr>
            <w:r>
              <w:t xml:space="preserve">REF-07, P18–P19</w:t>
            </w:r>
            <w:r/>
          </w:p>
        </w:tc>
      </w:tr>
      <w:tr>
        <w:trPr>
          <w:cantSplit/>
        </w:trPr>
        <w:tc>
          <w:tcPr>
            <w:tcBorders/>
            <w:tcW w:w="2000" w:type="dxa"/>
          </w:tcPr>
          <w:p>
            <w:pPr>
              <w:pStyle w:val="731"/>
              <w:pBdr/>
              <w:spacing/>
              <w:ind/>
              <w:rPr/>
            </w:pPr>
            <w:r>
              <w:t xml:space="preserve">Cuerpo arbitral (terna)</w:t>
            </w:r>
            <w:r/>
          </w:p>
        </w:tc>
        <w:tc>
          <w:tcPr>
            <w:tcBorders/>
            <w:tcW w:w="5404" w:type="dxa"/>
          </w:tcPr>
          <w:p>
            <w:pPr>
              <w:pStyle w:val="731"/>
              <w:pBdr/>
              <w:spacing/>
              <w:ind/>
              <w:rPr/>
            </w:pPr>
            <w:r>
              <w:t xml:space="preserve">Árbitro central y, cuando hay terna, sus asistentes.</w:t>
            </w:r>
            <w:r/>
          </w:p>
        </w:tc>
        <w:tc>
          <w:tcPr>
            <w:tcBorders/>
            <w:tcW w:w="2000" w:type="dxa"/>
          </w:tcPr>
          <w:p>
            <w:pPr>
              <w:pStyle w:val="731"/>
              <w:pBdr/>
              <w:spacing/>
              <w:ind/>
              <w:rPr/>
            </w:pPr>
            <w:r>
              <w:t xml:space="preserve">REF-07, P19</w:t>
            </w:r>
            <w:r/>
          </w:p>
        </w:tc>
      </w:tr>
      <w:tr>
        <w:trPr>
          <w:cantSplit/>
        </w:trPr>
        <w:tc>
          <w:tcPr>
            <w:shd w:val="clear" w:color="auto" w:fill="fafafc"/>
            <w:tcBorders/>
            <w:tcW w:w="2000" w:type="dxa"/>
          </w:tcPr>
          <w:p>
            <w:pPr>
              <w:pStyle w:val="731"/>
              <w:pBdr/>
              <w:spacing/>
              <w:ind/>
              <w:rPr/>
            </w:pPr>
            <w:r>
              <w:t xml:space="preserve">Árbitro titular y suplente del club</w:t>
            </w:r>
            <w:r/>
          </w:p>
        </w:tc>
        <w:tc>
          <w:tcPr>
            <w:shd w:val="clear" w:color="auto" w:fill="fafafc"/>
            <w:tcBorders/>
            <w:tcW w:w="5404" w:type="dxa"/>
          </w:tcPr>
          <w:p>
            <w:pPr>
              <w:pStyle w:val="731"/>
              <w:pBdr/>
              <w:spacing/>
              <w:ind/>
              <w:rPr/>
            </w:pPr>
            <w:r>
              <w:t xml:space="preserve">Árbitros qu</w:t>
            </w:r>
            <w:r>
              <w:t xml:space="preserve">e cada club debe registrar. Deben presentar acta de nacimiento y constancia del colegio de árbitros, con edad máxima de 35 años. Los clubes con más de 5 fuerzas deben presentar un árbitro adicional menor de 20 años. Relación con los colegios de arbitraje: </w:t>
            </w:r>
            <w:r>
              <w:rPr>
                <w:b/>
                <w:bCs/>
                <w:color w:val="9c4a00"/>
                <w:shd w:val="clear" w:color="auto" w:fill="fff2cc"/>
              </w:rPr>
              <w:t xml:space="preserve">[POR DEFINIR]</w:t>
            </w:r>
            <w:r>
              <w:t xml:space="preserve">.</w:t>
            </w:r>
            <w:r/>
          </w:p>
        </w:tc>
        <w:tc>
          <w:tcPr>
            <w:shd w:val="clear" w:color="auto" w:fill="fafafc"/>
            <w:tcBorders/>
            <w:tcW w:w="2000" w:type="dxa"/>
          </w:tcPr>
          <w:p>
            <w:pPr>
              <w:pStyle w:val="731"/>
              <w:pBdr/>
              <w:spacing/>
              <w:ind/>
              <w:rPr/>
            </w:pPr>
            <w:r>
              <w:t xml:space="preserve">REF-01, I-f y IX-e</w:t>
            </w:r>
            <w:r/>
          </w:p>
        </w:tc>
      </w:tr>
      <w:tr>
        <w:trPr>
          <w:cantSplit/>
        </w:trPr>
        <w:tc>
          <w:tcPr>
            <w:tcBorders/>
            <w:tcW w:w="2000" w:type="dxa"/>
          </w:tcPr>
          <w:p>
            <w:pPr>
              <w:pStyle w:val="731"/>
              <w:pBdr/>
              <w:spacing/>
              <w:ind/>
              <w:rPr/>
            </w:pPr>
            <w:r>
              <w:t xml:space="preserve">Mesa del árbitro (mesa técnica)</w:t>
            </w:r>
            <w:r/>
          </w:p>
        </w:tc>
        <w:tc>
          <w:tcPr>
            <w:tcBorders/>
            <w:tcW w:w="5404" w:type="dxa"/>
          </w:tcPr>
          <w:p>
            <w:pPr>
              <w:pStyle w:val="731"/>
              <w:pBdr/>
              <w:spacing/>
              <w:ind/>
              <w:rPr/>
            </w:pPr>
            <w:r>
              <w:t xml:space="preserve">Mesa junto a la cancha donde se registran los jugadores antes del partido y se cierra la cédula.</w:t>
            </w:r>
            <w:r/>
          </w:p>
        </w:tc>
        <w:tc>
          <w:tcPr>
            <w:tcBorders/>
            <w:tcW w:w="2000" w:type="dxa"/>
          </w:tcPr>
          <w:p>
            <w:pPr>
              <w:pStyle w:val="731"/>
              <w:pBdr/>
              <w:spacing/>
              <w:ind/>
              <w:rPr/>
            </w:pPr>
            <w:r>
              <w:t xml:space="preserve">REF-07, P19</w:t>
            </w:r>
            <w:r/>
          </w:p>
        </w:tc>
      </w:tr>
      <w:tr>
        <w:trPr>
          <w:cantSplit/>
        </w:trPr>
        <w:tc>
          <w:tcPr>
            <w:shd w:val="clear" w:color="auto" w:fill="fafafc"/>
            <w:tcBorders/>
            <w:tcW w:w="2000" w:type="dxa"/>
          </w:tcPr>
          <w:p>
            <w:pPr>
              <w:pStyle w:val="731"/>
              <w:pBdr/>
              <w:spacing/>
              <w:ind/>
              <w:rPr/>
            </w:pPr>
            <w:r>
              <w:t xml:space="preserve">Cédula arbitral (cédula de juego)</w:t>
            </w:r>
            <w:r/>
          </w:p>
        </w:tc>
        <w:tc>
          <w:tcPr>
            <w:shd w:val="clear" w:color="auto" w:fill="fafafc"/>
            <w:tcBorders/>
            <w:tcW w:w="5404" w:type="dxa"/>
          </w:tcPr>
          <w:p>
            <w:pPr>
              <w:pStyle w:val="731"/>
              <w:pBdr/>
              <w:spacing/>
              <w:ind/>
              <w:rPr/>
            </w:pPr>
            <w:r>
              <w:t xml:space="preserve">Formato en papel autocopiante. Antes del partido se anotan los jugadores titulares y suplentes (nombre, número de camiseta y número </w:t>
            </w:r>
            <w:r>
              <w:t xml:space="preserve">de credencial); al final, el marcador, los goleadores, las tarjetas con el motivo de las expulsiones y observaciones sobre las porras o el estado de la cancha. La firman el árbitro y los capitanes; el original queda al árbitro y las copias a los delegados.</w:t>
            </w:r>
            <w:r/>
          </w:p>
        </w:tc>
        <w:tc>
          <w:tcPr>
            <w:shd w:val="clear" w:color="auto" w:fill="fafafc"/>
            <w:tcBorders/>
            <w:tcW w:w="2000" w:type="dxa"/>
          </w:tcPr>
          <w:p>
            <w:pPr>
              <w:pStyle w:val="731"/>
              <w:pBdr/>
              <w:spacing/>
              <w:ind/>
              <w:rPr/>
            </w:pPr>
            <w:r>
              <w:t xml:space="preserve">REF-07, P19</w:t>
            </w:r>
            <w:r/>
          </w:p>
        </w:tc>
      </w:tr>
      <w:tr>
        <w:trPr>
          <w:cantSplit/>
        </w:trPr>
        <w:tc>
          <w:tcPr>
            <w:tcBorders/>
            <w:tcW w:w="2000" w:type="dxa"/>
          </w:tcPr>
          <w:p>
            <w:pPr>
              <w:pStyle w:val="731"/>
              <w:pBdr/>
              <w:spacing/>
              <w:ind/>
              <w:rPr/>
            </w:pPr>
            <w:r>
              <w:t xml:space="preserve">Reporte arbitral</w:t>
            </w:r>
            <w:r/>
          </w:p>
        </w:tc>
        <w:tc>
          <w:tcPr>
            <w:tcBorders/>
            <w:tcW w:w="5404" w:type="dxa"/>
          </w:tcPr>
          <w:p>
            <w:pPr>
              <w:pStyle w:val="731"/>
              <w:pBdr/>
              <w:spacing/>
              <w:ind/>
              <w:rPr/>
            </w:pPr>
            <w:r>
              <w:t xml:space="preserve">Informe del cuerpo arbitral que se entrega junto con la cédula. Contenido distinto al de la cédula: </w:t>
            </w:r>
            <w:r>
              <w:rPr>
                <w:b/>
                <w:bCs/>
                <w:color w:val="9c4a00"/>
                <w:shd w:val="clear" w:color="auto" w:fill="fff2cc"/>
              </w:rPr>
              <w:t xml:space="preserve">[POR DEFINIR]</w:t>
            </w:r>
            <w:r>
              <w:t xml:space="preserve">.</w:t>
            </w:r>
            <w:r/>
          </w:p>
        </w:tc>
        <w:tc>
          <w:tcPr>
            <w:tcBorders/>
            <w:tcW w:w="2000" w:type="dxa"/>
          </w:tcPr>
          <w:p>
            <w:pPr>
              <w:pStyle w:val="731"/>
              <w:pBdr/>
              <w:spacing/>
              <w:ind/>
              <w:rPr/>
            </w:pPr>
            <w:r>
              <w:t xml:space="preserve">REF-07, P18</w:t>
            </w:r>
            <w:r/>
          </w:p>
        </w:tc>
      </w:tr>
      <w:tr>
        <w:trPr>
          <w:cantSplit/>
        </w:trPr>
        <w:tc>
          <w:tcPr>
            <w:shd w:val="clear" w:color="auto" w:fill="fafafc"/>
            <w:tcBorders/>
            <w:tcW w:w="2000" w:type="dxa"/>
          </w:tcPr>
          <w:p>
            <w:pPr>
              <w:pStyle w:val="731"/>
              <w:pBdr/>
              <w:spacing/>
              <w:ind/>
              <w:rPr/>
            </w:pPr>
            <w:r>
              <w:t xml:space="preserve">Credencial</w:t>
            </w:r>
            <w:r/>
          </w:p>
        </w:tc>
        <w:tc>
          <w:tcPr>
            <w:shd w:val="clear" w:color="auto" w:fill="fafafc"/>
            <w:tcBorders/>
            <w:tcW w:w="5404" w:type="dxa"/>
          </w:tcPr>
          <w:p>
            <w:pPr>
              <w:pStyle w:val="731"/>
              <w:pBdr/>
              <w:spacing/>
              <w:ind/>
              <w:rPr/>
            </w:pPr>
            <w:r>
              <w:t xml:space="preserve">Identificación física del jugador emitida por la Liga, con número de credencial, que el árbitro coteja antes del partido. Los delegados recogen las credenciales selladas. Relación con el registro de jugador: </w:t>
            </w:r>
            <w:r>
              <w:rPr>
                <w:b/>
                <w:bCs/>
                <w:color w:val="9c4a00"/>
                <w:shd w:val="clear" w:color="auto" w:fill="fff2cc"/>
              </w:rPr>
              <w:t xml:space="preserve">[POR DEFINIR]</w:t>
            </w:r>
            <w:r>
              <w:t xml:space="preserve">.</w:t>
            </w:r>
            <w:r/>
          </w:p>
        </w:tc>
        <w:tc>
          <w:tcPr>
            <w:shd w:val="clear" w:color="auto" w:fill="fafafc"/>
            <w:tcBorders/>
            <w:tcW w:w="2000" w:type="dxa"/>
          </w:tcPr>
          <w:p>
            <w:pPr>
              <w:pStyle w:val="731"/>
              <w:pBdr/>
              <w:spacing/>
              <w:ind/>
              <w:rPr/>
            </w:pPr>
            <w:r>
              <w:t xml:space="preserve">REF-07, P13 y P19</w:t>
            </w:r>
            <w:r/>
          </w:p>
        </w:tc>
      </w:tr>
      <w:tr>
        <w:trPr>
          <w:cantSplit/>
        </w:trPr>
        <w:tc>
          <w:tcPr>
            <w:tcBorders/>
            <w:tcW w:w="2000" w:type="dxa"/>
          </w:tcPr>
          <w:p>
            <w:pPr>
              <w:pStyle w:val="731"/>
              <w:pBdr/>
              <w:spacing/>
              <w:ind/>
              <w:rPr/>
            </w:pPr>
            <w:r>
              <w:t xml:space="preserve">Registro de jugador</w:t>
            </w:r>
            <w:r/>
          </w:p>
        </w:tc>
        <w:tc>
          <w:tcPr>
            <w:tcBorders/>
            <w:tcW w:w="5404" w:type="dxa"/>
          </w:tcPr>
          <w:p>
            <w:pPr>
              <w:pStyle w:val="731"/>
              <w:pBdr/>
              <w:spacing/>
              <w:ind/>
              <w:rPr/>
            </w:pPr>
            <w:r>
              <w:t xml:space="preserve">Inscripción de un jugador en una categoría de un club para la temporada. Se llena a máquina, con fotografías y documentos que acreditan identidad y fecha de nacimiento (por ejemplo, acta de nacimiento, CURP e identificación).</w:t>
            </w:r>
            <w:r/>
          </w:p>
        </w:tc>
        <w:tc>
          <w:tcPr>
            <w:tcBorders/>
            <w:tcW w:w="2000" w:type="dxa"/>
          </w:tcPr>
          <w:p>
            <w:pPr>
              <w:pStyle w:val="731"/>
              <w:pBdr/>
              <w:spacing/>
              <w:ind/>
              <w:rPr/>
            </w:pPr>
            <w:r>
              <w:t xml:space="preserve">REF-01, II; REF-02, II</w:t>
            </w:r>
            <w:r/>
          </w:p>
        </w:tc>
      </w:tr>
      <w:tr>
        <w:trPr>
          <w:cantSplit/>
        </w:trPr>
        <w:tc>
          <w:tcPr>
            <w:shd w:val="clear" w:color="auto" w:fill="fafafc"/>
            <w:tcBorders/>
            <w:tcW w:w="2000" w:type="dxa"/>
          </w:tcPr>
          <w:p>
            <w:pPr>
              <w:pStyle w:val="731"/>
              <w:pBdr/>
              <w:spacing/>
              <w:ind/>
              <w:rPr/>
            </w:pPr>
            <w:r>
              <w:t xml:space="preserve">Tarjetón de inscripción</w:t>
            </w:r>
            <w:r/>
          </w:p>
        </w:tc>
        <w:tc>
          <w:tcPr>
            <w:shd w:val="clear" w:color="auto" w:fill="fafafc"/>
            <w:tcBorders/>
            <w:tcW w:w="5404" w:type="dxa"/>
          </w:tcPr>
          <w:p>
            <w:pPr>
              <w:pStyle w:val="731"/>
              <w:pBdr/>
              <w:spacing/>
              <w:ind/>
              <w:rPr/>
            </w:pPr>
            <w:r>
              <w:t xml:space="preserve">Formato con los datos generales del club, llenado a máquina y firmado por su directiva, para inscribir al club.</w:t>
            </w:r>
            <w:r/>
          </w:p>
        </w:tc>
        <w:tc>
          <w:tcPr>
            <w:shd w:val="clear" w:color="auto" w:fill="fafafc"/>
            <w:tcBorders/>
            <w:tcW w:w="2000" w:type="dxa"/>
          </w:tcPr>
          <w:p>
            <w:pPr>
              <w:pStyle w:val="731"/>
              <w:pBdr/>
              <w:spacing/>
              <w:ind/>
              <w:rPr/>
            </w:pPr>
            <w:r>
              <w:t xml:space="preserve">REF-01, I-b; REF-02, I-b</w:t>
            </w:r>
            <w:r/>
          </w:p>
        </w:tc>
      </w:tr>
      <w:tr>
        <w:trPr>
          <w:cantSplit/>
        </w:trPr>
        <w:tc>
          <w:tcPr>
            <w:tcBorders/>
            <w:tcW w:w="2000" w:type="dxa"/>
          </w:tcPr>
          <w:p>
            <w:pPr>
              <w:pStyle w:val="731"/>
              <w:pBdr/>
              <w:spacing/>
              <w:ind/>
              <w:rPr/>
            </w:pPr>
            <w:r>
              <w:t xml:space="preserve">Incidencia</w:t>
            </w:r>
            <w:r/>
          </w:p>
        </w:tc>
        <w:tc>
          <w:tcPr>
            <w:tcBorders/>
            <w:tcW w:w="5404" w:type="dxa"/>
          </w:tcPr>
          <w:p>
            <w:pPr>
              <w:pStyle w:val="731"/>
              <w:pBdr/>
              <w:spacing/>
              <w:ind/>
              <w:rPr/>
            </w:pPr>
            <w:r>
              <w:t xml:space="preserve">Hecho relevante registrado en la cédula: gol, tarjeta amarilla, tarjeta roja (directa o por doble amonestación) u observaciones de conducta o de la cancha.</w:t>
            </w:r>
            <w:r/>
          </w:p>
        </w:tc>
        <w:tc>
          <w:tcPr>
            <w:tcBorders/>
            <w:tcW w:w="2000" w:type="dxa"/>
          </w:tcPr>
          <w:p>
            <w:pPr>
              <w:pStyle w:val="731"/>
              <w:pBdr/>
              <w:spacing/>
              <w:ind/>
              <w:rPr/>
            </w:pPr>
            <w:r>
              <w:t xml:space="preserve">REF-07, P19</w:t>
            </w:r>
            <w:r/>
          </w:p>
        </w:tc>
      </w:tr>
      <w:tr>
        <w:trPr>
          <w:cantSplit/>
        </w:trPr>
        <w:tc>
          <w:tcPr>
            <w:shd w:val="clear" w:color="auto" w:fill="fafafc"/>
            <w:tcBorders/>
            <w:tcW w:w="2000" w:type="dxa"/>
          </w:tcPr>
          <w:p>
            <w:pPr>
              <w:pStyle w:val="731"/>
              <w:pBdr/>
              <w:spacing/>
              <w:ind/>
              <w:rPr/>
            </w:pPr>
            <w:r>
              <w:t xml:space="preserve">Suspensión</w:t>
            </w:r>
            <w:r/>
          </w:p>
        </w:tc>
        <w:tc>
          <w:tcPr>
            <w:shd w:val="clear" w:color="auto" w:fill="fafafc"/>
            <w:tcBorders/>
            <w:tcW w:w="5404" w:type="dxa"/>
          </w:tcPr>
          <w:p>
            <w:pPr>
              <w:pStyle w:val="731"/>
              <w:pBdr/>
              <w:spacing/>
              <w:ind/>
              <w:rPr/>
            </w:pPr>
            <w:r>
              <w:t xml:space="preserve">Sanción que impide a un jugador participar durante un número de partidos. La dictamina el Tribunal de Penas con base en el reglamento interno.</w:t>
            </w:r>
            <w:r/>
          </w:p>
        </w:tc>
        <w:tc>
          <w:tcPr>
            <w:shd w:val="clear" w:color="auto" w:fill="fafafc"/>
            <w:tcBorders/>
            <w:tcW w:w="2000" w:type="dxa"/>
          </w:tcPr>
          <w:p>
            <w:pPr>
              <w:pStyle w:val="731"/>
              <w:pBdr/>
              <w:spacing/>
              <w:ind/>
              <w:rPr/>
            </w:pPr>
            <w:r>
              <w:t xml:space="preserve">REF-07, P19</w:t>
            </w:r>
            <w:r/>
          </w:p>
        </w:tc>
      </w:tr>
      <w:tr>
        <w:trPr>
          <w:cantSplit/>
        </w:trPr>
        <w:tc>
          <w:tcPr>
            <w:tcBorders/>
            <w:tcW w:w="2000" w:type="dxa"/>
          </w:tcPr>
          <w:p>
            <w:pPr>
              <w:pStyle w:val="731"/>
              <w:pBdr/>
              <w:spacing/>
              <w:ind/>
              <w:rPr/>
            </w:pPr>
            <w:r>
              <w:t xml:space="preserve">Castigados (boletín de castigados)</w:t>
            </w:r>
            <w:r/>
          </w:p>
        </w:tc>
        <w:tc>
          <w:tcPr>
            <w:tcBorders/>
            <w:tcW w:w="5404" w:type="dxa"/>
          </w:tcPr>
          <w:p>
            <w:pPr>
              <w:pStyle w:val="731"/>
              <w:pBdr/>
              <w:spacing/>
              <w:ind/>
              <w:rPr/>
            </w:pPr>
            <w:r>
              <w:t xml:space="preserve">Lista oficial semanal de jugadores sancionados y sus partidos de suspensión. Hoy se publica en Facebook.</w:t>
            </w:r>
            <w:r/>
          </w:p>
        </w:tc>
        <w:tc>
          <w:tcPr>
            <w:tcBorders/>
            <w:tcW w:w="2000" w:type="dxa"/>
          </w:tcPr>
          <w:p>
            <w:pPr>
              <w:pStyle w:val="731"/>
              <w:pBdr/>
              <w:spacing/>
              <w:ind/>
              <w:rPr/>
            </w:pPr>
            <w:r>
              <w:t xml:space="preserve">REF-07, P18–P19</w:t>
            </w:r>
            <w:r/>
          </w:p>
        </w:tc>
      </w:tr>
      <w:tr>
        <w:trPr>
          <w:cantSplit/>
        </w:trPr>
        <w:tc>
          <w:tcPr>
            <w:shd w:val="clear" w:color="auto" w:fill="fafafc"/>
            <w:tcBorders/>
            <w:tcW w:w="2000" w:type="dxa"/>
          </w:tcPr>
          <w:p>
            <w:pPr>
              <w:pStyle w:val="731"/>
              <w:pBdr/>
              <w:spacing/>
              <w:ind/>
              <w:rPr/>
            </w:pPr>
            <w:r>
              <w:t xml:space="preserve">Recurso e inconformidad</w:t>
            </w:r>
            <w:r/>
          </w:p>
        </w:tc>
        <w:tc>
          <w:tcPr>
            <w:shd w:val="clear" w:color="auto" w:fill="fafafc"/>
            <w:tcBorders/>
            <w:tcW w:w="5404" w:type="dxa"/>
          </w:tcPr>
          <w:p>
            <w:pPr>
              <w:pStyle w:val="731"/>
              <w:pBdr/>
              <w:spacing/>
              <w:ind/>
              <w:rPr/>
            </w:pPr>
            <w:r>
              <w:t xml:space="preserve">Medios para impugnar una sanción o un resultado. No se pudo confirmar si son el mismo trámite ni su procedimiento: </w:t>
            </w:r>
            <w:r>
              <w:rPr>
                <w:b/>
                <w:bCs/>
                <w:color w:val="9c4a00"/>
                <w:shd w:val="clear" w:color="auto" w:fill="fff2cc"/>
              </w:rPr>
              <w:t xml:space="preserve">[POR DEFINIR]</w:t>
            </w:r>
            <w:r>
              <w:t xml:space="preserve"> (requiere el reglamento interno).</w:t>
            </w:r>
            <w:r/>
          </w:p>
        </w:tc>
        <w:tc>
          <w:tcPr>
            <w:shd w:val="clear" w:color="auto" w:fill="fafafc"/>
            <w:tcBorders/>
            <w:tcW w:w="2000" w:type="dxa"/>
          </w:tcPr>
          <w:p>
            <w:pPr>
              <w:pStyle w:val="731"/>
              <w:pBdr/>
              <w:spacing/>
              <w:ind/>
              <w:rPr/>
            </w:pPr>
            <w:r>
              <w:t xml:space="preserve">REF-06, diap. 5 y 22</w:t>
            </w:r>
            <w:r/>
          </w:p>
        </w:tc>
      </w:tr>
      <w:tr>
        <w:trPr>
          <w:cantSplit/>
        </w:trPr>
        <w:tc>
          <w:tcPr>
            <w:tcBorders/>
            <w:tcW w:w="2000" w:type="dxa"/>
          </w:tcPr>
          <w:p>
            <w:pPr>
              <w:pStyle w:val="731"/>
              <w:pBdr/>
              <w:spacing/>
              <w:ind/>
              <w:rPr/>
            </w:pPr>
            <w:r>
              <w:t xml:space="preserve">Expediente</w:t>
            </w:r>
            <w:r/>
          </w:p>
        </w:tc>
        <w:tc>
          <w:tcPr>
            <w:tcBorders/>
            <w:tcW w:w="5404" w:type="dxa"/>
          </w:tcPr>
          <w:p>
            <w:pPr>
              <w:pStyle w:val="731"/>
              <w:pBdr/>
              <w:spacing/>
              <w:ind/>
              <w:rPr/>
            </w:pPr>
            <w:r>
              <w:t xml:space="preserve">Conjunto de actuaciones de un caso disciplinario, propuesto en el documento base. Uso en la Liga: </w:t>
            </w:r>
            <w:r>
              <w:rPr>
                <w:b/>
                <w:bCs/>
                <w:color w:val="9c4a00"/>
                <w:shd w:val="clear" w:color="auto" w:fill="fff2cc"/>
              </w:rPr>
              <w:t xml:space="preserve">[POR DEFINIR]</w:t>
            </w:r>
            <w:r>
              <w:t xml:space="preserve">.</w:t>
            </w:r>
            <w:r/>
          </w:p>
        </w:tc>
        <w:tc>
          <w:tcPr>
            <w:tcBorders/>
            <w:tcW w:w="2000" w:type="dxa"/>
          </w:tcPr>
          <w:p>
            <w:pPr>
              <w:pStyle w:val="731"/>
              <w:pBdr/>
              <w:spacing/>
              <w:ind/>
              <w:rPr/>
            </w:pPr>
            <w:r>
              <w:t xml:space="preserve">REF-06, diap. 24</w:t>
            </w:r>
            <w:r/>
          </w:p>
        </w:tc>
      </w:tr>
      <w:tr>
        <w:trPr>
          <w:cantSplit/>
        </w:trPr>
        <w:tc>
          <w:tcPr>
            <w:shd w:val="clear" w:color="auto" w:fill="fafafc"/>
            <w:tcBorders/>
            <w:tcW w:w="2000" w:type="dxa"/>
          </w:tcPr>
          <w:p>
            <w:pPr>
              <w:pStyle w:val="731"/>
              <w:pBdr/>
              <w:spacing/>
              <w:ind/>
              <w:rPr/>
            </w:pPr>
            <w:r>
              <w:t xml:space="preserve">«Pendiente de jugar»</w:t>
            </w:r>
            <w:r/>
          </w:p>
        </w:tc>
        <w:tc>
          <w:tcPr>
            <w:shd w:val="clear" w:color="auto" w:fill="fafafc"/>
            <w:tcBorders/>
            <w:tcW w:w="5404" w:type="dxa"/>
          </w:tcPr>
          <w:p>
            <w:pPr>
              <w:pStyle w:val="731"/>
              <w:pBdr/>
              <w:spacing/>
              <w:ind/>
              <w:rPr/>
            </w:pPr>
            <w:r>
              <w:t xml:space="preserve">Anotación que aparece en programaciones publicadas por la prensa. Significado exacto: </w:t>
            </w:r>
            <w:r>
              <w:rPr>
                <w:b/>
                <w:bCs/>
                <w:color w:val="9c4a00"/>
                <w:shd w:val="clear" w:color="auto" w:fill="fff2cc"/>
              </w:rPr>
              <w:t xml:space="preserve">[POR DEFINIR]</w:t>
            </w:r>
            <w:r>
              <w:t xml:space="preserve">.</w:t>
            </w:r>
            <w:r/>
          </w:p>
        </w:tc>
        <w:tc>
          <w:tcPr>
            <w:shd w:val="clear" w:color="auto" w:fill="fafafc"/>
            <w:tcBorders/>
            <w:tcW w:w="2000" w:type="dxa"/>
          </w:tcPr>
          <w:p>
            <w:pPr>
              <w:pStyle w:val="731"/>
              <w:pBdr/>
              <w:spacing/>
              <w:ind/>
              <w:rPr/>
            </w:pPr>
            <w:r>
              <w:t xml:space="preserve">REF-17</w:t>
            </w:r>
            <w:r/>
          </w:p>
        </w:tc>
      </w:tr>
      <w:tr>
        <w:trPr>
          <w:cantSplit/>
        </w:trPr>
        <w:tc>
          <w:tcPr>
            <w:tcBorders/>
            <w:tcW w:w="2000" w:type="dxa"/>
          </w:tcPr>
          <w:p>
            <w:pPr>
              <w:pStyle w:val="731"/>
              <w:pBdr/>
              <w:spacing/>
              <w:ind/>
              <w:rPr/>
            </w:pPr>
            <w:r>
              <w:t xml:space="preserve">Porra</w:t>
            </w:r>
            <w:r/>
          </w:p>
        </w:tc>
        <w:tc>
          <w:tcPr>
            <w:tcBorders/>
            <w:tcW w:w="5404" w:type="dxa"/>
          </w:tcPr>
          <w:p>
            <w:pPr>
              <w:pStyle w:val="731"/>
              <w:pBdr/>
              <w:spacing/>
              <w:ind/>
              <w:rPr/>
            </w:pPr>
            <w:r>
              <w:t xml:space="preserve">Grupo de aficionados de un equipo; su comportamiento puede anotarse en la cédula.</w:t>
            </w:r>
            <w:r/>
          </w:p>
        </w:tc>
        <w:tc>
          <w:tcPr>
            <w:tcBorders/>
            <w:tcW w:w="2000" w:type="dxa"/>
          </w:tcPr>
          <w:p>
            <w:pPr>
              <w:pStyle w:val="731"/>
              <w:pBdr/>
              <w:spacing/>
              <w:ind/>
              <w:rPr/>
            </w:pPr>
            <w:r>
              <w:t xml:space="preserve">REF-07, P19</w:t>
            </w:r>
            <w:r/>
          </w:p>
        </w:tc>
      </w:tr>
    </w:tbl>
    <w:p>
      <w:pPr>
        <w:pBdr/>
        <w:spacing w:after="60" w:before="0"/>
        <w:ind/>
        <w:rPr/>
      </w:pPr>
      <w:r/>
      <w:r/>
    </w:p>
    <w:p>
      <w:pPr>
        <w:pStyle w:val="725"/>
        <w:pBdr/>
        <w:spacing/>
        <w:ind/>
        <w:rPr/>
      </w:pPr>
      <w:r/>
      <w:bookmarkStart w:id="21" w:name="_Toc100021"/>
      <w:r>
        <w:t xml:space="preserve">1.3.5 Aportaciones económicas</w:t>
      </w:r>
      <w:bookmarkEnd w:id="21"/>
      <w:r/>
      <w:r/>
    </w:p>
    <w:p>
      <w:pPr>
        <w:pBdr/>
        <w:spacing/>
        <w:ind/>
        <w:rPr/>
      </w:pPr>
      <w:r>
        <w:t xml:space="preserve">Montos vigentes para la temporada 2026–2027, en pesos mexicanos. Los montos cambian por temporada (PR-06).</w:t>
      </w:r>
      <w:r/>
    </w:p>
    <w:p>
      <w:pPr>
        <w:pStyle w:val="732"/>
        <w:keepNext w:val="true"/>
        <w:pBdr/>
        <w:spacing/>
        <w:ind/>
        <w:rPr/>
      </w:pPr>
      <w:r>
        <w:rPr>
          <w:b/>
          <w:bCs/>
          <w:color w:val="241a61"/>
          <w:sz w:val="18"/>
          <w:szCs w:val="18"/>
        </w:rPr>
        <w:t xml:space="preserve">Tabla 13. </w:t>
      </w:r>
      <w:r>
        <w:rPr>
          <w:sz w:val="18"/>
          <w:szCs w:val="18"/>
        </w:rPr>
        <w:t xml:space="preserve">Conceptos de aportación económica, temporada 2026–2027.</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300"/>
        <w:gridCol w:w="2850"/>
        <w:gridCol w:w="2550"/>
        <w:gridCol w:w="1704"/>
      </w:tblGrid>
      <w:tr>
        <w:trPr>
          <w:cantSplit/>
          <w:tblHeader/>
        </w:trPr>
        <w:tc>
          <w:tcPr>
            <w:shd w:val="clear" w:color="auto" w:fill="241a61"/>
            <w:tcBorders/>
            <w:tcW w:w="2300" w:type="dxa"/>
            <w:vAlign w:val="center"/>
          </w:tcPr>
          <w:p>
            <w:pPr>
              <w:pStyle w:val="731"/>
              <w:pBdr/>
              <w:spacing/>
              <w:ind/>
              <w:rPr/>
            </w:pPr>
            <w:r>
              <w:rPr>
                <w:b/>
                <w:bCs/>
                <w:color w:val="ffffff"/>
              </w:rPr>
              <w:t xml:space="preserve">Concepto</w:t>
            </w:r>
            <w:r/>
          </w:p>
        </w:tc>
        <w:tc>
          <w:tcPr>
            <w:shd w:val="clear" w:color="auto" w:fill="241a61"/>
            <w:tcBorders/>
            <w:tcW w:w="2850" w:type="dxa"/>
            <w:vAlign w:val="center"/>
          </w:tcPr>
          <w:p>
            <w:pPr>
              <w:pStyle w:val="731"/>
              <w:pBdr/>
              <w:spacing/>
              <w:ind/>
              <w:rPr/>
            </w:pPr>
            <w:r>
              <w:rPr>
                <w:b/>
                <w:bCs/>
                <w:color w:val="ffffff"/>
              </w:rPr>
              <w:t xml:space="preserve">Ramas libre y de veteranos</w:t>
            </w:r>
            <w:r/>
          </w:p>
        </w:tc>
        <w:tc>
          <w:tcPr>
            <w:shd w:val="clear" w:color="auto" w:fill="241a61"/>
            <w:tcBorders/>
            <w:tcW w:w="2550" w:type="dxa"/>
            <w:vAlign w:val="center"/>
          </w:tcPr>
          <w:p>
            <w:pPr>
              <w:pStyle w:val="731"/>
              <w:pBdr/>
              <w:spacing/>
              <w:ind/>
              <w:rPr/>
            </w:pPr>
            <w:r>
              <w:rPr>
                <w:b/>
                <w:bCs/>
                <w:color w:val="ffffff"/>
              </w:rPr>
              <w:t xml:space="preserve">Rama infantil</w:t>
            </w:r>
            <w:r/>
          </w:p>
        </w:tc>
        <w:tc>
          <w:tcPr>
            <w:shd w:val="clear" w:color="auto" w:fill="241a61"/>
            <w:tcBorders/>
            <w:tcW w:w="1704" w:type="dxa"/>
            <w:vAlign w:val="center"/>
          </w:tcPr>
          <w:p>
            <w:pPr>
              <w:pStyle w:val="731"/>
              <w:pBdr/>
              <w:spacing/>
              <w:ind/>
              <w:rPr/>
            </w:pPr>
            <w:r>
              <w:rPr>
                <w:b/>
                <w:bCs/>
                <w:color w:val="ffffff"/>
              </w:rPr>
              <w:t xml:space="preserve">Fuente</w:t>
            </w:r>
            <w:r/>
          </w:p>
        </w:tc>
      </w:tr>
      <w:tr>
        <w:trPr>
          <w:cantSplit/>
        </w:trPr>
        <w:tc>
          <w:tcPr>
            <w:tcBorders/>
            <w:tcW w:w="2300" w:type="dxa"/>
          </w:tcPr>
          <w:p>
            <w:pPr>
              <w:pStyle w:val="731"/>
              <w:pBdr/>
              <w:spacing/>
              <w:ind/>
              <w:rPr/>
            </w:pPr>
            <w:r>
              <w:t xml:space="preserve">Cuota de inscripción (por categoría)</w:t>
            </w:r>
            <w:r/>
          </w:p>
        </w:tc>
        <w:tc>
          <w:tcPr>
            <w:tcBorders/>
            <w:tcW w:w="2850" w:type="dxa"/>
          </w:tcPr>
          <w:p>
            <w:pPr>
              <w:pStyle w:val="731"/>
              <w:pBdr/>
              <w:spacing/>
              <w:ind/>
              <w:rPr/>
            </w:pPr>
            <w:r>
              <w:t xml:space="preserve">$100.00 para clubes que ya pertenecen a la Liga; $150.00 para clubes de nuevo ingreso o categorías nuevas.</w:t>
            </w:r>
            <w:r/>
          </w:p>
        </w:tc>
        <w:tc>
          <w:tcPr>
            <w:tcBorders/>
            <w:tcW w:w="2550" w:type="dxa"/>
          </w:tcPr>
          <w:p>
            <w:pPr>
              <w:pStyle w:val="731"/>
              <w:pBdr/>
              <w:spacing/>
              <w:ind/>
              <w:rPr/>
            </w:pPr>
            <w:r>
              <w:t xml:space="preserve">$100.00</w:t>
            </w:r>
            <w:r/>
          </w:p>
        </w:tc>
        <w:tc>
          <w:tcPr>
            <w:tcBorders/>
            <w:tcW w:w="1704" w:type="dxa"/>
          </w:tcPr>
          <w:p>
            <w:pPr>
              <w:pStyle w:val="731"/>
              <w:pBdr/>
              <w:spacing/>
              <w:ind/>
              <w:rPr/>
            </w:pPr>
            <w:r>
              <w:t xml:space="preserve">REF-01, I-c; REF-02, I-c</w:t>
            </w:r>
            <w:r/>
          </w:p>
        </w:tc>
      </w:tr>
      <w:tr>
        <w:trPr>
          <w:cantSplit/>
        </w:trPr>
        <w:tc>
          <w:tcPr>
            <w:shd w:val="clear" w:color="auto" w:fill="fafafc"/>
            <w:tcBorders/>
            <w:tcW w:w="2300" w:type="dxa"/>
          </w:tcPr>
          <w:p>
            <w:pPr>
              <w:pStyle w:val="731"/>
              <w:pBdr/>
              <w:spacing/>
              <w:ind/>
              <w:rPr/>
            </w:pPr>
            <w:r>
              <w:t xml:space="preserve">Registro de jugador</w:t>
            </w:r>
            <w:r/>
          </w:p>
        </w:tc>
        <w:tc>
          <w:tcPr>
            <w:shd w:val="clear" w:color="auto" w:fill="fafafc"/>
            <w:tcBorders/>
            <w:tcW w:w="2850" w:type="dxa"/>
          </w:tcPr>
          <w:p>
            <w:pPr>
              <w:pStyle w:val="731"/>
              <w:pBdr/>
              <w:spacing/>
              <w:ind/>
              <w:rPr/>
            </w:pPr>
            <w:r>
              <w:t xml:space="preserve">$40.00</w:t>
            </w:r>
            <w:r/>
          </w:p>
        </w:tc>
        <w:tc>
          <w:tcPr>
            <w:shd w:val="clear" w:color="auto" w:fill="fafafc"/>
            <w:tcBorders/>
            <w:tcW w:w="2550" w:type="dxa"/>
          </w:tcPr>
          <w:p>
            <w:pPr>
              <w:pStyle w:val="731"/>
              <w:pBdr/>
              <w:spacing/>
              <w:ind/>
              <w:rPr/>
            </w:pPr>
            <w:r>
              <w:t xml:space="preserve">$40.00</w:t>
            </w:r>
            <w:r/>
          </w:p>
        </w:tc>
        <w:tc>
          <w:tcPr>
            <w:shd w:val="clear" w:color="auto" w:fill="fafafc"/>
            <w:tcBorders/>
            <w:tcW w:w="1704" w:type="dxa"/>
          </w:tcPr>
          <w:p>
            <w:pPr>
              <w:pStyle w:val="731"/>
              <w:pBdr/>
              <w:spacing/>
              <w:ind/>
              <w:rPr/>
            </w:pPr>
            <w:r>
              <w:t xml:space="preserve">REF-01, IX-a; REF-02, V-a</w:t>
            </w:r>
            <w:r/>
          </w:p>
        </w:tc>
      </w:tr>
      <w:tr>
        <w:trPr>
          <w:cantSplit/>
        </w:trPr>
        <w:tc>
          <w:tcPr>
            <w:tcBorders/>
            <w:tcW w:w="2300" w:type="dxa"/>
          </w:tcPr>
          <w:p>
            <w:pPr>
              <w:pStyle w:val="731"/>
              <w:pBdr/>
              <w:spacing/>
              <w:ind/>
              <w:rPr/>
            </w:pPr>
            <w:r>
              <w:t xml:space="preserve">Reposición o duplicado de registro</w:t>
            </w:r>
            <w:r/>
          </w:p>
        </w:tc>
        <w:tc>
          <w:tcPr>
            <w:tcBorders/>
            <w:tcW w:w="2850" w:type="dxa"/>
          </w:tcPr>
          <w:p>
            <w:pPr>
              <w:pStyle w:val="731"/>
              <w:pBdr/>
              <w:spacing/>
              <w:ind/>
              <w:rPr/>
            </w:pPr>
            <w:r>
              <w:t xml:space="preserve">$10.00 por registro (también si el club lo llena mal).</w:t>
            </w:r>
            <w:r/>
          </w:p>
        </w:tc>
        <w:tc>
          <w:tcPr>
            <w:tcBorders/>
            <w:tcW w:w="2550" w:type="dxa"/>
          </w:tcPr>
          <w:p>
            <w:pPr>
              <w:pStyle w:val="731"/>
              <w:pBdr/>
              <w:spacing/>
              <w:ind/>
              <w:rPr/>
            </w:pPr>
            <w:r>
              <w:t xml:space="preserve">$10.00 por registro.</w:t>
            </w:r>
            <w:r/>
          </w:p>
        </w:tc>
        <w:tc>
          <w:tcPr>
            <w:tcBorders/>
            <w:tcW w:w="1704" w:type="dxa"/>
          </w:tcPr>
          <w:p>
            <w:pPr>
              <w:pStyle w:val="731"/>
              <w:pBdr/>
              <w:spacing/>
              <w:ind/>
              <w:rPr/>
            </w:pPr>
            <w:r>
              <w:t xml:space="preserve">REF-01, IX-b; REF-02, V-e</w:t>
            </w:r>
            <w:r/>
          </w:p>
        </w:tc>
      </w:tr>
      <w:tr>
        <w:trPr>
          <w:cantSplit/>
        </w:trPr>
        <w:tc>
          <w:tcPr>
            <w:shd w:val="clear" w:color="auto" w:fill="fafafc"/>
            <w:tcBorders/>
            <w:tcW w:w="2300" w:type="dxa"/>
          </w:tcPr>
          <w:p>
            <w:pPr>
              <w:pStyle w:val="731"/>
              <w:pBdr/>
              <w:spacing/>
              <w:ind/>
              <w:rPr/>
            </w:pPr>
            <w:r>
              <w:t xml:space="preserve">Aportación para trofeos (por club)</w:t>
            </w:r>
            <w:r/>
          </w:p>
        </w:tc>
        <w:tc>
          <w:tcPr>
            <w:shd w:val="clear" w:color="auto" w:fill="fafafc"/>
            <w:tcBorders/>
            <w:tcW w:w="2850" w:type="dxa"/>
          </w:tcPr>
          <w:p>
            <w:pPr>
              <w:pStyle w:val="731"/>
              <w:pBdr/>
              <w:spacing/>
              <w:ind/>
              <w:rPr/>
            </w:pPr>
            <w:r>
              <w:t xml:space="preserve">$1,200.00, al inscribirse.</w:t>
            </w:r>
            <w:r/>
          </w:p>
        </w:tc>
        <w:tc>
          <w:tcPr>
            <w:shd w:val="clear" w:color="auto" w:fill="fafafc"/>
            <w:tcBorders/>
            <w:tcW w:w="2550" w:type="dxa"/>
          </w:tcPr>
          <w:p>
            <w:pPr>
              <w:pStyle w:val="731"/>
              <w:pBdr/>
              <w:spacing/>
              <w:ind/>
              <w:rPr/>
            </w:pPr>
            <w:r>
              <w:t xml:space="preserve">$700.00</w:t>
            </w:r>
            <w:r/>
          </w:p>
        </w:tc>
        <w:tc>
          <w:tcPr>
            <w:shd w:val="clear" w:color="auto" w:fill="fafafc"/>
            <w:tcBorders/>
            <w:tcW w:w="1704" w:type="dxa"/>
          </w:tcPr>
          <w:p>
            <w:pPr>
              <w:pStyle w:val="731"/>
              <w:pBdr/>
              <w:spacing/>
              <w:ind/>
              <w:rPr/>
            </w:pPr>
            <w:r>
              <w:t xml:space="preserve">REF-01, IX-c; REF-02, V-e</w:t>
            </w:r>
            <w:r/>
          </w:p>
        </w:tc>
      </w:tr>
      <w:tr>
        <w:trPr>
          <w:cantSplit/>
        </w:trPr>
        <w:tc>
          <w:tcPr>
            <w:tcBorders/>
            <w:tcW w:w="2300" w:type="dxa"/>
          </w:tcPr>
          <w:p>
            <w:pPr>
              <w:pStyle w:val="731"/>
              <w:pBdr/>
              <w:spacing/>
              <w:ind/>
              <w:rPr/>
            </w:pPr>
            <w:r>
              <w:t xml:space="preserve">Arbitraje (por categoría, semanal)</w:t>
            </w:r>
            <w:r/>
          </w:p>
        </w:tc>
        <w:tc>
          <w:tcPr>
            <w:tcBorders/>
            <w:tcW w:w="2850" w:type="dxa"/>
          </w:tcPr>
          <w:p>
            <w:pPr>
              <w:pStyle w:val="731"/>
              <w:pBdr/>
              <w:spacing/>
              <w:ind/>
              <w:rPr/>
            </w:pPr>
            <w:r>
              <w:t xml:space="preserve">$125.00</w:t>
            </w:r>
            <w:r/>
          </w:p>
        </w:tc>
        <w:tc>
          <w:tcPr>
            <w:tcBorders/>
            <w:tcW w:w="2550" w:type="dxa"/>
          </w:tcPr>
          <w:p>
            <w:pPr>
              <w:pStyle w:val="731"/>
              <w:pBdr/>
              <w:spacing/>
              <w:ind/>
              <w:rPr/>
            </w:pPr>
            <w:r>
              <w:t xml:space="preserve">$125.00, por adelantado, lunes y martes de 19:00 a 21:00 h; si no se paga, el club pierde por default en todas sus categorías.</w:t>
            </w:r>
            <w:r/>
          </w:p>
        </w:tc>
        <w:tc>
          <w:tcPr>
            <w:tcBorders/>
            <w:tcW w:w="1704" w:type="dxa"/>
          </w:tcPr>
          <w:p>
            <w:pPr>
              <w:pStyle w:val="731"/>
              <w:pBdr/>
              <w:spacing/>
              <w:ind/>
              <w:rPr/>
            </w:pPr>
            <w:r>
              <w:t xml:space="preserve">REF-01, IX-d; REF-02, V-b y V-c</w:t>
            </w:r>
            <w:r/>
          </w:p>
        </w:tc>
      </w:tr>
      <w:tr>
        <w:trPr>
          <w:cantSplit/>
        </w:trPr>
        <w:tc>
          <w:tcPr>
            <w:shd w:val="clear" w:color="auto" w:fill="fafafc"/>
            <w:tcBorders/>
            <w:tcW w:w="2300" w:type="dxa"/>
          </w:tcPr>
          <w:p>
            <w:pPr>
              <w:pStyle w:val="731"/>
              <w:pBdr/>
              <w:spacing/>
              <w:ind/>
              <w:rPr/>
            </w:pPr>
            <w:r>
              <w:t xml:space="preserve">Mantenimiento de canchas (por club, semanal)</w:t>
            </w:r>
            <w:r/>
          </w:p>
        </w:tc>
        <w:tc>
          <w:tcPr>
            <w:shd w:val="clear" w:color="auto" w:fill="fafafc"/>
            <w:tcBorders/>
            <w:tcW w:w="2850" w:type="dxa"/>
          </w:tcPr>
          <w:p>
            <w:pPr>
              <w:pStyle w:val="731"/>
              <w:pBdr/>
              <w:spacing/>
              <w:ind/>
              <w:rPr/>
            </w:pPr>
            <w:r>
              <w:t xml:space="preserve">$150.00, a más tardar el martes, de 19:30 a 21:30 h, en la tesorería.</w:t>
            </w:r>
            <w:r/>
          </w:p>
        </w:tc>
        <w:tc>
          <w:tcPr>
            <w:shd w:val="clear" w:color="auto" w:fill="fafafc"/>
            <w:tcBorders/>
            <w:tcW w:w="2550" w:type="dxa"/>
          </w:tcPr>
          <w:p>
            <w:pPr>
              <w:pStyle w:val="731"/>
              <w:pBdr/>
              <w:spacing/>
              <w:ind/>
              <w:rPr/>
            </w:pPr>
            <w:r>
              <w:t xml:space="preserve">No se cobra.</w:t>
            </w:r>
            <w:r/>
          </w:p>
        </w:tc>
        <w:tc>
          <w:tcPr>
            <w:shd w:val="clear" w:color="auto" w:fill="fafafc"/>
            <w:tcBorders/>
            <w:tcW w:w="1704" w:type="dxa"/>
          </w:tcPr>
          <w:p>
            <w:pPr>
              <w:pStyle w:val="731"/>
              <w:pBdr/>
              <w:spacing/>
              <w:ind/>
              <w:rPr/>
            </w:pPr>
            <w:r>
              <w:t xml:space="preserve">REF-01, IX-d; REF-02, nota</w:t>
            </w:r>
            <w:r/>
          </w:p>
        </w:tc>
      </w:tr>
      <w:tr>
        <w:trPr>
          <w:cantSplit/>
        </w:trPr>
        <w:tc>
          <w:tcPr>
            <w:tcBorders/>
            <w:tcW w:w="2300" w:type="dxa"/>
          </w:tcPr>
          <w:p>
            <w:pPr>
              <w:pStyle w:val="731"/>
              <w:pBdr/>
              <w:spacing/>
              <w:ind/>
              <w:rPr/>
            </w:pPr>
            <w:r>
              <w:t xml:space="preserve">Cal (por club, por temporada)</w:t>
            </w:r>
            <w:r/>
          </w:p>
        </w:tc>
        <w:tc>
          <w:tcPr>
            <w:tcBorders/>
            <w:tcW w:w="2850" w:type="dxa"/>
          </w:tcPr>
          <w:p>
            <w:pPr>
              <w:pStyle w:val="731"/>
              <w:pBdr/>
              <w:spacing/>
              <w:ind/>
              <w:rPr/>
            </w:pPr>
            <w:r>
              <w:t xml:space="preserve">No aplica.</w:t>
            </w:r>
            <w:r/>
          </w:p>
        </w:tc>
        <w:tc>
          <w:tcPr>
            <w:tcBorders/>
            <w:tcW w:w="2550" w:type="dxa"/>
          </w:tcPr>
          <w:p>
            <w:pPr>
              <w:pStyle w:val="731"/>
              <w:pBdr/>
              <w:spacing/>
              <w:ind/>
              <w:rPr/>
            </w:pPr>
            <w:r>
              <w:t xml:space="preserve">$1,300.00 al inscribirse.</w:t>
            </w:r>
            <w:r/>
          </w:p>
        </w:tc>
        <w:tc>
          <w:tcPr>
            <w:tcBorders/>
            <w:tcW w:w="1704" w:type="dxa"/>
          </w:tcPr>
          <w:p>
            <w:pPr>
              <w:pStyle w:val="731"/>
              <w:pBdr/>
              <w:spacing/>
              <w:ind/>
              <w:rPr/>
            </w:pPr>
            <w:r>
              <w:t xml:space="preserve">REF-02, V-d</w:t>
            </w:r>
            <w:r/>
          </w:p>
        </w:tc>
      </w:tr>
      <w:tr>
        <w:trPr>
          <w:cantSplit/>
        </w:trPr>
        <w:tc>
          <w:tcPr>
            <w:shd w:val="clear" w:color="auto" w:fill="fafafc"/>
            <w:tcBorders/>
            <w:tcW w:w="2300" w:type="dxa"/>
          </w:tcPr>
          <w:p>
            <w:pPr>
              <w:pStyle w:val="731"/>
              <w:pBdr/>
              <w:spacing/>
              <w:ind/>
              <w:rPr/>
            </w:pPr>
            <w:r>
              <w:t xml:space="preserve">Cooperación semanal de jugadores</w:t>
            </w:r>
            <w:r/>
          </w:p>
        </w:tc>
        <w:tc>
          <w:tcPr>
            <w:shd w:val="clear" w:color="auto" w:fill="fafafc"/>
            <w:tcBorders/>
            <w:tcW w:w="2850" w:type="dxa"/>
          </w:tcPr>
          <w:p>
            <w:pPr>
              <w:pStyle w:val="731"/>
              <w:pBdr/>
              <w:spacing/>
              <w:ind/>
              <w:rPr/>
            </w:pPr>
            <w:r>
              <w:t xml:space="preserve">Aportación de los jugadores a su club, que recolecta el delegado. Monto y si el Sistema debe registrarla: </w:t>
            </w:r>
            <w:r>
              <w:rPr>
                <w:b/>
                <w:bCs/>
                <w:color w:val="9c4a00"/>
                <w:shd w:val="clear" w:color="auto" w:fill="fff2cc"/>
              </w:rPr>
              <w:t xml:space="preserve">[POR DEFINIR]</w:t>
            </w:r>
            <w:r>
              <w:t xml:space="preserve">.</w:t>
            </w:r>
            <w:r/>
          </w:p>
        </w:tc>
        <w:tc>
          <w:tcPr>
            <w:shd w:val="clear" w:color="auto" w:fill="fafafc"/>
            <w:tcBorders/>
            <w:tcW w:w="2550" w:type="dxa"/>
          </w:tcPr>
          <w:p>
            <w:pPr>
              <w:pStyle w:val="731"/>
              <w:pBdr/>
              <w:spacing/>
              <w:ind/>
              <w:rPr/>
            </w:pPr>
            <w:r>
              <w:rPr>
                <w:b/>
                <w:bCs/>
                <w:color w:val="9c4a00"/>
                <w:shd w:val="clear" w:color="auto" w:fill="fff2cc"/>
              </w:rPr>
              <w:t xml:space="preserve">[POR DEFINIR]</w:t>
            </w:r>
            <w:r/>
          </w:p>
        </w:tc>
        <w:tc>
          <w:tcPr>
            <w:shd w:val="clear" w:color="auto" w:fill="fafafc"/>
            <w:tcBorders/>
            <w:tcW w:w="1704" w:type="dxa"/>
          </w:tcPr>
          <w:p>
            <w:pPr>
              <w:pStyle w:val="731"/>
              <w:pBdr/>
              <w:spacing/>
              <w:ind/>
              <w:rPr/>
            </w:pPr>
            <w:r>
              <w:t xml:space="preserve">REF-07, P13</w:t>
            </w:r>
            <w:r/>
          </w:p>
        </w:tc>
      </w:tr>
    </w:tbl>
    <w:p>
      <w:pPr>
        <w:pBdr/>
        <w:spacing w:after="60" w:before="0"/>
        <w:ind/>
        <w:rPr/>
      </w:pPr>
      <w:r/>
      <w:r/>
    </w:p>
    <w:p>
      <w:pPr>
        <w:pStyle w:val="725"/>
        <w:pBdr/>
        <w:spacing/>
        <w:ind/>
        <w:rPr/>
      </w:pPr>
      <w:r/>
      <w:bookmarkStart w:id="22" w:name="_Toc100022"/>
      <w:r>
        <w:t xml:space="preserve">1.3.6 Términos de ingeniería de requisitos</w:t>
      </w:r>
      <w:bookmarkEnd w:id="22"/>
      <w:r/>
      <w:r/>
    </w:p>
    <w:p>
      <w:pPr>
        <w:pStyle w:val="732"/>
        <w:keepNext w:val="true"/>
        <w:pBdr/>
        <w:spacing/>
        <w:ind/>
        <w:rPr/>
      </w:pPr>
      <w:r>
        <w:rPr>
          <w:b/>
          <w:bCs/>
          <w:color w:val="241a61"/>
          <w:sz w:val="18"/>
          <w:szCs w:val="18"/>
        </w:rPr>
        <w:t xml:space="preserve">Tabla 14. </w:t>
      </w:r>
      <w:r>
        <w:rPr>
          <w:sz w:val="18"/>
          <w:szCs w:val="18"/>
        </w:rPr>
        <w:t xml:space="preserve">Términos de ingeniería de requisitos usados en el ERS.</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000"/>
        <w:gridCol w:w="5404"/>
        <w:gridCol w:w="2000"/>
      </w:tblGrid>
      <w:tr>
        <w:trPr>
          <w:cantSplit/>
          <w:tblHeader/>
        </w:trPr>
        <w:tc>
          <w:tcPr>
            <w:shd w:val="clear" w:color="auto" w:fill="241a61"/>
            <w:tcBorders/>
            <w:tcW w:w="2000" w:type="dxa"/>
            <w:vAlign w:val="center"/>
          </w:tcPr>
          <w:p>
            <w:pPr>
              <w:pStyle w:val="731"/>
              <w:pBdr/>
              <w:spacing/>
              <w:ind/>
              <w:rPr/>
            </w:pPr>
            <w:r>
              <w:rPr>
                <w:b/>
                <w:bCs/>
                <w:color w:val="ffffff"/>
              </w:rPr>
              <w:t xml:space="preserve">Término</w:t>
            </w:r>
            <w:r/>
          </w:p>
        </w:tc>
        <w:tc>
          <w:tcPr>
            <w:shd w:val="clear" w:color="auto" w:fill="241a61"/>
            <w:tcBorders/>
            <w:tcW w:w="5404" w:type="dxa"/>
            <w:vAlign w:val="center"/>
          </w:tcPr>
          <w:p>
            <w:pPr>
              <w:pStyle w:val="731"/>
              <w:pBdr/>
              <w:spacing/>
              <w:ind/>
              <w:rPr/>
            </w:pPr>
            <w:r>
              <w:rPr>
                <w:b/>
                <w:bCs/>
                <w:color w:val="ffffff"/>
              </w:rPr>
              <w:t xml:space="preserve">Definición</w:t>
            </w:r>
            <w:r/>
          </w:p>
        </w:tc>
        <w:tc>
          <w:tcPr>
            <w:shd w:val="clear" w:color="auto" w:fill="241a61"/>
            <w:tcBorders/>
            <w:tcW w:w="2000" w:type="dxa"/>
            <w:vAlign w:val="center"/>
          </w:tcPr>
          <w:p>
            <w:pPr>
              <w:pStyle w:val="731"/>
              <w:pBdr/>
              <w:spacing/>
              <w:ind/>
              <w:rPr/>
            </w:pPr>
            <w:r>
              <w:rPr>
                <w:b/>
                <w:bCs/>
                <w:color w:val="ffffff"/>
              </w:rPr>
              <w:t xml:space="preserve">Fuente</w:t>
            </w:r>
            <w:r/>
          </w:p>
        </w:tc>
      </w:tr>
      <w:tr>
        <w:trPr>
          <w:cantSplit/>
        </w:trPr>
        <w:tc>
          <w:tcPr>
            <w:tcBorders/>
            <w:tcW w:w="2000" w:type="dxa"/>
          </w:tcPr>
          <w:p>
            <w:pPr>
              <w:pStyle w:val="731"/>
              <w:pBdr/>
              <w:spacing/>
              <w:ind/>
              <w:rPr/>
            </w:pPr>
            <w:r>
              <w:t xml:space="preserve">Requisito</w:t>
            </w:r>
            <w:r/>
          </w:p>
        </w:tc>
        <w:tc>
          <w:tcPr>
            <w:tcBorders/>
            <w:tcW w:w="5404" w:type="dxa"/>
          </w:tcPr>
          <w:p>
            <w:pPr>
              <w:pStyle w:val="731"/>
              <w:pBdr/>
              <w:spacing/>
              <w:ind/>
              <w:rPr/>
            </w:pPr>
            <w:r>
              <w:t xml:space="preserve">Enunciado que traduce o expresa una necesidad y las restricciones y condiciones asociadas.</w:t>
            </w:r>
            <w:r/>
          </w:p>
        </w:tc>
        <w:tc>
          <w:tcPr>
            <w:tcBorders/>
            <w:tcW w:w="2000" w:type="dxa"/>
          </w:tcPr>
          <w:p>
            <w:pPr>
              <w:pStyle w:val="731"/>
              <w:pBdr/>
              <w:spacing/>
              <w:ind/>
              <w:rPr/>
            </w:pPr>
            <w:r>
              <w:t xml:space="preserve">REF-09 (traducción libre)</w:t>
            </w:r>
            <w:r/>
          </w:p>
        </w:tc>
      </w:tr>
      <w:tr>
        <w:trPr>
          <w:cantSplit/>
        </w:trPr>
        <w:tc>
          <w:tcPr>
            <w:shd w:val="clear" w:color="auto" w:fill="fafafc"/>
            <w:tcBorders/>
            <w:tcW w:w="2000" w:type="dxa"/>
          </w:tcPr>
          <w:p>
            <w:pPr>
              <w:pStyle w:val="731"/>
              <w:pBdr/>
              <w:spacing/>
              <w:ind/>
              <w:rPr/>
            </w:pPr>
            <w:r>
              <w:t xml:space="preserve">Requisito funcional (RF)</w:t>
            </w:r>
            <w:r/>
          </w:p>
        </w:tc>
        <w:tc>
          <w:tcPr>
            <w:shd w:val="clear" w:color="auto" w:fill="fafafc"/>
            <w:tcBorders/>
            <w:tcW w:w="5404" w:type="dxa"/>
          </w:tcPr>
          <w:p>
            <w:pPr>
              <w:pStyle w:val="731"/>
              <w:pBdr/>
              <w:spacing/>
              <w:ind/>
              <w:rPr/>
            </w:pPr>
            <w:r>
              <w:t xml:space="preserve">Requisito que describe una función o un comportamiento que el Sistema debe proporcionar.</w:t>
            </w:r>
            <w:r/>
          </w:p>
        </w:tc>
        <w:tc>
          <w:tcPr>
            <w:shd w:val="clear" w:color="auto" w:fill="fafafc"/>
            <w:tcBorders/>
            <w:tcW w:w="2000" w:type="dxa"/>
          </w:tcPr>
          <w:p>
            <w:pPr>
              <w:pStyle w:val="731"/>
              <w:pBdr/>
              <w:spacing/>
              <w:ind/>
              <w:rPr/>
            </w:pPr>
            <w:r>
              <w:t xml:space="preserve">Definición de este ERS</w:t>
            </w:r>
            <w:r/>
          </w:p>
        </w:tc>
      </w:tr>
      <w:tr>
        <w:trPr>
          <w:cantSplit/>
        </w:trPr>
        <w:tc>
          <w:tcPr>
            <w:tcBorders/>
            <w:tcW w:w="2000" w:type="dxa"/>
          </w:tcPr>
          <w:p>
            <w:pPr>
              <w:pStyle w:val="731"/>
              <w:pBdr/>
              <w:spacing/>
              <w:ind/>
              <w:rPr/>
            </w:pPr>
            <w:r>
              <w:t xml:space="preserve">Requisito no funcional (RNF)</w:t>
            </w:r>
            <w:r/>
          </w:p>
        </w:tc>
        <w:tc>
          <w:tcPr>
            <w:tcBorders/>
            <w:tcW w:w="5404" w:type="dxa"/>
          </w:tcPr>
          <w:p>
            <w:pPr>
              <w:pStyle w:val="731"/>
              <w:pBdr/>
              <w:spacing/>
              <w:ind/>
              <w:rPr/>
            </w:pPr>
            <w:r>
              <w:t xml:space="preserve">Requisito sobre una característica de calidad del Sistema (por ejemplo, rendimiento, seguridad o fiabilidad). Se clasificará según ISO/IEC 25010 [REF-11].</w:t>
            </w:r>
            <w:r/>
          </w:p>
        </w:tc>
        <w:tc>
          <w:tcPr>
            <w:tcBorders/>
            <w:tcW w:w="2000" w:type="dxa"/>
          </w:tcPr>
          <w:p>
            <w:pPr>
              <w:pStyle w:val="731"/>
              <w:pBdr/>
              <w:spacing/>
              <w:ind/>
              <w:rPr/>
            </w:pPr>
            <w:r>
              <w:t xml:space="preserve">Definición de este ERS</w:t>
            </w:r>
            <w:r/>
          </w:p>
        </w:tc>
      </w:tr>
      <w:tr>
        <w:trPr>
          <w:cantSplit/>
        </w:trPr>
        <w:tc>
          <w:tcPr>
            <w:shd w:val="clear" w:color="auto" w:fill="fafafc"/>
            <w:tcBorders/>
            <w:tcW w:w="2000" w:type="dxa"/>
          </w:tcPr>
          <w:p>
            <w:pPr>
              <w:pStyle w:val="731"/>
              <w:pBdr/>
              <w:spacing/>
              <w:ind/>
              <w:rPr/>
            </w:pPr>
            <w:r>
              <w:t xml:space="preserve">Restricción</w:t>
            </w:r>
            <w:r/>
          </w:p>
        </w:tc>
        <w:tc>
          <w:tcPr>
            <w:shd w:val="clear" w:color="auto" w:fill="fafafc"/>
            <w:tcBorders/>
            <w:tcW w:w="5404" w:type="dxa"/>
          </w:tcPr>
          <w:p>
            <w:pPr>
              <w:pStyle w:val="731"/>
              <w:pBdr/>
              <w:spacing/>
              <w:ind/>
              <w:rPr/>
            </w:pPr>
            <w:r>
              <w:t xml:space="preserve">Limitación impuesta a la solución, por ejemplo tecnológica, legal o de plazo.</w:t>
            </w:r>
            <w:r/>
          </w:p>
        </w:tc>
        <w:tc>
          <w:tcPr>
            <w:shd w:val="clear" w:color="auto" w:fill="fafafc"/>
            <w:tcBorders/>
            <w:tcW w:w="2000" w:type="dxa"/>
          </w:tcPr>
          <w:p>
            <w:pPr>
              <w:pStyle w:val="731"/>
              <w:pBdr/>
              <w:spacing/>
              <w:ind/>
              <w:rPr/>
            </w:pPr>
            <w:r>
              <w:t xml:space="preserve">Definición de este ERS</w:t>
            </w:r>
            <w:r/>
          </w:p>
        </w:tc>
      </w:tr>
      <w:tr>
        <w:trPr>
          <w:cantSplit/>
        </w:trPr>
        <w:tc>
          <w:tcPr>
            <w:tcBorders/>
            <w:tcW w:w="2000" w:type="dxa"/>
          </w:tcPr>
          <w:p>
            <w:pPr>
              <w:pStyle w:val="731"/>
              <w:pBdr/>
              <w:spacing/>
              <w:ind/>
              <w:rPr/>
            </w:pPr>
            <w:r>
              <w:t xml:space="preserve">Área funcional (AF)</w:t>
            </w:r>
            <w:r/>
          </w:p>
        </w:tc>
        <w:tc>
          <w:tcPr>
            <w:tcBorders/>
            <w:tcW w:w="5404" w:type="dxa"/>
          </w:tcPr>
          <w:p>
            <w:pPr>
              <w:pStyle w:val="731"/>
              <w:pBdr/>
              <w:spacing/>
              <w:ind/>
              <w:rPr/>
            </w:pPr>
            <w:r>
              <w:t xml:space="preserve">Agrupación de alto nivel de funciones del Sistema que delimita el alcance (1.2.5). Se detallará en requisitos funcionales.</w:t>
            </w:r>
            <w:r/>
          </w:p>
        </w:tc>
        <w:tc>
          <w:tcPr>
            <w:tcBorders/>
            <w:tcW w:w="2000" w:type="dxa"/>
          </w:tcPr>
          <w:p>
            <w:pPr>
              <w:pStyle w:val="731"/>
              <w:pBdr/>
              <w:spacing/>
              <w:ind/>
              <w:rPr/>
            </w:pPr>
            <w:r>
              <w:t xml:space="preserve">Definición de este ERS</w:t>
            </w:r>
            <w:r/>
          </w:p>
        </w:tc>
      </w:tr>
      <w:tr>
        <w:trPr>
          <w:cantSplit/>
        </w:trPr>
        <w:tc>
          <w:tcPr>
            <w:shd w:val="clear" w:color="auto" w:fill="fafafc"/>
            <w:tcBorders/>
            <w:tcW w:w="2000" w:type="dxa"/>
          </w:tcPr>
          <w:p>
            <w:pPr>
              <w:pStyle w:val="731"/>
              <w:pBdr/>
              <w:spacing/>
              <w:ind/>
              <w:rPr/>
            </w:pPr>
            <w:r>
              <w:t xml:space="preserve">Parte interesada</w:t>
            </w:r>
            <w:r/>
          </w:p>
        </w:tc>
        <w:tc>
          <w:tcPr>
            <w:shd w:val="clear" w:color="auto" w:fill="fafafc"/>
            <w:tcBorders/>
            <w:tcW w:w="5404" w:type="dxa"/>
          </w:tcPr>
          <w:p>
            <w:pPr>
              <w:pStyle w:val="731"/>
              <w:pBdr/>
              <w:spacing/>
              <w:ind/>
              <w:rPr/>
            </w:pPr>
            <w:r>
              <w:t xml:space="preserve">Persona u organización que tiene interés en el Sistema o que resulta afectada por él.</w:t>
            </w:r>
            <w:r/>
          </w:p>
        </w:tc>
        <w:tc>
          <w:tcPr>
            <w:shd w:val="clear" w:color="auto" w:fill="fafafc"/>
            <w:tcBorders/>
            <w:tcW w:w="2000" w:type="dxa"/>
          </w:tcPr>
          <w:p>
            <w:pPr>
              <w:pStyle w:val="731"/>
              <w:pBdr/>
              <w:spacing/>
              <w:ind/>
              <w:rPr/>
            </w:pPr>
            <w:r>
              <w:t xml:space="preserve">Definición de este ERS</w:t>
            </w:r>
            <w:r/>
          </w:p>
        </w:tc>
      </w:tr>
      <w:tr>
        <w:trPr>
          <w:cantSplit/>
        </w:trPr>
        <w:tc>
          <w:tcPr>
            <w:tcBorders/>
            <w:tcW w:w="2000" w:type="dxa"/>
          </w:tcPr>
          <w:p>
            <w:pPr>
              <w:pStyle w:val="731"/>
              <w:pBdr/>
              <w:spacing/>
              <w:ind/>
              <w:rPr/>
            </w:pPr>
            <w:r>
              <w:t xml:space="preserve">Criterio de aceptación</w:t>
            </w:r>
            <w:r/>
          </w:p>
        </w:tc>
        <w:tc>
          <w:tcPr>
            <w:tcBorders/>
            <w:tcW w:w="5404" w:type="dxa"/>
          </w:tcPr>
          <w:p>
            <w:pPr>
              <w:pStyle w:val="731"/>
              <w:pBdr/>
              <w:spacing/>
              <w:ind/>
              <w:rPr/>
            </w:pPr>
            <w:r>
              <w:t xml:space="preserve">Condición verificable que debe cumplirse para aceptar un requisito.</w:t>
            </w:r>
            <w:r/>
          </w:p>
        </w:tc>
        <w:tc>
          <w:tcPr>
            <w:tcBorders/>
            <w:tcW w:w="2000" w:type="dxa"/>
          </w:tcPr>
          <w:p>
            <w:pPr>
              <w:pStyle w:val="731"/>
              <w:pBdr/>
              <w:spacing/>
              <w:ind/>
              <w:rPr/>
            </w:pPr>
            <w:r>
              <w:t xml:space="preserve">Definición de este ERS</w:t>
            </w:r>
            <w:r/>
          </w:p>
        </w:tc>
      </w:tr>
      <w:tr>
        <w:trPr>
          <w:cantSplit/>
        </w:trPr>
        <w:tc>
          <w:tcPr>
            <w:shd w:val="clear" w:color="auto" w:fill="fafafc"/>
            <w:tcBorders/>
            <w:tcW w:w="2000" w:type="dxa"/>
          </w:tcPr>
          <w:p>
            <w:pPr>
              <w:pStyle w:val="731"/>
              <w:pBdr/>
              <w:spacing/>
              <w:ind/>
              <w:rPr/>
            </w:pPr>
            <w:r>
              <w:t xml:space="preserve">Verificación</w:t>
            </w:r>
            <w:r/>
          </w:p>
        </w:tc>
        <w:tc>
          <w:tcPr>
            <w:shd w:val="clear" w:color="auto" w:fill="fafafc"/>
            <w:tcBorders/>
            <w:tcW w:w="5404" w:type="dxa"/>
          </w:tcPr>
          <w:p>
            <w:pPr>
              <w:pStyle w:val="731"/>
              <w:pBdr/>
              <w:spacing/>
              <w:ind/>
              <w:rPr/>
            </w:pPr>
            <w:r>
              <w:t xml:space="preserve">Confirmación, mediante evidencia objetiva, de que se cumplen los requisitos especificados.</w:t>
            </w:r>
            <w:r/>
          </w:p>
        </w:tc>
        <w:tc>
          <w:tcPr>
            <w:shd w:val="clear" w:color="auto" w:fill="fafafc"/>
            <w:tcBorders/>
            <w:tcW w:w="2000" w:type="dxa"/>
          </w:tcPr>
          <w:p>
            <w:pPr>
              <w:pStyle w:val="731"/>
              <w:pBdr/>
              <w:spacing/>
              <w:ind/>
              <w:rPr/>
            </w:pPr>
            <w:r>
              <w:t xml:space="preserve">REF-09 (traducción libre)</w:t>
            </w:r>
            <w:r/>
          </w:p>
        </w:tc>
      </w:tr>
      <w:tr>
        <w:trPr>
          <w:cantSplit/>
        </w:trPr>
        <w:tc>
          <w:tcPr>
            <w:tcBorders/>
            <w:tcW w:w="2000" w:type="dxa"/>
          </w:tcPr>
          <w:p>
            <w:pPr>
              <w:pStyle w:val="731"/>
              <w:pBdr/>
              <w:spacing/>
              <w:ind/>
              <w:rPr/>
            </w:pPr>
            <w:r>
              <w:t xml:space="preserve">Validación</w:t>
            </w:r>
            <w:r/>
          </w:p>
        </w:tc>
        <w:tc>
          <w:tcPr>
            <w:tcBorders/>
            <w:tcW w:w="5404" w:type="dxa"/>
          </w:tcPr>
          <w:p>
            <w:pPr>
              <w:pStyle w:val="731"/>
              <w:pBdr/>
              <w:spacing/>
              <w:ind/>
              <w:rPr/>
            </w:pPr>
            <w:r>
              <w:t xml:space="preserve">Confirmación, mediante evidencia objetiva, de que se cumplen los requisitos para un uso o una aplicación específicos.</w:t>
            </w:r>
            <w:r/>
          </w:p>
        </w:tc>
        <w:tc>
          <w:tcPr>
            <w:tcBorders/>
            <w:tcW w:w="2000" w:type="dxa"/>
          </w:tcPr>
          <w:p>
            <w:pPr>
              <w:pStyle w:val="731"/>
              <w:pBdr/>
              <w:spacing/>
              <w:ind/>
              <w:rPr/>
            </w:pPr>
            <w:r>
              <w:t xml:space="preserve">REF-09 (traducción libre)</w:t>
            </w:r>
            <w:r/>
          </w:p>
        </w:tc>
      </w:tr>
      <w:tr>
        <w:trPr>
          <w:cantSplit/>
        </w:trPr>
        <w:tc>
          <w:tcPr>
            <w:shd w:val="clear" w:color="auto" w:fill="fafafc"/>
            <w:tcBorders/>
            <w:tcW w:w="2000" w:type="dxa"/>
          </w:tcPr>
          <w:p>
            <w:pPr>
              <w:pStyle w:val="731"/>
              <w:pBdr/>
              <w:spacing/>
              <w:ind/>
              <w:rPr/>
            </w:pPr>
            <w:r>
              <w:t xml:space="preserve">Trazabilidad</w:t>
            </w:r>
            <w:r/>
          </w:p>
        </w:tc>
        <w:tc>
          <w:tcPr>
            <w:shd w:val="clear" w:color="auto" w:fill="fafafc"/>
            <w:tcBorders/>
            <w:tcW w:w="5404" w:type="dxa"/>
          </w:tcPr>
          <w:p>
            <w:pPr>
              <w:pStyle w:val="731"/>
              <w:pBdr/>
              <w:spacing/>
              <w:ind/>
              <w:rPr/>
            </w:pPr>
            <w:r>
              <w:t xml:space="preserve">Capacidad de relacionar cada requisito con su origen y con los elementos que lo implementan y lo verifican.</w:t>
            </w:r>
            <w:r/>
          </w:p>
        </w:tc>
        <w:tc>
          <w:tcPr>
            <w:shd w:val="clear" w:color="auto" w:fill="fafafc"/>
            <w:tcBorders/>
            <w:tcW w:w="2000" w:type="dxa"/>
          </w:tcPr>
          <w:p>
            <w:pPr>
              <w:pStyle w:val="731"/>
              <w:pBdr/>
              <w:spacing/>
              <w:ind/>
              <w:rPr/>
            </w:pPr>
            <w:r>
              <w:t xml:space="preserve">Definición de este ERS</w:t>
            </w:r>
            <w:r/>
          </w:p>
        </w:tc>
      </w:tr>
      <w:tr>
        <w:trPr>
          <w:cantSplit/>
        </w:trPr>
        <w:tc>
          <w:tcPr>
            <w:tcBorders/>
            <w:tcW w:w="2000" w:type="dxa"/>
          </w:tcPr>
          <w:p>
            <w:pPr>
              <w:pStyle w:val="731"/>
              <w:pBdr/>
              <w:spacing/>
              <w:ind/>
              <w:rPr/>
            </w:pPr>
            <w:r>
              <w:t xml:space="preserve">Usuario con cuenta</w:t>
            </w:r>
            <w:r/>
          </w:p>
        </w:tc>
        <w:tc>
          <w:tcPr>
            <w:tcBorders/>
            <w:tcW w:w="5404" w:type="dxa"/>
          </w:tcPr>
          <w:p>
            <w:pPr>
              <w:pStyle w:val="731"/>
              <w:pBdr/>
              <w:spacing/>
              <w:ind/>
              <w:rPr/>
            </w:pPr>
            <w:r>
              <w:t xml:space="preserve">Integrante de la Liga que accede al Sistema con una cuenta propia.</w:t>
            </w:r>
            <w:r/>
          </w:p>
        </w:tc>
        <w:tc>
          <w:tcPr>
            <w:tcBorders/>
            <w:tcW w:w="2000" w:type="dxa"/>
          </w:tcPr>
          <w:p>
            <w:pPr>
              <w:pStyle w:val="731"/>
              <w:pBdr/>
              <w:spacing/>
              <w:ind/>
              <w:rPr/>
            </w:pPr>
            <w:r>
              <w:t xml:space="preserve">REF-07, P20</w:t>
            </w:r>
            <w:r/>
          </w:p>
        </w:tc>
      </w:tr>
      <w:tr>
        <w:trPr>
          <w:cantSplit/>
        </w:trPr>
        <w:tc>
          <w:tcPr>
            <w:shd w:val="clear" w:color="auto" w:fill="fafafc"/>
            <w:tcBorders/>
            <w:tcW w:w="2000" w:type="dxa"/>
          </w:tcPr>
          <w:p>
            <w:pPr>
              <w:pStyle w:val="731"/>
              <w:pBdr/>
              <w:spacing/>
              <w:ind/>
              <w:rPr/>
            </w:pPr>
            <w:r>
              <w:t xml:space="preserve">Usuario público</w:t>
            </w:r>
            <w:r/>
          </w:p>
        </w:tc>
        <w:tc>
          <w:tcPr>
            <w:shd w:val="clear" w:color="auto" w:fill="fafafc"/>
            <w:tcBorders/>
            <w:tcW w:w="5404" w:type="dxa"/>
          </w:tcPr>
          <w:p>
            <w:pPr>
              <w:pStyle w:val="731"/>
              <w:pBdr/>
              <w:spacing/>
              <w:ind/>
              <w:rPr/>
            </w:pPr>
            <w:r>
              <w:t xml:space="preserve">Persona externa que consulta información general o específica sin crear una cuenta.</w:t>
            </w:r>
            <w:r/>
          </w:p>
        </w:tc>
        <w:tc>
          <w:tcPr>
            <w:shd w:val="clear" w:color="auto" w:fill="fafafc"/>
            <w:tcBorders/>
            <w:tcW w:w="2000" w:type="dxa"/>
          </w:tcPr>
          <w:p>
            <w:pPr>
              <w:pStyle w:val="731"/>
              <w:pBdr/>
              <w:spacing/>
              <w:ind/>
              <w:rPr/>
            </w:pPr>
            <w:r>
              <w:t xml:space="preserve">REF-07, P20</w:t>
            </w:r>
            <w:r/>
          </w:p>
        </w:tc>
      </w:tr>
      <w:tr>
        <w:trPr>
          <w:cantSplit/>
        </w:trPr>
        <w:tc>
          <w:tcPr>
            <w:tcBorders/>
            <w:tcW w:w="2000" w:type="dxa"/>
          </w:tcPr>
          <w:p>
            <w:pPr>
              <w:pStyle w:val="731"/>
              <w:pBdr/>
              <w:spacing/>
              <w:ind/>
              <w:rPr/>
            </w:pPr>
            <w:r>
              <w:t xml:space="preserve">Operación sin conexión</w:t>
            </w:r>
            <w:r/>
          </w:p>
        </w:tc>
        <w:tc>
          <w:tcPr>
            <w:tcBorders/>
            <w:tcW w:w="5404" w:type="dxa"/>
          </w:tcPr>
          <w:p>
            <w:pPr>
              <w:pStyle w:val="731"/>
              <w:pBdr/>
              <w:spacing/>
              <w:ind/>
              <w:rPr/>
            </w:pPr>
            <w:r>
              <w:t xml:space="preserve">Uso del Sistema sin acceso a Internet. Alcance: </w:t>
            </w:r>
            <w:r>
              <w:rPr>
                <w:b/>
                <w:bCs/>
                <w:color w:val="9c4a00"/>
                <w:shd w:val="clear" w:color="auto" w:fill="fff2cc"/>
              </w:rPr>
              <w:t xml:space="preserve">[POR DEFINIR]</w:t>
            </w:r>
            <w:r>
              <w:t xml:space="preserve"> (C-01).</w:t>
            </w:r>
            <w:r/>
          </w:p>
        </w:tc>
        <w:tc>
          <w:tcPr>
            <w:tcBorders/>
            <w:tcW w:w="2000" w:type="dxa"/>
          </w:tcPr>
          <w:p>
            <w:pPr>
              <w:pStyle w:val="731"/>
              <w:pBdr/>
              <w:spacing/>
              <w:ind/>
              <w:rPr/>
            </w:pPr>
            <w:r>
              <w:t xml:space="preserve">REF-07, P21</w:t>
            </w:r>
            <w:r/>
          </w:p>
        </w:tc>
      </w:tr>
    </w:tbl>
    <w:p>
      <w:pPr>
        <w:pBdr/>
        <w:spacing w:after="60" w:before="0"/>
        <w:ind/>
        <w:rPr/>
      </w:pPr>
      <w:r/>
      <w:r/>
    </w:p>
    <w:p>
      <w:pPr>
        <w:pStyle w:val="725"/>
        <w:pBdr/>
        <w:spacing/>
        <w:ind/>
        <w:rPr/>
      </w:pPr>
      <w:r/>
      <w:bookmarkStart w:id="23" w:name="_Toc100023"/>
      <w:r>
        <w:t xml:space="preserve">1.3.7 Acrónimos y abreviaturas</w:t>
      </w:r>
      <w:bookmarkEnd w:id="23"/>
      <w:r/>
      <w:r/>
    </w:p>
    <w:p>
      <w:pPr>
        <w:pStyle w:val="732"/>
        <w:keepNext w:val="true"/>
        <w:pBdr/>
        <w:spacing/>
        <w:ind/>
        <w:rPr/>
      </w:pPr>
      <w:r>
        <w:rPr>
          <w:b/>
          <w:bCs/>
          <w:color w:val="241a61"/>
          <w:sz w:val="18"/>
          <w:szCs w:val="18"/>
        </w:rPr>
        <w:t xml:space="preserve">Tabla 15. </w:t>
      </w:r>
      <w:r>
        <w:rPr>
          <w:sz w:val="18"/>
          <w:szCs w:val="18"/>
        </w:rPr>
        <w:t xml:space="preserve">Acrónimos y abreviaturas.</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500"/>
        <w:gridCol w:w="6104"/>
        <w:gridCol w:w="1800"/>
      </w:tblGrid>
      <w:tr>
        <w:trPr>
          <w:cantSplit/>
          <w:tblHeader/>
        </w:trPr>
        <w:tc>
          <w:tcPr>
            <w:shd w:val="clear" w:color="auto" w:fill="241a61"/>
            <w:tcBorders/>
            <w:tcW w:w="1500" w:type="dxa"/>
            <w:vAlign w:val="center"/>
          </w:tcPr>
          <w:p>
            <w:pPr>
              <w:pStyle w:val="731"/>
              <w:pBdr/>
              <w:spacing/>
              <w:ind/>
              <w:rPr/>
            </w:pPr>
            <w:r>
              <w:rPr>
                <w:b/>
                <w:bCs/>
                <w:color w:val="ffffff"/>
              </w:rPr>
              <w:t xml:space="preserve">Sigla</w:t>
            </w:r>
            <w:r/>
          </w:p>
        </w:tc>
        <w:tc>
          <w:tcPr>
            <w:shd w:val="clear" w:color="auto" w:fill="241a61"/>
            <w:tcBorders/>
            <w:tcW w:w="6104" w:type="dxa"/>
            <w:vAlign w:val="center"/>
          </w:tcPr>
          <w:p>
            <w:pPr>
              <w:pStyle w:val="731"/>
              <w:pBdr/>
              <w:spacing/>
              <w:ind/>
              <w:rPr/>
            </w:pPr>
            <w:r>
              <w:rPr>
                <w:b/>
                <w:bCs/>
                <w:color w:val="ffffff"/>
              </w:rPr>
              <w:t xml:space="preserve">Significado</w:t>
            </w:r>
            <w:r/>
          </w:p>
        </w:tc>
        <w:tc>
          <w:tcPr>
            <w:shd w:val="clear" w:color="auto" w:fill="241a61"/>
            <w:tcBorders/>
            <w:tcW w:w="1800" w:type="dxa"/>
            <w:vAlign w:val="center"/>
          </w:tcPr>
          <w:p>
            <w:pPr>
              <w:pStyle w:val="731"/>
              <w:pBdr/>
              <w:spacing/>
              <w:ind/>
              <w:rPr/>
            </w:pPr>
            <w:r>
              <w:rPr>
                <w:b/>
                <w:bCs/>
                <w:color w:val="ffffff"/>
              </w:rPr>
              <w:t xml:space="preserve">Fuente</w:t>
            </w:r>
            <w:r/>
          </w:p>
        </w:tc>
      </w:tr>
      <w:tr>
        <w:trPr>
          <w:cantSplit/>
        </w:trPr>
        <w:tc>
          <w:tcPr>
            <w:tcBorders/>
            <w:tcW w:w="1500" w:type="dxa"/>
          </w:tcPr>
          <w:p>
            <w:pPr>
              <w:pStyle w:val="731"/>
              <w:pBdr/>
              <w:spacing/>
              <w:ind/>
              <w:rPr/>
            </w:pPr>
            <w:r>
              <w:t xml:space="preserve">A.C.</w:t>
            </w:r>
            <w:r/>
          </w:p>
        </w:tc>
        <w:tc>
          <w:tcPr>
            <w:tcBorders/>
            <w:tcW w:w="6104" w:type="dxa"/>
          </w:tcPr>
          <w:p>
            <w:pPr>
              <w:pStyle w:val="731"/>
              <w:pBdr/>
              <w:spacing/>
              <w:ind/>
              <w:rPr/>
            </w:pPr>
            <w:r>
              <w:t xml:space="preserve">Asociación Civil.</w:t>
            </w:r>
            <w:r/>
          </w:p>
        </w:tc>
        <w:tc>
          <w:tcPr>
            <w:tcBorders/>
            <w:tcW w:w="1800" w:type="dxa"/>
          </w:tcPr>
          <w:p>
            <w:pPr>
              <w:pStyle w:val="731"/>
              <w:pBdr/>
              <w:spacing/>
              <w:ind/>
              <w:rPr/>
            </w:pPr>
            <w:r>
              <w:t xml:space="preserve">REF-01</w:t>
            </w:r>
            <w:r/>
          </w:p>
        </w:tc>
      </w:tr>
      <w:tr>
        <w:trPr>
          <w:cantSplit/>
        </w:trPr>
        <w:tc>
          <w:tcPr>
            <w:shd w:val="clear" w:color="auto" w:fill="fafafc"/>
            <w:tcBorders/>
            <w:tcW w:w="1500" w:type="dxa"/>
          </w:tcPr>
          <w:p>
            <w:pPr>
              <w:pStyle w:val="731"/>
              <w:pBdr/>
              <w:spacing/>
              <w:ind/>
              <w:rPr/>
            </w:pPr>
            <w:r>
              <w:t xml:space="preserve">AF</w:t>
            </w:r>
            <w:r/>
          </w:p>
        </w:tc>
        <w:tc>
          <w:tcPr>
            <w:shd w:val="clear" w:color="auto" w:fill="fafafc"/>
            <w:tcBorders/>
            <w:tcW w:w="6104" w:type="dxa"/>
          </w:tcPr>
          <w:p>
            <w:pPr>
              <w:pStyle w:val="731"/>
              <w:pBdr/>
              <w:spacing/>
              <w:ind/>
              <w:rPr/>
            </w:pPr>
            <w:r>
              <w:t xml:space="preserve">Área funcional (convención de este ERS).</w:t>
            </w:r>
            <w:r/>
          </w:p>
        </w:tc>
        <w:tc>
          <w:tcPr>
            <w:shd w:val="clear" w:color="auto" w:fill="fafafc"/>
            <w:tcBorders/>
            <w:tcW w:w="1800" w:type="dxa"/>
          </w:tcPr>
          <w:p>
            <w:pPr>
              <w:pStyle w:val="731"/>
              <w:pBdr/>
              <w:spacing/>
              <w:ind/>
              <w:rPr/>
            </w:pPr>
            <w:r>
              <w:t xml:space="preserve">1.5.2</w:t>
            </w:r>
            <w:r/>
          </w:p>
        </w:tc>
      </w:tr>
      <w:tr>
        <w:trPr>
          <w:cantSplit/>
        </w:trPr>
        <w:tc>
          <w:tcPr>
            <w:tcBorders/>
            <w:tcW w:w="1500" w:type="dxa"/>
          </w:tcPr>
          <w:p>
            <w:pPr>
              <w:pStyle w:val="731"/>
              <w:pBdr/>
              <w:spacing/>
              <w:ind/>
              <w:rPr/>
            </w:pPr>
            <w:r>
              <w:t xml:space="preserve">Art.</w:t>
            </w:r>
            <w:r/>
          </w:p>
        </w:tc>
        <w:tc>
          <w:tcPr>
            <w:tcBorders/>
            <w:tcW w:w="6104" w:type="dxa"/>
          </w:tcPr>
          <w:p>
            <w:pPr>
              <w:pStyle w:val="731"/>
              <w:pBdr/>
              <w:spacing/>
              <w:ind/>
              <w:rPr/>
            </w:pPr>
            <w:r>
              <w:t xml:space="preserve">Artículo del reglamento interno de la Liga.</w:t>
            </w:r>
            <w:r/>
          </w:p>
        </w:tc>
        <w:tc>
          <w:tcPr>
            <w:tcBorders/>
            <w:tcW w:w="1800" w:type="dxa"/>
          </w:tcPr>
          <w:p>
            <w:pPr>
              <w:pStyle w:val="731"/>
              <w:pBdr/>
              <w:spacing/>
              <w:ind/>
              <w:rPr/>
            </w:pPr>
            <w:r>
              <w:t xml:space="preserve">REF-01; REF-03</w:t>
            </w:r>
            <w:r/>
          </w:p>
        </w:tc>
      </w:tr>
      <w:tr>
        <w:trPr>
          <w:cantSplit/>
        </w:trPr>
        <w:tc>
          <w:tcPr>
            <w:shd w:val="clear" w:color="auto" w:fill="fafafc"/>
            <w:tcBorders/>
            <w:tcW w:w="1500" w:type="dxa"/>
          </w:tcPr>
          <w:p>
            <w:pPr>
              <w:pStyle w:val="731"/>
              <w:pBdr/>
              <w:spacing/>
              <w:ind/>
              <w:rPr/>
            </w:pPr>
            <w:r>
              <w:t xml:space="preserve">CURP</w:t>
            </w:r>
            <w:r/>
          </w:p>
        </w:tc>
        <w:tc>
          <w:tcPr>
            <w:shd w:val="clear" w:color="auto" w:fill="fafafc"/>
            <w:tcBorders/>
            <w:tcW w:w="6104" w:type="dxa"/>
          </w:tcPr>
          <w:p>
            <w:pPr>
              <w:pStyle w:val="731"/>
              <w:pBdr/>
              <w:spacing/>
              <w:ind/>
              <w:rPr/>
            </w:pPr>
            <w:r>
              <w:t xml:space="preserve">Clave Única de Registro de Población.</w:t>
            </w:r>
            <w:r/>
          </w:p>
        </w:tc>
        <w:tc>
          <w:tcPr>
            <w:shd w:val="clear" w:color="auto" w:fill="fafafc"/>
            <w:tcBorders/>
            <w:tcW w:w="1800" w:type="dxa"/>
          </w:tcPr>
          <w:p>
            <w:pPr>
              <w:pStyle w:val="731"/>
              <w:pBdr/>
              <w:spacing/>
              <w:ind/>
              <w:rPr/>
            </w:pPr>
            <w:r>
              <w:t xml:space="preserve">REF-01; REF-02</w:t>
            </w:r>
            <w:r/>
          </w:p>
        </w:tc>
      </w:tr>
      <w:tr>
        <w:trPr>
          <w:cantSplit/>
        </w:trPr>
        <w:tc>
          <w:tcPr>
            <w:tcBorders/>
            <w:tcW w:w="1500" w:type="dxa"/>
          </w:tcPr>
          <w:p>
            <w:pPr>
              <w:pStyle w:val="731"/>
              <w:pBdr/>
              <w:spacing/>
              <w:ind/>
              <w:rPr/>
            </w:pPr>
            <w:r>
              <w:t xml:space="preserve">DG</w:t>
            </w:r>
            <w:r/>
          </w:p>
        </w:tc>
        <w:tc>
          <w:tcPr>
            <w:tcBorders/>
            <w:tcW w:w="6104" w:type="dxa"/>
          </w:tcPr>
          <w:p>
            <w:pPr>
              <w:pStyle w:val="731"/>
              <w:pBdr/>
              <w:spacing/>
              <w:ind/>
              <w:rPr/>
            </w:pPr>
            <w:r>
              <w:t xml:space="preserve">Diferencia de goles.</w:t>
            </w:r>
            <w:r/>
          </w:p>
        </w:tc>
        <w:tc>
          <w:tcPr>
            <w:tcBorders/>
            <w:tcW w:w="1800" w:type="dxa"/>
          </w:tcPr>
          <w:p>
            <w:pPr>
              <w:pStyle w:val="731"/>
              <w:pBdr/>
              <w:spacing/>
              <w:ind/>
              <w:rPr/>
            </w:pPr>
            <w:r>
              <w:t xml:space="preserve">REF-07, P14</w:t>
            </w:r>
            <w:r/>
          </w:p>
        </w:tc>
      </w:tr>
      <w:tr>
        <w:trPr>
          <w:cantSplit/>
        </w:trPr>
        <w:tc>
          <w:tcPr>
            <w:shd w:val="clear" w:color="auto" w:fill="fafafc"/>
            <w:tcBorders/>
            <w:tcW w:w="1500" w:type="dxa"/>
          </w:tcPr>
          <w:p>
            <w:pPr>
              <w:pStyle w:val="731"/>
              <w:pBdr/>
              <w:spacing/>
              <w:ind/>
              <w:rPr/>
            </w:pPr>
            <w:r>
              <w:t xml:space="preserve">DOF</w:t>
            </w:r>
            <w:r/>
          </w:p>
        </w:tc>
        <w:tc>
          <w:tcPr>
            <w:shd w:val="clear" w:color="auto" w:fill="fafafc"/>
            <w:tcBorders/>
            <w:tcW w:w="6104" w:type="dxa"/>
          </w:tcPr>
          <w:p>
            <w:pPr>
              <w:pStyle w:val="731"/>
              <w:pBdr/>
              <w:spacing/>
              <w:ind/>
              <w:rPr/>
            </w:pPr>
            <w:r>
              <w:t xml:space="preserve">Diario Oficial de la Federación.</w:t>
            </w:r>
            <w:r/>
          </w:p>
        </w:tc>
        <w:tc>
          <w:tcPr>
            <w:shd w:val="clear" w:color="auto" w:fill="fafafc"/>
            <w:tcBorders/>
            <w:tcW w:w="1800" w:type="dxa"/>
          </w:tcPr>
          <w:p>
            <w:pPr>
              <w:pStyle w:val="731"/>
              <w:pBdr/>
              <w:spacing/>
              <w:ind/>
              <w:rPr/>
            </w:pPr>
            <w:r>
              <w:t xml:space="preserve">REF-12</w:t>
            </w:r>
            <w:r/>
          </w:p>
        </w:tc>
      </w:tr>
      <w:tr>
        <w:trPr>
          <w:cantSplit/>
        </w:trPr>
        <w:tc>
          <w:tcPr>
            <w:tcBorders/>
            <w:tcW w:w="1500" w:type="dxa"/>
          </w:tcPr>
          <w:p>
            <w:pPr>
              <w:pStyle w:val="731"/>
              <w:pBdr/>
              <w:spacing/>
              <w:ind/>
              <w:rPr/>
            </w:pPr>
            <w:r>
              <w:t xml:space="preserve">ERS</w:t>
            </w:r>
            <w:r/>
          </w:p>
        </w:tc>
        <w:tc>
          <w:tcPr>
            <w:tcBorders/>
            <w:tcW w:w="6104" w:type="dxa"/>
          </w:tcPr>
          <w:p>
            <w:pPr>
              <w:pStyle w:val="731"/>
              <w:pBdr/>
              <w:spacing/>
              <w:ind/>
              <w:rPr/>
            </w:pPr>
            <w:r>
              <w:t xml:space="preserve">Especificación de Requisitos de Software (en inglés, SRS).</w:t>
            </w:r>
            <w:r/>
          </w:p>
        </w:tc>
        <w:tc>
          <w:tcPr>
            <w:tcBorders/>
            <w:tcW w:w="1800" w:type="dxa"/>
          </w:tcPr>
          <w:p>
            <w:pPr>
              <w:pStyle w:val="731"/>
              <w:pBdr/>
              <w:spacing/>
              <w:ind/>
              <w:rPr/>
            </w:pPr>
            <w:r>
              <w:t xml:space="preserve">REF-09</w:t>
            </w:r>
            <w:r/>
          </w:p>
        </w:tc>
      </w:tr>
      <w:tr>
        <w:trPr>
          <w:cantSplit/>
        </w:trPr>
        <w:tc>
          <w:tcPr>
            <w:shd w:val="clear" w:color="auto" w:fill="fafafc"/>
            <w:tcBorders/>
            <w:tcW w:w="1500" w:type="dxa"/>
          </w:tcPr>
          <w:p>
            <w:pPr>
              <w:pStyle w:val="731"/>
              <w:pBdr/>
              <w:spacing/>
              <w:ind/>
              <w:rPr/>
            </w:pPr>
            <w:r>
              <w:t xml:space="preserve">GC</w:t>
            </w:r>
            <w:r/>
          </w:p>
        </w:tc>
        <w:tc>
          <w:tcPr>
            <w:shd w:val="clear" w:color="auto" w:fill="fafafc"/>
            <w:tcBorders/>
            <w:tcW w:w="6104" w:type="dxa"/>
          </w:tcPr>
          <w:p>
            <w:pPr>
              <w:pStyle w:val="731"/>
              <w:pBdr/>
              <w:spacing/>
              <w:ind/>
              <w:rPr/>
            </w:pPr>
            <w:r>
              <w:t xml:space="preserve">Goles en contra.</w:t>
            </w:r>
            <w:r/>
          </w:p>
        </w:tc>
        <w:tc>
          <w:tcPr>
            <w:shd w:val="clear" w:color="auto" w:fill="fafafc"/>
            <w:tcBorders/>
            <w:tcW w:w="1800" w:type="dxa"/>
          </w:tcPr>
          <w:p>
            <w:pPr>
              <w:pStyle w:val="731"/>
              <w:pBdr/>
              <w:spacing/>
              <w:ind/>
              <w:rPr/>
            </w:pPr>
            <w:r>
              <w:t xml:space="preserve">REF-07, P14</w:t>
            </w:r>
            <w:r/>
          </w:p>
        </w:tc>
      </w:tr>
      <w:tr>
        <w:trPr>
          <w:cantSplit/>
        </w:trPr>
        <w:tc>
          <w:tcPr>
            <w:tcBorders/>
            <w:tcW w:w="1500" w:type="dxa"/>
          </w:tcPr>
          <w:p>
            <w:pPr>
              <w:pStyle w:val="731"/>
              <w:pBdr/>
              <w:spacing/>
              <w:ind/>
              <w:rPr/>
            </w:pPr>
            <w:r>
              <w:t xml:space="preserve">GF</w:t>
            </w:r>
            <w:r/>
          </w:p>
        </w:tc>
        <w:tc>
          <w:tcPr>
            <w:tcBorders/>
            <w:tcW w:w="6104" w:type="dxa"/>
          </w:tcPr>
          <w:p>
            <w:pPr>
              <w:pStyle w:val="731"/>
              <w:pBdr/>
              <w:spacing/>
              <w:ind/>
              <w:rPr/>
            </w:pPr>
            <w:r>
              <w:t xml:space="preserve">Goles a favor.</w:t>
            </w:r>
            <w:r/>
          </w:p>
        </w:tc>
        <w:tc>
          <w:tcPr>
            <w:tcBorders/>
            <w:tcW w:w="1800" w:type="dxa"/>
          </w:tcPr>
          <w:p>
            <w:pPr>
              <w:pStyle w:val="731"/>
              <w:pBdr/>
              <w:spacing/>
              <w:ind/>
              <w:rPr/>
            </w:pPr>
            <w:r>
              <w:t xml:space="preserve">REF-07, P14</w:t>
            </w:r>
            <w:r/>
          </w:p>
        </w:tc>
      </w:tr>
      <w:tr>
        <w:trPr>
          <w:cantSplit/>
        </w:trPr>
        <w:tc>
          <w:tcPr>
            <w:shd w:val="clear" w:color="auto" w:fill="fafafc"/>
            <w:tcBorders/>
            <w:tcW w:w="1500" w:type="dxa"/>
          </w:tcPr>
          <w:p>
            <w:pPr>
              <w:pStyle w:val="731"/>
              <w:pBdr/>
              <w:spacing/>
              <w:ind/>
              <w:rPr/>
            </w:pPr>
            <w:r>
              <w:t xml:space="preserve">IEC</w:t>
            </w:r>
            <w:r/>
          </w:p>
        </w:tc>
        <w:tc>
          <w:tcPr>
            <w:shd w:val="clear" w:color="auto" w:fill="fafafc"/>
            <w:tcBorders/>
            <w:tcW w:w="6104" w:type="dxa"/>
          </w:tcPr>
          <w:p>
            <w:pPr>
              <w:pStyle w:val="731"/>
              <w:pBdr/>
              <w:spacing/>
              <w:ind/>
              <w:rPr/>
            </w:pPr>
            <w:r>
              <w:t xml:space="preserve">International Electrotechnical Commission.</w:t>
            </w:r>
            <w:r/>
          </w:p>
        </w:tc>
        <w:tc>
          <w:tcPr>
            <w:shd w:val="clear" w:color="auto" w:fill="fafafc"/>
            <w:tcBorders/>
            <w:tcW w:w="1800" w:type="dxa"/>
          </w:tcPr>
          <w:p>
            <w:pPr>
              <w:pStyle w:val="731"/>
              <w:pBdr/>
              <w:spacing/>
              <w:ind/>
              <w:rPr/>
            </w:pPr>
            <w:r>
              <w:t xml:space="preserve">REF-09</w:t>
            </w:r>
            <w:r/>
          </w:p>
        </w:tc>
      </w:tr>
      <w:tr>
        <w:trPr>
          <w:cantSplit/>
        </w:trPr>
        <w:tc>
          <w:tcPr>
            <w:tcBorders/>
            <w:tcW w:w="1500" w:type="dxa"/>
          </w:tcPr>
          <w:p>
            <w:pPr>
              <w:pStyle w:val="731"/>
              <w:pBdr/>
              <w:spacing/>
              <w:ind/>
              <w:rPr/>
            </w:pPr>
            <w:r>
              <w:t xml:space="preserve">IEEE</w:t>
            </w:r>
            <w:r/>
          </w:p>
        </w:tc>
        <w:tc>
          <w:tcPr>
            <w:tcBorders/>
            <w:tcW w:w="6104" w:type="dxa"/>
          </w:tcPr>
          <w:p>
            <w:pPr>
              <w:pStyle w:val="731"/>
              <w:pBdr/>
              <w:spacing/>
              <w:ind/>
              <w:rPr/>
            </w:pPr>
            <w:r>
              <w:t xml:space="preserve">Institute of Electrical and Electronics Engineers.</w:t>
            </w:r>
            <w:r/>
          </w:p>
        </w:tc>
        <w:tc>
          <w:tcPr>
            <w:tcBorders/>
            <w:tcW w:w="1800" w:type="dxa"/>
          </w:tcPr>
          <w:p>
            <w:pPr>
              <w:pStyle w:val="731"/>
              <w:pBdr/>
              <w:spacing/>
              <w:ind/>
              <w:rPr/>
            </w:pPr>
            <w:r>
              <w:t xml:space="preserve">REF-09</w:t>
            </w:r>
            <w:r/>
          </w:p>
        </w:tc>
      </w:tr>
      <w:tr>
        <w:trPr>
          <w:cantSplit/>
        </w:trPr>
        <w:tc>
          <w:tcPr>
            <w:shd w:val="clear" w:color="auto" w:fill="fafafc"/>
            <w:tcBorders/>
            <w:tcW w:w="1500" w:type="dxa"/>
          </w:tcPr>
          <w:p>
            <w:pPr>
              <w:pStyle w:val="731"/>
              <w:pBdr/>
              <w:spacing/>
              <w:ind/>
              <w:rPr/>
            </w:pPr>
            <w:r>
              <w:t xml:space="preserve">IMCUFIDE</w:t>
            </w:r>
            <w:r/>
          </w:p>
        </w:tc>
        <w:tc>
          <w:tcPr>
            <w:shd w:val="clear" w:color="auto" w:fill="fafafc"/>
            <w:tcBorders/>
            <w:tcW w:w="6104" w:type="dxa"/>
          </w:tcPr>
          <w:p>
            <w:pPr>
              <w:pStyle w:val="731"/>
              <w:pBdr/>
              <w:spacing/>
              <w:ind/>
              <w:rPr/>
            </w:pPr>
            <w:r>
              <w:t xml:space="preserve">Instituto Municipal de Cultura Física y Deporte, organismo descentralizado del Ayuntamiento de Morelia. En el levantamiento se le llama «IMDE» [REF-07, P18]; el nombre y las siglas se tomaron de su sitio oficial.</w:t>
            </w:r>
            <w:r/>
          </w:p>
        </w:tc>
        <w:tc>
          <w:tcPr>
            <w:shd w:val="clear" w:color="auto" w:fill="fafafc"/>
            <w:tcBorders/>
            <w:tcW w:w="1800" w:type="dxa"/>
          </w:tcPr>
          <w:p>
            <w:pPr>
              <w:pStyle w:val="731"/>
              <w:pBdr/>
              <w:spacing/>
              <w:ind/>
              <w:rPr/>
            </w:pPr>
            <w:r>
              <w:t xml:space="preserve">REF-13</w:t>
            </w:r>
            <w:r/>
          </w:p>
        </w:tc>
      </w:tr>
      <w:tr>
        <w:trPr>
          <w:cantSplit/>
        </w:trPr>
        <w:tc>
          <w:tcPr>
            <w:tcBorders/>
            <w:tcW w:w="1500" w:type="dxa"/>
          </w:tcPr>
          <w:p>
            <w:pPr>
              <w:pStyle w:val="731"/>
              <w:pBdr/>
              <w:spacing/>
              <w:ind/>
              <w:rPr/>
            </w:pPr>
            <w:r>
              <w:t xml:space="preserve">INE</w:t>
            </w:r>
            <w:r/>
          </w:p>
        </w:tc>
        <w:tc>
          <w:tcPr>
            <w:tcBorders/>
            <w:tcW w:w="6104" w:type="dxa"/>
          </w:tcPr>
          <w:p>
            <w:pPr>
              <w:pStyle w:val="731"/>
              <w:pBdr/>
              <w:spacing/>
              <w:ind/>
              <w:rPr/>
            </w:pPr>
            <w:r>
              <w:t xml:space="preserve">Instituto Nacional Electoral; su credencial para votar se usa como identificación.</w:t>
            </w:r>
            <w:r/>
          </w:p>
        </w:tc>
        <w:tc>
          <w:tcPr>
            <w:tcBorders/>
            <w:tcW w:w="1800" w:type="dxa"/>
          </w:tcPr>
          <w:p>
            <w:pPr>
              <w:pStyle w:val="731"/>
              <w:pBdr/>
              <w:spacing/>
              <w:ind/>
              <w:rPr/>
            </w:pPr>
            <w:r>
              <w:t xml:space="preserve">REF-01, II-b</w:t>
            </w:r>
            <w:r/>
          </w:p>
        </w:tc>
      </w:tr>
      <w:tr>
        <w:trPr>
          <w:cantSplit/>
        </w:trPr>
        <w:tc>
          <w:tcPr>
            <w:shd w:val="clear" w:color="auto" w:fill="fafafc"/>
            <w:tcBorders/>
            <w:tcW w:w="1500" w:type="dxa"/>
          </w:tcPr>
          <w:p>
            <w:pPr>
              <w:pStyle w:val="731"/>
              <w:pBdr/>
              <w:spacing/>
              <w:ind/>
              <w:rPr/>
            </w:pPr>
            <w:r>
              <w:t xml:space="preserve">ISO</w:t>
            </w:r>
            <w:r/>
          </w:p>
        </w:tc>
        <w:tc>
          <w:tcPr>
            <w:shd w:val="clear" w:color="auto" w:fill="fafafc"/>
            <w:tcBorders/>
            <w:tcW w:w="6104" w:type="dxa"/>
          </w:tcPr>
          <w:p>
            <w:pPr>
              <w:pStyle w:val="731"/>
              <w:pBdr/>
              <w:spacing/>
              <w:ind/>
              <w:rPr/>
            </w:pPr>
            <w:r>
              <w:t xml:space="preserve">International Organization for Standardization.</w:t>
            </w:r>
            <w:r/>
          </w:p>
        </w:tc>
        <w:tc>
          <w:tcPr>
            <w:shd w:val="clear" w:color="auto" w:fill="fafafc"/>
            <w:tcBorders/>
            <w:tcW w:w="1800" w:type="dxa"/>
          </w:tcPr>
          <w:p>
            <w:pPr>
              <w:pStyle w:val="731"/>
              <w:pBdr/>
              <w:spacing/>
              <w:ind/>
              <w:rPr/>
            </w:pPr>
            <w:r>
              <w:t xml:space="preserve">REF-09</w:t>
            </w:r>
            <w:r/>
          </w:p>
        </w:tc>
      </w:tr>
      <w:tr>
        <w:trPr>
          <w:cantSplit/>
        </w:trPr>
        <w:tc>
          <w:tcPr>
            <w:tcBorders/>
            <w:tcW w:w="1500" w:type="dxa"/>
          </w:tcPr>
          <w:p>
            <w:pPr>
              <w:pStyle w:val="731"/>
              <w:pBdr/>
              <w:spacing/>
              <w:ind/>
              <w:rPr/>
            </w:pPr>
            <w:r>
              <w:t xml:space="preserve">LFPDPPP</w:t>
            </w:r>
            <w:r/>
          </w:p>
        </w:tc>
        <w:tc>
          <w:tcPr>
            <w:tcBorders/>
            <w:tcW w:w="6104" w:type="dxa"/>
          </w:tcPr>
          <w:p>
            <w:pPr>
              <w:pStyle w:val="731"/>
              <w:pBdr/>
              <w:spacing/>
              <w:ind/>
              <w:rPr/>
            </w:pPr>
            <w:r>
              <w:t xml:space="preserve">Ley Federal de Protección de Datos Personales en Posesión de los Particulares.</w:t>
            </w:r>
            <w:r/>
          </w:p>
        </w:tc>
        <w:tc>
          <w:tcPr>
            <w:tcBorders/>
            <w:tcW w:w="1800" w:type="dxa"/>
          </w:tcPr>
          <w:p>
            <w:pPr>
              <w:pStyle w:val="731"/>
              <w:pBdr/>
              <w:spacing/>
              <w:ind/>
              <w:rPr/>
            </w:pPr>
            <w:r>
              <w:t xml:space="preserve">REF-12</w:t>
            </w:r>
            <w:r/>
          </w:p>
        </w:tc>
      </w:tr>
      <w:tr>
        <w:trPr>
          <w:cantSplit/>
        </w:trPr>
        <w:tc>
          <w:tcPr>
            <w:shd w:val="clear" w:color="auto" w:fill="fafafc"/>
            <w:tcBorders/>
            <w:tcW w:w="1500" w:type="dxa"/>
          </w:tcPr>
          <w:p>
            <w:pPr>
              <w:pStyle w:val="731"/>
              <w:pBdr/>
              <w:spacing/>
              <w:ind/>
              <w:rPr/>
            </w:pPr>
            <w:r>
              <w:t xml:space="preserve">M.N.</w:t>
            </w:r>
            <w:r/>
          </w:p>
        </w:tc>
        <w:tc>
          <w:tcPr>
            <w:shd w:val="clear" w:color="auto" w:fill="fafafc"/>
            <w:tcBorders/>
            <w:tcW w:w="6104" w:type="dxa"/>
          </w:tcPr>
          <w:p>
            <w:pPr>
              <w:pStyle w:val="731"/>
              <w:pBdr/>
              <w:spacing/>
              <w:ind/>
              <w:rPr/>
            </w:pPr>
            <w:r>
              <w:t xml:space="preserve">Moneda nacional (pesos mexicanos).</w:t>
            </w:r>
            <w:r/>
          </w:p>
        </w:tc>
        <w:tc>
          <w:tcPr>
            <w:shd w:val="clear" w:color="auto" w:fill="fafafc"/>
            <w:tcBorders/>
            <w:tcW w:w="1800" w:type="dxa"/>
          </w:tcPr>
          <w:p>
            <w:pPr>
              <w:pStyle w:val="731"/>
              <w:pBdr/>
              <w:spacing/>
              <w:ind/>
              <w:rPr/>
            </w:pPr>
            <w:r>
              <w:t xml:space="preserve">REF-01</w:t>
            </w:r>
            <w:r/>
          </w:p>
        </w:tc>
      </w:tr>
      <w:tr>
        <w:trPr>
          <w:cantSplit/>
        </w:trPr>
        <w:tc>
          <w:tcPr>
            <w:tcBorders/>
            <w:tcW w:w="1500" w:type="dxa"/>
          </w:tcPr>
          <w:p>
            <w:pPr>
              <w:pStyle w:val="731"/>
              <w:pBdr/>
              <w:spacing/>
              <w:ind/>
              <w:rPr/>
            </w:pPr>
            <w:r>
              <w:t xml:space="preserve">MoSCoW</w:t>
            </w:r>
            <w:r/>
          </w:p>
        </w:tc>
        <w:tc>
          <w:tcPr>
            <w:tcBorders/>
            <w:tcW w:w="6104" w:type="dxa"/>
          </w:tcPr>
          <w:p>
            <w:pPr>
              <w:pStyle w:val="731"/>
              <w:pBdr/>
              <w:spacing/>
              <w:ind/>
              <w:rPr/>
            </w:pPr>
            <w:r>
              <w:t xml:space="preserve">Técnica de priorización: Must, Should, Could, Won't.</w:t>
            </w:r>
            <w:r/>
          </w:p>
        </w:tc>
        <w:tc>
          <w:tcPr>
            <w:tcBorders/>
            <w:tcW w:w="1800" w:type="dxa"/>
          </w:tcPr>
          <w:p>
            <w:pPr>
              <w:pStyle w:val="731"/>
              <w:pBdr/>
              <w:spacing/>
              <w:ind/>
              <w:rPr/>
            </w:pPr>
            <w:r>
              <w:t xml:space="preserve">1.2.5</w:t>
            </w:r>
            <w:r/>
          </w:p>
        </w:tc>
      </w:tr>
      <w:tr>
        <w:trPr>
          <w:cantSplit/>
        </w:trPr>
        <w:tc>
          <w:tcPr>
            <w:shd w:val="clear" w:color="auto" w:fill="fafafc"/>
            <w:tcBorders/>
            <w:tcW w:w="1500" w:type="dxa"/>
          </w:tcPr>
          <w:p>
            <w:pPr>
              <w:pStyle w:val="731"/>
              <w:pBdr/>
              <w:spacing/>
              <w:ind/>
              <w:rPr/>
            </w:pPr>
            <w:r>
              <w:t xml:space="preserve">No.</w:t>
            </w:r>
            <w:r/>
          </w:p>
        </w:tc>
        <w:tc>
          <w:tcPr>
            <w:shd w:val="clear" w:color="auto" w:fill="fafafc"/>
            <w:tcBorders/>
            <w:tcW w:w="6104" w:type="dxa"/>
          </w:tcPr>
          <w:p>
            <w:pPr>
              <w:pStyle w:val="731"/>
              <w:pBdr/>
              <w:spacing/>
              <w:ind/>
              <w:rPr/>
            </w:pPr>
            <w:r>
              <w:t xml:space="preserve">Número de partido en la programación.</w:t>
            </w:r>
            <w:r/>
          </w:p>
        </w:tc>
        <w:tc>
          <w:tcPr>
            <w:shd w:val="clear" w:color="auto" w:fill="fafafc"/>
            <w:tcBorders/>
            <w:tcW w:w="1800" w:type="dxa"/>
          </w:tcPr>
          <w:p>
            <w:pPr>
              <w:pStyle w:val="731"/>
              <w:pBdr/>
              <w:spacing/>
              <w:ind/>
              <w:rPr/>
            </w:pPr>
            <w:r>
              <w:t xml:space="preserve">REF-03</w:t>
            </w:r>
            <w:r/>
          </w:p>
        </w:tc>
      </w:tr>
      <w:tr>
        <w:trPr>
          <w:cantSplit/>
        </w:trPr>
        <w:tc>
          <w:tcPr>
            <w:tcBorders/>
            <w:tcW w:w="1500" w:type="dxa"/>
          </w:tcPr>
          <w:p>
            <w:pPr>
              <w:pStyle w:val="731"/>
              <w:pBdr/>
              <w:spacing/>
              <w:ind/>
              <w:rPr/>
            </w:pPr>
            <w:r>
              <w:t xml:space="preserve">PE</w:t>
            </w:r>
            <w:r/>
          </w:p>
        </w:tc>
        <w:tc>
          <w:tcPr>
            <w:tcBorders/>
            <w:tcW w:w="6104" w:type="dxa"/>
          </w:tcPr>
          <w:p>
            <w:pPr>
              <w:pStyle w:val="731"/>
              <w:pBdr/>
              <w:spacing/>
              <w:ind/>
              <w:rPr/>
            </w:pPr>
            <w:r>
              <w:t xml:space="preserve">Partidos empatados.</w:t>
            </w:r>
            <w:r/>
          </w:p>
        </w:tc>
        <w:tc>
          <w:tcPr>
            <w:tcBorders/>
            <w:tcW w:w="1800" w:type="dxa"/>
          </w:tcPr>
          <w:p>
            <w:pPr>
              <w:pStyle w:val="731"/>
              <w:pBdr/>
              <w:spacing/>
              <w:ind/>
              <w:rPr/>
            </w:pPr>
            <w:r>
              <w:t xml:space="preserve">REF-07, P14</w:t>
            </w:r>
            <w:r/>
          </w:p>
        </w:tc>
      </w:tr>
      <w:tr>
        <w:trPr>
          <w:cantSplit/>
        </w:trPr>
        <w:tc>
          <w:tcPr>
            <w:shd w:val="clear" w:color="auto" w:fill="fafafc"/>
            <w:tcBorders/>
            <w:tcW w:w="1500" w:type="dxa"/>
          </w:tcPr>
          <w:p>
            <w:pPr>
              <w:pStyle w:val="731"/>
              <w:pBdr/>
              <w:spacing/>
              <w:ind/>
              <w:rPr/>
            </w:pPr>
            <w:r>
              <w:t xml:space="preserve">PG</w:t>
            </w:r>
            <w:r/>
          </w:p>
        </w:tc>
        <w:tc>
          <w:tcPr>
            <w:shd w:val="clear" w:color="auto" w:fill="fafafc"/>
            <w:tcBorders/>
            <w:tcW w:w="6104" w:type="dxa"/>
          </w:tcPr>
          <w:p>
            <w:pPr>
              <w:pStyle w:val="731"/>
              <w:pBdr/>
              <w:spacing/>
              <w:ind/>
              <w:rPr/>
            </w:pPr>
            <w:r>
              <w:t xml:space="preserve">Partidos ganados.</w:t>
            </w:r>
            <w:r/>
          </w:p>
        </w:tc>
        <w:tc>
          <w:tcPr>
            <w:shd w:val="clear" w:color="auto" w:fill="fafafc"/>
            <w:tcBorders/>
            <w:tcW w:w="1800" w:type="dxa"/>
          </w:tcPr>
          <w:p>
            <w:pPr>
              <w:pStyle w:val="731"/>
              <w:pBdr/>
              <w:spacing/>
              <w:ind/>
              <w:rPr/>
            </w:pPr>
            <w:r>
              <w:t xml:space="preserve">REF-07, P14</w:t>
            </w:r>
            <w:r/>
          </w:p>
        </w:tc>
      </w:tr>
      <w:tr>
        <w:trPr>
          <w:cantSplit/>
        </w:trPr>
        <w:tc>
          <w:tcPr>
            <w:tcBorders/>
            <w:tcW w:w="1500" w:type="dxa"/>
          </w:tcPr>
          <w:p>
            <w:pPr>
              <w:pStyle w:val="731"/>
              <w:pBdr/>
              <w:spacing/>
              <w:ind/>
              <w:rPr/>
            </w:pPr>
            <w:r>
              <w:t xml:space="preserve">PJ</w:t>
            </w:r>
            <w:r/>
          </w:p>
        </w:tc>
        <w:tc>
          <w:tcPr>
            <w:tcBorders/>
            <w:tcW w:w="6104" w:type="dxa"/>
          </w:tcPr>
          <w:p>
            <w:pPr>
              <w:pStyle w:val="731"/>
              <w:pBdr/>
              <w:spacing/>
              <w:ind/>
              <w:rPr/>
            </w:pPr>
            <w:r>
              <w:t xml:space="preserve">Partidos jugados.</w:t>
            </w:r>
            <w:r/>
          </w:p>
        </w:tc>
        <w:tc>
          <w:tcPr>
            <w:tcBorders/>
            <w:tcW w:w="1800" w:type="dxa"/>
          </w:tcPr>
          <w:p>
            <w:pPr>
              <w:pStyle w:val="731"/>
              <w:pBdr/>
              <w:spacing/>
              <w:ind/>
              <w:rPr/>
            </w:pPr>
            <w:r>
              <w:t xml:space="preserve">REF-07, P14</w:t>
            </w:r>
            <w:r/>
          </w:p>
        </w:tc>
      </w:tr>
      <w:tr>
        <w:trPr>
          <w:cantSplit/>
        </w:trPr>
        <w:tc>
          <w:tcPr>
            <w:shd w:val="clear" w:color="auto" w:fill="fafafc"/>
            <w:tcBorders/>
            <w:tcW w:w="1500" w:type="dxa"/>
          </w:tcPr>
          <w:p>
            <w:pPr>
              <w:pStyle w:val="731"/>
              <w:pBdr/>
              <w:spacing/>
              <w:ind/>
              <w:rPr/>
            </w:pPr>
            <w:r>
              <w:t xml:space="preserve">PP</w:t>
            </w:r>
            <w:r/>
          </w:p>
        </w:tc>
        <w:tc>
          <w:tcPr>
            <w:shd w:val="clear" w:color="auto" w:fill="fafafc"/>
            <w:tcBorders/>
            <w:tcW w:w="6104" w:type="dxa"/>
          </w:tcPr>
          <w:p>
            <w:pPr>
              <w:pStyle w:val="731"/>
              <w:pBdr/>
              <w:spacing/>
              <w:ind/>
              <w:rPr/>
            </w:pPr>
            <w:r>
              <w:t xml:space="preserve">Partidos perdidos.</w:t>
            </w:r>
            <w:r/>
          </w:p>
        </w:tc>
        <w:tc>
          <w:tcPr>
            <w:shd w:val="clear" w:color="auto" w:fill="fafafc"/>
            <w:tcBorders/>
            <w:tcW w:w="1800" w:type="dxa"/>
          </w:tcPr>
          <w:p>
            <w:pPr>
              <w:pStyle w:val="731"/>
              <w:pBdr/>
              <w:spacing/>
              <w:ind/>
              <w:rPr/>
            </w:pPr>
            <w:r>
              <w:t xml:space="preserve">REF-07, P14</w:t>
            </w:r>
            <w:r/>
          </w:p>
        </w:tc>
      </w:tr>
      <w:tr>
        <w:trPr>
          <w:cantSplit/>
        </w:trPr>
        <w:tc>
          <w:tcPr>
            <w:tcBorders/>
            <w:tcW w:w="1500" w:type="dxa"/>
          </w:tcPr>
          <w:p>
            <w:pPr>
              <w:pStyle w:val="731"/>
              <w:pBdr/>
              <w:spacing/>
              <w:ind/>
              <w:rPr/>
            </w:pPr>
            <w:r>
              <w:t xml:space="preserve">PPP</w:t>
            </w:r>
            <w:r/>
          </w:p>
        </w:tc>
        <w:tc>
          <w:tcPr>
            <w:tcBorders/>
            <w:tcW w:w="6104" w:type="dxa"/>
          </w:tcPr>
          <w:p>
            <w:pPr>
              <w:pStyle w:val="731"/>
              <w:pBdr/>
              <w:spacing/>
              <w:ind/>
              <w:rPr/>
            </w:pPr>
            <w:r>
              <w:t xml:space="preserve">Abreviatura que aparece en la programación junto a resultados por default (por ejemplo, «PIERDE LOBOS F.C. PPP»). Significado: </w:t>
            </w:r>
            <w:r>
              <w:rPr>
                <w:b/>
                <w:bCs/>
                <w:color w:val="9c4a00"/>
                <w:shd w:val="clear" w:color="auto" w:fill="fff2cc"/>
              </w:rPr>
              <w:t xml:space="preserve">[POR DEFINIR]</w:t>
            </w:r>
            <w:r>
              <w:t xml:space="preserve">.</w:t>
            </w:r>
            <w:r/>
          </w:p>
        </w:tc>
        <w:tc>
          <w:tcPr>
            <w:tcBorders/>
            <w:tcW w:w="1800" w:type="dxa"/>
          </w:tcPr>
          <w:p>
            <w:pPr>
              <w:pStyle w:val="731"/>
              <w:pBdr/>
              <w:spacing/>
              <w:ind/>
              <w:rPr/>
            </w:pPr>
            <w:r>
              <w:t xml:space="preserve">REF-03</w:t>
            </w:r>
            <w:r/>
          </w:p>
        </w:tc>
      </w:tr>
      <w:tr>
        <w:trPr>
          <w:cantSplit/>
        </w:trPr>
        <w:tc>
          <w:tcPr>
            <w:shd w:val="clear" w:color="auto" w:fill="fafafc"/>
            <w:tcBorders/>
            <w:tcW w:w="1500" w:type="dxa"/>
          </w:tcPr>
          <w:p>
            <w:pPr>
              <w:pStyle w:val="731"/>
              <w:pBdr/>
              <w:spacing/>
              <w:ind/>
              <w:rPr/>
            </w:pPr>
            <w:r>
              <w:t xml:space="preserve">Pts.</w:t>
            </w:r>
            <w:r/>
          </w:p>
        </w:tc>
        <w:tc>
          <w:tcPr>
            <w:shd w:val="clear" w:color="auto" w:fill="fafafc"/>
            <w:tcBorders/>
            <w:tcW w:w="6104" w:type="dxa"/>
          </w:tcPr>
          <w:p>
            <w:pPr>
              <w:pStyle w:val="731"/>
              <w:pBdr/>
              <w:spacing/>
              <w:ind/>
              <w:rPr/>
            </w:pPr>
            <w:r>
              <w:t xml:space="preserve">Puntos.</w:t>
            </w:r>
            <w:r/>
          </w:p>
        </w:tc>
        <w:tc>
          <w:tcPr>
            <w:shd w:val="clear" w:color="auto" w:fill="fafafc"/>
            <w:tcBorders/>
            <w:tcW w:w="1800" w:type="dxa"/>
          </w:tcPr>
          <w:p>
            <w:pPr>
              <w:pStyle w:val="731"/>
              <w:pBdr/>
              <w:spacing/>
              <w:ind/>
              <w:rPr/>
            </w:pPr>
            <w:r>
              <w:t xml:space="preserve">REF-07, P14</w:t>
            </w:r>
            <w:r/>
          </w:p>
        </w:tc>
      </w:tr>
      <w:tr>
        <w:trPr>
          <w:cantSplit/>
        </w:trPr>
        <w:tc>
          <w:tcPr>
            <w:tcBorders/>
            <w:tcW w:w="1500" w:type="dxa"/>
          </w:tcPr>
          <w:p>
            <w:pPr>
              <w:pStyle w:val="731"/>
              <w:pBdr/>
              <w:spacing/>
              <w:ind/>
              <w:rPr/>
            </w:pPr>
            <w:r>
              <w:t xml:space="preserve">RF / RNF</w:t>
            </w:r>
            <w:r/>
          </w:p>
        </w:tc>
        <w:tc>
          <w:tcPr>
            <w:tcBorders/>
            <w:tcW w:w="6104" w:type="dxa"/>
          </w:tcPr>
          <w:p>
            <w:pPr>
              <w:pStyle w:val="731"/>
              <w:pBdr/>
              <w:spacing/>
              <w:ind/>
              <w:rPr/>
            </w:pPr>
            <w:r>
              <w:t xml:space="preserve">Requisito funcional / requisito no funcional.</w:t>
            </w:r>
            <w:r/>
          </w:p>
        </w:tc>
        <w:tc>
          <w:tcPr>
            <w:tcBorders/>
            <w:tcW w:w="1800" w:type="dxa"/>
          </w:tcPr>
          <w:p>
            <w:pPr>
              <w:pStyle w:val="731"/>
              <w:pBdr/>
              <w:spacing/>
              <w:ind/>
              <w:rPr/>
            </w:pPr>
            <w:r>
              <w:t xml:space="preserve">1.3.6</w:t>
            </w:r>
            <w:r/>
          </w:p>
        </w:tc>
      </w:tr>
      <w:tr>
        <w:trPr>
          <w:cantSplit/>
        </w:trPr>
        <w:tc>
          <w:tcPr>
            <w:shd w:val="clear" w:color="auto" w:fill="fafafc"/>
            <w:tcBorders/>
            <w:tcW w:w="1500" w:type="dxa"/>
          </w:tcPr>
          <w:p>
            <w:pPr>
              <w:pStyle w:val="731"/>
              <w:pBdr/>
              <w:spacing/>
              <w:ind/>
              <w:rPr/>
            </w:pPr>
            <w:r>
              <w:t xml:space="preserve">SRS</w:t>
            </w:r>
            <w:r/>
          </w:p>
        </w:tc>
        <w:tc>
          <w:tcPr>
            <w:shd w:val="clear" w:color="auto" w:fill="fafafc"/>
            <w:tcBorders/>
            <w:tcW w:w="6104" w:type="dxa"/>
          </w:tcPr>
          <w:p>
            <w:pPr>
              <w:pStyle w:val="731"/>
              <w:pBdr/>
              <w:spacing/>
              <w:ind/>
              <w:rPr/>
            </w:pPr>
            <w:r>
              <w:t xml:space="preserve">Software Requirements Specification.</w:t>
            </w:r>
            <w:r/>
          </w:p>
        </w:tc>
        <w:tc>
          <w:tcPr>
            <w:shd w:val="clear" w:color="auto" w:fill="fafafc"/>
            <w:tcBorders/>
            <w:tcW w:w="1800" w:type="dxa"/>
          </w:tcPr>
          <w:p>
            <w:pPr>
              <w:pStyle w:val="731"/>
              <w:pBdr/>
              <w:spacing/>
              <w:ind/>
              <w:rPr/>
            </w:pPr>
            <w:r>
              <w:t xml:space="preserve">REF-09</w:t>
            </w:r>
            <w:r/>
          </w:p>
        </w:tc>
      </w:tr>
      <w:tr>
        <w:trPr>
          <w:cantSplit/>
        </w:trPr>
        <w:tc>
          <w:tcPr>
            <w:tcBorders/>
            <w:tcW w:w="1500" w:type="dxa"/>
          </w:tcPr>
          <w:p>
            <w:pPr>
              <w:pStyle w:val="731"/>
              <w:pBdr/>
              <w:spacing/>
              <w:ind/>
              <w:rPr/>
            </w:pPr>
            <w:r>
              <w:t xml:space="preserve">U.D.C. (UDC)</w:t>
            </w:r>
            <w:r/>
          </w:p>
        </w:tc>
        <w:tc>
          <w:tcPr>
            <w:tcBorders/>
            <w:tcW w:w="6104" w:type="dxa"/>
          </w:tcPr>
          <w:p>
            <w:pPr>
              <w:pStyle w:val="731"/>
              <w:pBdr/>
              <w:spacing/>
              <w:ind/>
              <w:rPr/>
            </w:pPr>
            <w:r>
              <w:t xml:space="preserve">Unidad Deportiva Cuauhtémoc, sede principal de la Liga.</w:t>
            </w:r>
            <w:r/>
          </w:p>
        </w:tc>
        <w:tc>
          <w:tcPr>
            <w:tcBorders/>
            <w:tcW w:w="1800" w:type="dxa"/>
          </w:tcPr>
          <w:p>
            <w:pPr>
              <w:pStyle w:val="731"/>
              <w:pBdr/>
              <w:spacing/>
              <w:ind/>
              <w:rPr/>
            </w:pPr>
            <w:r>
              <w:t xml:space="preserve">REF-07, P13; REF-15</w:t>
            </w:r>
            <w:r/>
          </w:p>
        </w:tc>
      </w:tr>
      <w:tr>
        <w:trPr>
          <w:cantSplit/>
        </w:trPr>
        <w:tc>
          <w:tcPr>
            <w:shd w:val="clear" w:color="auto" w:fill="fafafc"/>
            <w:tcBorders/>
            <w:tcW w:w="1500" w:type="dxa"/>
          </w:tcPr>
          <w:p>
            <w:pPr>
              <w:pStyle w:val="731"/>
              <w:pBdr/>
              <w:spacing/>
              <w:ind/>
              <w:rPr/>
            </w:pPr>
            <w:r>
              <w:t xml:space="preserve">UMSNH</w:t>
            </w:r>
            <w:r/>
          </w:p>
        </w:tc>
        <w:tc>
          <w:tcPr>
            <w:shd w:val="clear" w:color="auto" w:fill="fafafc"/>
            <w:tcBorders/>
            <w:tcW w:w="6104" w:type="dxa"/>
          </w:tcPr>
          <w:p>
            <w:pPr>
              <w:pStyle w:val="731"/>
              <w:pBdr/>
              <w:spacing/>
              <w:ind/>
              <w:rPr/>
            </w:pPr>
            <w:r>
              <w:t xml:space="preserve">Universidad Michoacana de San Nicolás de Hidalgo.</w:t>
            </w:r>
            <w:r/>
          </w:p>
        </w:tc>
        <w:tc>
          <w:tcPr>
            <w:shd w:val="clear" w:color="auto" w:fill="fafafc"/>
            <w:tcBorders/>
            <w:tcW w:w="1800" w:type="dxa"/>
          </w:tcPr>
          <w:p>
            <w:pPr>
              <w:pStyle w:val="731"/>
              <w:pBdr/>
              <w:spacing/>
              <w:ind/>
              <w:rPr/>
            </w:pPr>
            <w:r>
              <w:t xml:space="preserve">REF-07, P18</w:t>
            </w:r>
            <w:r/>
          </w:p>
        </w:tc>
      </w:tr>
    </w:tbl>
    <w:p>
      <w:pPr>
        <w:pBdr/>
        <w:spacing w:after="60" w:before="0"/>
        <w:ind/>
        <w:rPr/>
      </w:pPr>
      <w:r/>
      <w:r/>
    </w:p>
    <w:p>
      <w:pPr>
        <w:pStyle w:val="724"/>
        <w:pBdr/>
        <w:spacing/>
        <w:ind/>
        <w:rPr/>
      </w:pPr>
      <w:r/>
      <w:bookmarkStart w:id="24" w:name="_Toc100024"/>
      <w:r>
        <w:t xml:space="preserve">1.4 Referencias</w:t>
      </w:r>
      <w:bookmarkEnd w:id="24"/>
      <w:r/>
      <w:r/>
    </w:p>
    <w:p>
      <w:pPr>
        <w:pBdr/>
        <w:spacing/>
        <w:ind/>
        <w:rPr/>
      </w:pPr>
      <w:r>
        <w:t xml:space="preserve">Los documentos siguientes se citan en este ERS con el identificador indicado. Los documentos de la Liga son públicos [REF-07, P15]. Las copias usadas en este análisis se conservan en la carpeta «contexto» del repositorio del proyecto.</w:t>
      </w:r>
      <w:r/>
    </w:p>
    <w:p>
      <w:pPr>
        <w:pStyle w:val="725"/>
        <w:pBdr/>
        <w:spacing/>
        <w:ind/>
        <w:rPr/>
      </w:pPr>
      <w:r/>
      <w:bookmarkStart w:id="25" w:name="_Toc100025"/>
      <w:r>
        <w:t xml:space="preserve">1.4.1 Documentos de la Liga</w:t>
      </w:r>
      <w:bookmarkEnd w:id="25"/>
      <w:r/>
      <w:r/>
    </w:p>
    <w:p>
      <w:pPr>
        <w:pStyle w:val="732"/>
        <w:keepNext w:val="true"/>
        <w:pBdr/>
        <w:spacing/>
        <w:ind/>
        <w:rPr/>
      </w:pPr>
      <w:r>
        <w:rPr>
          <w:b/>
          <w:bCs/>
          <w:color w:val="241a61"/>
          <w:sz w:val="18"/>
          <w:szCs w:val="18"/>
        </w:rPr>
        <w:t xml:space="preserve">Tabla 16. </w:t>
      </w:r>
      <w:r>
        <w:rPr>
          <w:sz w:val="18"/>
          <w:szCs w:val="18"/>
        </w:rPr>
        <w:t xml:space="preserve">Documentos normativos y operativos de la Liga.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900"/>
        <w:gridCol w:w="3500"/>
        <w:gridCol w:w="2104"/>
        <w:gridCol w:w="2900"/>
      </w:tblGrid>
      <w:tr>
        <w:trPr>
          <w:cantSplit/>
          <w:tblHeader/>
        </w:trPr>
        <w:tc>
          <w:tcPr>
            <w:shd w:val="clear" w:color="auto" w:fill="241a61"/>
            <w:tcBorders/>
            <w:tcW w:w="900" w:type="dxa"/>
            <w:vAlign w:val="center"/>
          </w:tcPr>
          <w:p>
            <w:pPr>
              <w:pStyle w:val="731"/>
              <w:pBdr/>
              <w:spacing/>
              <w:ind/>
              <w:rPr/>
            </w:pPr>
            <w:r>
              <w:rPr>
                <w:b/>
                <w:bCs/>
                <w:color w:val="ffffff"/>
              </w:rPr>
              <w:t xml:space="preserve">ID</w:t>
            </w:r>
            <w:r/>
          </w:p>
        </w:tc>
        <w:tc>
          <w:tcPr>
            <w:shd w:val="clear" w:color="auto" w:fill="241a61"/>
            <w:tcBorders/>
            <w:tcW w:w="3500" w:type="dxa"/>
            <w:vAlign w:val="center"/>
          </w:tcPr>
          <w:p>
            <w:pPr>
              <w:pStyle w:val="731"/>
              <w:pBdr/>
              <w:spacing/>
              <w:ind/>
              <w:rPr/>
            </w:pPr>
            <w:r>
              <w:rPr>
                <w:b/>
                <w:bCs/>
                <w:color w:val="ffffff"/>
              </w:rPr>
              <w:t xml:space="preserve">Documento y tipo</w:t>
            </w:r>
            <w:r/>
          </w:p>
        </w:tc>
        <w:tc>
          <w:tcPr>
            <w:shd w:val="clear" w:color="auto" w:fill="241a61"/>
            <w:tcBorders/>
            <w:tcW w:w="2104" w:type="dxa"/>
            <w:vAlign w:val="center"/>
          </w:tcPr>
          <w:p>
            <w:pPr>
              <w:pStyle w:val="731"/>
              <w:pBdr/>
              <w:spacing/>
              <w:ind/>
              <w:rPr/>
            </w:pPr>
            <w:r>
              <w:rPr>
                <w:b/>
                <w:bCs/>
                <w:color w:val="ffffff"/>
              </w:rPr>
              <w:t xml:space="preserve">Emisor y fecha</w:t>
            </w:r>
            <w:r/>
          </w:p>
        </w:tc>
        <w:tc>
          <w:tcPr>
            <w:shd w:val="clear" w:color="auto" w:fill="241a61"/>
            <w:tcBorders/>
            <w:tcW w:w="2900" w:type="dxa"/>
            <w:vAlign w:val="center"/>
          </w:tcPr>
          <w:p>
            <w:pPr>
              <w:pStyle w:val="731"/>
              <w:pBdr/>
              <w:spacing/>
              <w:ind/>
              <w:rPr/>
            </w:pPr>
            <w:r>
              <w:rPr>
                <w:b/>
                <w:bCs/>
                <w:color w:val="ffffff"/>
              </w:rPr>
              <w:t xml:space="preserve">Disponibilidad</w:t>
            </w:r>
            <w:r/>
          </w:p>
        </w:tc>
      </w:tr>
      <w:tr>
        <w:trPr>
          <w:cantSplit/>
        </w:trPr>
        <w:tc>
          <w:tcPr>
            <w:tcBorders/>
            <w:tcW w:w="900" w:type="dxa"/>
          </w:tcPr>
          <w:p>
            <w:pPr>
              <w:pStyle w:val="731"/>
              <w:pBdr/>
              <w:spacing/>
              <w:ind/>
              <w:rPr/>
            </w:pPr>
            <w:r>
              <w:t xml:space="preserve">REF-01</w:t>
            </w:r>
            <w:r/>
          </w:p>
        </w:tc>
        <w:tc>
          <w:tcPr>
            <w:tcBorders/>
            <w:tcW w:w="3500" w:type="dxa"/>
          </w:tcPr>
          <w:p>
            <w:pPr>
              <w:pStyle w:val="731"/>
              <w:pBdr/>
              <w:spacing/>
              <w:ind/>
              <w:rPr/>
            </w:pPr>
            <w:r>
              <w:t xml:space="preserve">Convocatoria Temporada 2026–2027 (ramas libre y de veteranos).</w:t>
            </w:r>
            <w:r/>
          </w:p>
          <w:p>
            <w:pPr>
              <w:pStyle w:val="731"/>
              <w:pBdr/>
              <w:spacing/>
              <w:ind/>
              <w:rPr/>
            </w:pPr>
            <w:r>
              <w:rPr>
                <w:i/>
                <w:iCs/>
              </w:rPr>
              <w:t xml:space="preserve">Tipo: norma de la Liga.</w:t>
            </w:r>
            <w:r/>
          </w:p>
        </w:tc>
        <w:tc>
          <w:tcPr>
            <w:tcBorders/>
            <w:tcW w:w="2104" w:type="dxa"/>
          </w:tcPr>
          <w:p>
            <w:pPr>
              <w:pStyle w:val="731"/>
              <w:pBdr/>
              <w:spacing/>
              <w:ind/>
              <w:rPr/>
            </w:pPr>
            <w:r>
              <w:t xml:space="preserve">Liga, por conducto de su Consejo Directivo. Morelia, Mich., 3 de agosto de 2026.</w:t>
            </w:r>
            <w:r/>
          </w:p>
        </w:tc>
        <w:tc>
          <w:tcPr>
            <w:tcBorders/>
            <w:tcW w:w="2900" w:type="dxa"/>
          </w:tcPr>
          <w:p>
            <w:pPr>
              <w:pStyle w:val="731"/>
              <w:pBdr/>
              <w:spacing/>
              <w:ind/>
              <w:rPr/>
            </w:pPr>
            <w:r>
              <w:t xml:space="preserve">Pública. Copia: contexto/convocatoria.jpg. URL de publicación: </w:t>
            </w:r>
            <w:r>
              <w:rPr>
                <w:b/>
                <w:bCs/>
                <w:color w:val="9c4a00"/>
                <w:shd w:val="clear" w:color="auto" w:fill="fff2cc"/>
              </w:rPr>
              <w:t xml:space="preserve">[POR DEFINIR]</w:t>
            </w:r>
            <w:r>
              <w:t xml:space="preserve">.</w:t>
            </w:r>
            <w:r/>
          </w:p>
        </w:tc>
      </w:tr>
      <w:tr>
        <w:trPr>
          <w:cantSplit/>
        </w:trPr>
        <w:tc>
          <w:tcPr>
            <w:shd w:val="clear" w:color="auto" w:fill="fafafc"/>
            <w:tcBorders/>
            <w:tcW w:w="900" w:type="dxa"/>
          </w:tcPr>
          <w:p>
            <w:pPr>
              <w:pStyle w:val="731"/>
              <w:pBdr/>
              <w:spacing/>
              <w:ind/>
              <w:rPr/>
            </w:pPr>
            <w:r>
              <w:t xml:space="preserve">REF-02</w:t>
            </w:r>
            <w:r/>
          </w:p>
        </w:tc>
        <w:tc>
          <w:tcPr>
            <w:shd w:val="clear" w:color="auto" w:fill="fafafc"/>
            <w:tcBorders/>
            <w:tcW w:w="3500" w:type="dxa"/>
          </w:tcPr>
          <w:p>
            <w:pPr>
              <w:pStyle w:val="731"/>
              <w:pBdr/>
              <w:spacing/>
              <w:ind/>
              <w:rPr/>
            </w:pPr>
            <w:r>
              <w:t xml:space="preserve">Convocatoria Temporada 2026–2027, Rama Infantil.</w:t>
            </w:r>
            <w:r/>
          </w:p>
          <w:p>
            <w:pPr>
              <w:pStyle w:val="731"/>
              <w:pBdr/>
              <w:spacing/>
              <w:ind/>
              <w:rPr/>
            </w:pPr>
            <w:r>
              <w:rPr>
                <w:i/>
                <w:iCs/>
              </w:rPr>
              <w:t xml:space="preserve">Tipo: norma de la Liga.</w:t>
            </w:r>
            <w:r/>
          </w:p>
        </w:tc>
        <w:tc>
          <w:tcPr>
            <w:shd w:val="clear" w:color="auto" w:fill="fafafc"/>
            <w:tcBorders/>
            <w:tcW w:w="2104" w:type="dxa"/>
          </w:tcPr>
          <w:p>
            <w:pPr>
              <w:pStyle w:val="731"/>
              <w:pBdr/>
              <w:spacing/>
              <w:ind/>
              <w:rPr/>
            </w:pPr>
            <w:r>
              <w:t xml:space="preserve">Consejo Directivo y Comisión de la Rama Infantil. 3 de agosto de 2026.</w:t>
            </w:r>
            <w:r/>
          </w:p>
        </w:tc>
        <w:tc>
          <w:tcPr>
            <w:shd w:val="clear" w:color="auto" w:fill="fafafc"/>
            <w:tcBorders/>
            <w:tcW w:w="2900" w:type="dxa"/>
          </w:tcPr>
          <w:p>
            <w:pPr>
              <w:pStyle w:val="731"/>
              <w:pBdr/>
              <w:spacing/>
              <w:ind/>
              <w:rPr/>
            </w:pPr>
            <w:r>
              <w:t xml:space="preserve">Pública. Copia: contexto/convocatorio_infantil.jpg. URL de publicación: </w:t>
            </w:r>
            <w:r>
              <w:rPr>
                <w:b/>
                <w:bCs/>
                <w:color w:val="9c4a00"/>
                <w:shd w:val="clear" w:color="auto" w:fill="fff2cc"/>
              </w:rPr>
              <w:t xml:space="preserve">[POR DEFINIR]</w:t>
            </w:r>
            <w:r>
              <w:t xml:space="preserve">.</w:t>
            </w:r>
            <w:r/>
          </w:p>
        </w:tc>
      </w:tr>
      <w:tr>
        <w:trPr>
          <w:cantSplit/>
        </w:trPr>
        <w:tc>
          <w:tcPr>
            <w:tcBorders/>
            <w:tcW w:w="900" w:type="dxa"/>
          </w:tcPr>
          <w:p>
            <w:pPr>
              <w:pStyle w:val="731"/>
              <w:pBdr/>
              <w:spacing/>
              <w:ind/>
              <w:rPr/>
            </w:pPr>
            <w:r>
              <w:t xml:space="preserve">REF-03</w:t>
            </w:r>
            <w:r/>
          </w:p>
        </w:tc>
        <w:tc>
          <w:tcPr>
            <w:tcBorders/>
            <w:tcW w:w="3500" w:type="dxa"/>
          </w:tcPr>
          <w:p>
            <w:pPr>
              <w:pStyle w:val="731"/>
              <w:pBdr/>
              <w:spacing/>
              <w:ind/>
              <w:rPr/>
            </w:pPr>
            <w:r>
              <w:t xml:space="preserve">Programación oficial, Rama Infantil, 5.º Torneo de Verano 2026, sábado 3 de octubre de 2026 (jornada 11).</w:t>
            </w:r>
            <w:r/>
          </w:p>
          <w:p>
            <w:pPr>
              <w:pStyle w:val="731"/>
              <w:pBdr/>
              <w:spacing/>
              <w:ind/>
              <w:rPr/>
            </w:pPr>
            <w:r>
              <w:rPr>
                <w:i/>
                <w:iCs/>
              </w:rPr>
              <w:t xml:space="preserve">Tipo: documento operativo.</w:t>
            </w:r>
            <w:r/>
          </w:p>
        </w:tc>
        <w:tc>
          <w:tcPr>
            <w:tcBorders/>
            <w:tcW w:w="2104" w:type="dxa"/>
          </w:tcPr>
          <w:p>
            <w:pPr>
              <w:pStyle w:val="731"/>
              <w:pBdr/>
              <w:spacing/>
              <w:ind/>
              <w:rPr/>
            </w:pPr>
            <w:r>
              <w:t xml:space="preserve">Liga. 3 de octubre de 2026.</w:t>
            </w:r>
            <w:r/>
          </w:p>
        </w:tc>
        <w:tc>
          <w:tcPr>
            <w:tcBorders/>
            <w:tcW w:w="2900" w:type="dxa"/>
          </w:tcPr>
          <w:p>
            <w:pPr>
              <w:pStyle w:val="731"/>
              <w:pBdr/>
              <w:spacing/>
              <w:ind/>
              <w:rPr/>
            </w:pPr>
            <w:r>
              <w:t xml:space="preserve">Pública. Copia: contexto/calendario.jpg.</w:t>
            </w:r>
            <w:r/>
          </w:p>
        </w:tc>
      </w:tr>
      <w:tr>
        <w:trPr>
          <w:cantSplit/>
        </w:trPr>
        <w:tc>
          <w:tcPr>
            <w:shd w:val="clear" w:color="auto" w:fill="fafafc"/>
            <w:tcBorders/>
            <w:tcW w:w="900" w:type="dxa"/>
          </w:tcPr>
          <w:p>
            <w:pPr>
              <w:pStyle w:val="731"/>
              <w:pBdr/>
              <w:spacing/>
              <w:ind/>
              <w:rPr/>
            </w:pPr>
            <w:r>
              <w:t xml:space="preserve">REF-04</w:t>
            </w:r>
            <w:r/>
          </w:p>
        </w:tc>
        <w:tc>
          <w:tcPr>
            <w:shd w:val="clear" w:color="auto" w:fill="fafafc"/>
            <w:tcBorders/>
            <w:tcW w:w="3500" w:type="dxa"/>
          </w:tcPr>
          <w:p>
            <w:pPr>
              <w:pStyle w:val="731"/>
              <w:pBdr/>
              <w:spacing/>
              <w:ind/>
              <w:rPr/>
            </w:pPr>
            <w:r>
              <w:t xml:space="preserve">Reglamento interno de la Liga.</w:t>
            </w:r>
            <w:r/>
          </w:p>
          <w:p>
            <w:pPr>
              <w:pStyle w:val="731"/>
              <w:pBdr/>
              <w:spacing/>
              <w:ind/>
              <w:rPr/>
            </w:pPr>
            <w:r>
              <w:rPr>
                <w:i/>
                <w:iCs/>
              </w:rPr>
              <w:t xml:space="preserve">Tipo: norma de la Liga.</w:t>
            </w:r>
            <w:r/>
          </w:p>
        </w:tc>
        <w:tc>
          <w:tcPr>
            <w:shd w:val="clear" w:color="auto" w:fill="fafafc"/>
            <w:tcBorders/>
            <w:tcW w:w="2104" w:type="dxa"/>
          </w:tcPr>
          <w:p>
            <w:pPr>
              <w:pStyle w:val="731"/>
              <w:pBdr/>
              <w:spacing/>
              <w:ind/>
              <w:rPr/>
            </w:pPr>
            <w:r>
              <w:t xml:space="preserve">Liga. Fecha: </w:t>
            </w:r>
            <w:r>
              <w:rPr>
                <w:b/>
                <w:bCs/>
                <w:color w:val="9c4a00"/>
                <w:shd w:val="clear" w:color="auto" w:fill="fff2cc"/>
              </w:rPr>
              <w:t xml:space="preserve">[POR DEFINIR]</w:t>
            </w:r>
            <w:r>
              <w:t xml:space="preserve">.</w:t>
            </w:r>
            <w:r/>
          </w:p>
        </w:tc>
        <w:tc>
          <w:tcPr>
            <w:shd w:val="clear" w:color="auto" w:fill="fafafc"/>
            <w:tcBorders/>
            <w:tcW w:w="2900" w:type="dxa"/>
          </w:tcPr>
          <w:p>
            <w:pPr>
              <w:pStyle w:val="731"/>
              <w:pBdr/>
              <w:spacing/>
              <w:ind/>
              <w:rPr/>
            </w:pPr>
            <w:r>
              <w:t xml:space="preserve">No localizado. </w:t>
            </w:r>
            <w:r>
              <w:rPr>
                <w:b/>
                <w:bCs/>
              </w:rPr>
              <w:t xml:space="preserve">Impacto:</w:t>
            </w:r>
            <w:r>
              <w:t xml:space="preserve"> ver C-05.</w:t>
            </w:r>
            <w:r/>
          </w:p>
        </w:tc>
      </w:tr>
      <w:tr>
        <w:trPr>
          <w:cantSplit/>
        </w:trPr>
        <w:tc>
          <w:tcPr>
            <w:tcBorders/>
            <w:tcW w:w="900" w:type="dxa"/>
          </w:tcPr>
          <w:p>
            <w:pPr>
              <w:pStyle w:val="731"/>
              <w:pBdr/>
              <w:spacing/>
              <w:ind/>
              <w:rPr/>
            </w:pPr>
            <w:r>
              <w:t xml:space="preserve">REF-05</w:t>
            </w:r>
            <w:r/>
          </w:p>
        </w:tc>
        <w:tc>
          <w:tcPr>
            <w:tcBorders/>
            <w:tcW w:w="3500" w:type="dxa"/>
          </w:tcPr>
          <w:p>
            <w:pPr>
              <w:pStyle w:val="731"/>
              <w:pBdr/>
              <w:spacing/>
              <w:ind/>
              <w:rPr/>
            </w:pPr>
            <w:r>
              <w:t xml:space="preserve">Estatutos de la Liga, Asociación Civil.</w:t>
            </w:r>
            <w:r/>
          </w:p>
          <w:p>
            <w:pPr>
              <w:pStyle w:val="731"/>
              <w:pBdr/>
              <w:spacing/>
              <w:ind/>
              <w:rPr/>
            </w:pPr>
            <w:r>
              <w:rPr>
                <w:i/>
                <w:iCs/>
              </w:rPr>
              <w:t xml:space="preserve">Tipo: norma de la Liga.</w:t>
            </w:r>
            <w:r/>
          </w:p>
        </w:tc>
        <w:tc>
          <w:tcPr>
            <w:tcBorders/>
            <w:tcW w:w="2104" w:type="dxa"/>
          </w:tcPr>
          <w:p>
            <w:pPr>
              <w:pStyle w:val="731"/>
              <w:pBdr/>
              <w:spacing/>
              <w:ind/>
              <w:rPr/>
            </w:pPr>
            <w:r>
              <w:t xml:space="preserve">Liga. Fecha: </w:t>
            </w:r>
            <w:r>
              <w:rPr>
                <w:b/>
                <w:bCs/>
                <w:color w:val="9c4a00"/>
                <w:shd w:val="clear" w:color="auto" w:fill="fff2cc"/>
              </w:rPr>
              <w:t xml:space="preserve">[POR DEFINIR]</w:t>
            </w:r>
            <w:r>
              <w:t xml:space="preserve">.</w:t>
            </w:r>
            <w:r/>
          </w:p>
        </w:tc>
        <w:tc>
          <w:tcPr>
            <w:tcBorders/>
            <w:tcW w:w="2900" w:type="dxa"/>
          </w:tcPr>
          <w:p>
            <w:pPr>
              <w:pStyle w:val="731"/>
              <w:pBdr/>
              <w:spacing/>
              <w:ind/>
              <w:rPr/>
            </w:pPr>
            <w:r>
              <w:t xml:space="preserve">No localizado. </w:t>
            </w:r>
            <w:r>
              <w:rPr>
                <w:b/>
                <w:bCs/>
              </w:rPr>
              <w:t xml:space="preserve">Impacto:</w:t>
            </w:r>
            <w:r>
              <w:t xml:space="preserve"> no puede verificarse la estructura formal de órganos y cargos.</w:t>
            </w:r>
            <w:r/>
          </w:p>
        </w:tc>
      </w:tr>
    </w:tbl>
    <w:p>
      <w:pPr>
        <w:pBdr/>
        <w:spacing w:after="60" w:before="0"/>
        <w:ind/>
        <w:rPr/>
      </w:pPr>
      <w:r/>
      <w:r/>
    </w:p>
    <w:p>
      <w:pPr>
        <w:pStyle w:val="725"/>
        <w:pBdr/>
        <w:spacing/>
        <w:ind/>
        <w:rPr/>
      </w:pPr>
      <w:r/>
      <w:bookmarkStart w:id="26" w:name="_Toc100026"/>
      <w:r>
        <w:t xml:space="preserve">1.4.2 Documentos del proyecto</w:t>
      </w:r>
      <w:bookmarkEnd w:id="26"/>
      <w:r/>
      <w:r/>
    </w:p>
    <w:p>
      <w:pPr>
        <w:pStyle w:val="732"/>
        <w:keepNext w:val="true"/>
        <w:pBdr/>
        <w:spacing/>
        <w:ind/>
        <w:rPr/>
      </w:pPr>
      <w:r>
        <w:rPr>
          <w:b/>
          <w:bCs/>
          <w:color w:val="241a61"/>
          <w:sz w:val="18"/>
          <w:szCs w:val="18"/>
        </w:rPr>
        <w:t xml:space="preserve">Tabla 17. </w:t>
      </w:r>
      <w:r>
        <w:rPr>
          <w:sz w:val="18"/>
          <w:szCs w:val="18"/>
        </w:rPr>
        <w:t xml:space="preserve">Documentos del proyecto.</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900"/>
        <w:gridCol w:w="3500"/>
        <w:gridCol w:w="2104"/>
        <w:gridCol w:w="2900"/>
      </w:tblGrid>
      <w:tr>
        <w:trPr>
          <w:cantSplit/>
          <w:tblHeader/>
        </w:trPr>
        <w:tc>
          <w:tcPr>
            <w:shd w:val="clear" w:color="auto" w:fill="241a61"/>
            <w:tcBorders/>
            <w:tcW w:w="900" w:type="dxa"/>
            <w:vAlign w:val="center"/>
          </w:tcPr>
          <w:p>
            <w:pPr>
              <w:pStyle w:val="731"/>
              <w:pBdr/>
              <w:spacing/>
              <w:ind/>
              <w:rPr/>
            </w:pPr>
            <w:r>
              <w:rPr>
                <w:b/>
                <w:bCs/>
                <w:color w:val="ffffff"/>
              </w:rPr>
              <w:t xml:space="preserve">ID</w:t>
            </w:r>
            <w:r/>
          </w:p>
        </w:tc>
        <w:tc>
          <w:tcPr>
            <w:shd w:val="clear" w:color="auto" w:fill="241a61"/>
            <w:tcBorders/>
            <w:tcW w:w="3500" w:type="dxa"/>
            <w:vAlign w:val="center"/>
          </w:tcPr>
          <w:p>
            <w:pPr>
              <w:pStyle w:val="731"/>
              <w:pBdr/>
              <w:spacing/>
              <w:ind/>
              <w:rPr/>
            </w:pPr>
            <w:r>
              <w:rPr>
                <w:b/>
                <w:bCs/>
                <w:color w:val="ffffff"/>
              </w:rPr>
              <w:t xml:space="preserve">Documento y tipo</w:t>
            </w:r>
            <w:r/>
          </w:p>
        </w:tc>
        <w:tc>
          <w:tcPr>
            <w:shd w:val="clear" w:color="auto" w:fill="241a61"/>
            <w:tcBorders/>
            <w:tcW w:w="2104" w:type="dxa"/>
            <w:vAlign w:val="center"/>
          </w:tcPr>
          <w:p>
            <w:pPr>
              <w:pStyle w:val="731"/>
              <w:pBdr/>
              <w:spacing/>
              <w:ind/>
              <w:rPr/>
            </w:pPr>
            <w:r>
              <w:rPr>
                <w:b/>
                <w:bCs/>
                <w:color w:val="ffffff"/>
              </w:rPr>
              <w:t xml:space="preserve">Emisor y fecha</w:t>
            </w:r>
            <w:r/>
          </w:p>
        </w:tc>
        <w:tc>
          <w:tcPr>
            <w:shd w:val="clear" w:color="auto" w:fill="241a61"/>
            <w:tcBorders/>
            <w:tcW w:w="2900" w:type="dxa"/>
            <w:vAlign w:val="center"/>
          </w:tcPr>
          <w:p>
            <w:pPr>
              <w:pStyle w:val="731"/>
              <w:pBdr/>
              <w:spacing/>
              <w:ind/>
              <w:rPr/>
            </w:pPr>
            <w:r>
              <w:rPr>
                <w:b/>
                <w:bCs/>
                <w:color w:val="ffffff"/>
              </w:rPr>
              <w:t xml:space="preserve">Disponibilidad</w:t>
            </w:r>
            <w:r/>
          </w:p>
        </w:tc>
      </w:tr>
      <w:tr>
        <w:trPr>
          <w:cantSplit/>
        </w:trPr>
        <w:tc>
          <w:tcPr>
            <w:tcBorders/>
            <w:tcW w:w="900" w:type="dxa"/>
          </w:tcPr>
          <w:p>
            <w:pPr>
              <w:pStyle w:val="731"/>
              <w:pBdr/>
              <w:spacing/>
              <w:ind/>
              <w:rPr/>
            </w:pPr>
            <w:r>
              <w:t xml:space="preserve">REF-06</w:t>
            </w:r>
            <w:r/>
          </w:p>
        </w:tc>
        <w:tc>
          <w:tcPr>
            <w:tcBorders/>
            <w:tcW w:w="3500" w:type="dxa"/>
          </w:tcPr>
          <w:p>
            <w:pPr>
              <w:pStyle w:val="731"/>
              <w:pBdr/>
              <w:spacing/>
              <w:ind/>
              <w:rPr/>
            </w:pPr>
            <w:r>
              <w:t xml:space="preserve">Sistema de Gestión de la Liga Municipal de Futbol Amateur Morelia. Documento de visión, alcance y requerimientos preliminares (presentación de 49 diapositivas).</w:t>
            </w:r>
            <w:r/>
          </w:p>
          <w:p>
            <w:pPr>
              <w:pStyle w:val="731"/>
              <w:pBdr/>
              <w:spacing/>
              <w:ind/>
              <w:rPr/>
            </w:pPr>
            <w:r>
              <w:rPr>
                <w:i/>
                <w:iCs/>
              </w:rPr>
              <w:t xml:space="preserve">Tipo: fuente secundaria; sus propuestas requieren validación.</w:t>
            </w:r>
            <w:r/>
          </w:p>
        </w:tc>
        <w:tc>
          <w:tcPr>
            <w:tcBorders/>
            <w:tcW w:w="2104" w:type="dxa"/>
          </w:tcPr>
          <w:p>
            <w:pPr>
              <w:pStyle w:val="731"/>
              <w:pBdr/>
              <w:spacing/>
              <w:ind/>
              <w:rPr/>
            </w:pPr>
            <w:r>
              <w:t xml:space="preserve">Autor y fecha: </w:t>
            </w:r>
            <w:r>
              <w:rPr>
                <w:b/>
                <w:bCs/>
                <w:color w:val="9c4a00"/>
                <w:shd w:val="clear" w:color="auto" w:fill="fff2cc"/>
              </w:rPr>
              <w:t xml:space="preserve">[POR DEFINIR]</w:t>
            </w:r>
            <w:r>
              <w:t xml:space="preserve">.</w:t>
            </w:r>
            <w:r/>
          </w:p>
        </w:tc>
        <w:tc>
          <w:tcPr>
            <w:tcBorders/>
            <w:tcW w:w="2900" w:type="dxa"/>
          </w:tcPr>
          <w:p>
            <w:pPr>
              <w:pStyle w:val="731"/>
              <w:pBdr/>
              <w:spacing/>
              <w:ind/>
              <w:rPr/>
            </w:pPr>
            <w:r>
              <w:t xml:space="preserve">contexto/Sistema_Gestion_Liga_Municipal_Morelia_Base_Ingenieria_Software.pptx</w:t>
            </w:r>
            <w:r/>
          </w:p>
        </w:tc>
      </w:tr>
      <w:tr>
        <w:trPr>
          <w:cantSplit/>
        </w:trPr>
        <w:tc>
          <w:tcPr>
            <w:shd w:val="clear" w:color="auto" w:fill="fafafc"/>
            <w:tcBorders/>
            <w:tcW w:w="900" w:type="dxa"/>
          </w:tcPr>
          <w:p>
            <w:pPr>
              <w:pStyle w:val="731"/>
              <w:pBdr/>
              <w:spacing/>
              <w:ind/>
              <w:rPr/>
            </w:pPr>
            <w:r>
              <w:t xml:space="preserve">REF-07</w:t>
            </w:r>
            <w:r/>
          </w:p>
        </w:tc>
        <w:tc>
          <w:tcPr>
            <w:shd w:val="clear" w:color="auto" w:fill="fafafc"/>
            <w:tcBorders/>
            <w:tcW w:w="3500" w:type="dxa"/>
          </w:tcPr>
          <w:p>
            <w:pPr>
              <w:pStyle w:val="731"/>
              <w:pBdr/>
              <w:spacing/>
              <w:ind/>
              <w:rPr/>
            </w:pPr>
            <w:r>
              <w:t xml:space="preserve">Respuestas al cuestionario de levantamiento de información, fase 1 (preguntas P1 a P23).</w:t>
            </w:r>
            <w:r/>
          </w:p>
          <w:p>
            <w:pPr>
              <w:pStyle w:val="731"/>
              <w:pBdr/>
              <w:spacing/>
              <w:ind/>
              <w:rPr/>
            </w:pPr>
            <w:r>
              <w:rPr>
                <w:i/>
                <w:iCs/>
              </w:rPr>
              <w:t xml:space="preserve">Tipo: información del cliente reunida por el equipo del proyecto.</w:t>
            </w:r>
            <w:r/>
          </w:p>
        </w:tc>
        <w:tc>
          <w:tcPr>
            <w:shd w:val="clear" w:color="auto" w:fill="fafafc"/>
            <w:tcBorders/>
            <w:tcW w:w="2104" w:type="dxa"/>
          </w:tcPr>
          <w:p>
            <w:pPr>
              <w:pStyle w:val="731"/>
              <w:pBdr/>
              <w:spacing/>
              <w:ind/>
              <w:rPr/>
            </w:pPr>
            <w:r>
              <w:t xml:space="preserve">Equipo del proyecto. 5 de octubre de 2026.</w:t>
            </w:r>
            <w:r/>
          </w:p>
        </w:tc>
        <w:tc>
          <w:tcPr>
            <w:shd w:val="clear" w:color="auto" w:fill="fafafc"/>
            <w:tcBorders/>
            <w:tcW w:w="2900" w:type="dxa"/>
          </w:tcPr>
          <w:p>
            <w:pPr>
              <w:pStyle w:val="731"/>
              <w:pBdr/>
              <w:spacing/>
              <w:ind/>
              <w:rPr/>
            </w:pPr>
            <w:r>
              <w:t xml:space="preserve">contexto/respuestas.docx</w:t>
            </w:r>
            <w:r/>
          </w:p>
        </w:tc>
      </w:tr>
      <w:tr>
        <w:trPr>
          <w:cantSplit/>
        </w:trPr>
        <w:tc>
          <w:tcPr>
            <w:tcBorders/>
            <w:tcW w:w="900" w:type="dxa"/>
          </w:tcPr>
          <w:p>
            <w:pPr>
              <w:pStyle w:val="731"/>
              <w:pBdr/>
              <w:spacing/>
              <w:ind/>
              <w:rPr/>
            </w:pPr>
            <w:r>
              <w:t xml:space="preserve">REF-08</w:t>
            </w:r>
            <w:r/>
          </w:p>
        </w:tc>
        <w:tc>
          <w:tcPr>
            <w:tcBorders/>
            <w:tcW w:w="3500" w:type="dxa"/>
          </w:tcPr>
          <w:p>
            <w:pPr>
              <w:pStyle w:val="731"/>
              <w:pBdr/>
              <w:spacing/>
              <w:ind/>
              <w:rPr/>
            </w:pPr>
            <w:r>
              <w:t xml:space="preserve">Plantilla «Especificación de requisitos de software» (ERS simplificado), basada en IEEE Std 830-1998.</w:t>
            </w:r>
            <w:r/>
          </w:p>
          <w:p>
            <w:pPr>
              <w:pStyle w:val="731"/>
              <w:pBdr/>
              <w:spacing/>
              <w:ind/>
              <w:rPr/>
            </w:pPr>
            <w:r>
              <w:rPr>
                <w:i/>
                <w:iCs/>
              </w:rPr>
              <w:t xml:space="preserve">Tipo: plantilla de referencia.</w:t>
            </w:r>
            <w:r/>
          </w:p>
        </w:tc>
        <w:tc>
          <w:tcPr>
            <w:tcBorders/>
            <w:tcW w:w="2104" w:type="dxa"/>
          </w:tcPr>
          <w:p>
            <w:pPr>
              <w:pStyle w:val="731"/>
              <w:pBdr/>
              <w:spacing/>
              <w:ind/>
              <w:rPr/>
            </w:pPr>
            <w:r>
              <w:t xml:space="preserve">Última modificación: 27 de febrero de 2023.</w:t>
            </w:r>
            <w:r/>
          </w:p>
        </w:tc>
        <w:tc>
          <w:tcPr>
            <w:tcBorders/>
            <w:tcW w:w="2900" w:type="dxa"/>
          </w:tcPr>
          <w:p>
            <w:pPr>
              <w:pStyle w:val="731"/>
              <w:pBdr/>
              <w:spacing/>
              <w:ind/>
              <w:rPr/>
            </w:pPr>
            <w:r>
              <w:t xml:space="preserve">contexto/ERS simplificado.docx</w:t>
            </w:r>
            <w:r/>
          </w:p>
        </w:tc>
      </w:tr>
    </w:tbl>
    <w:p>
      <w:pPr>
        <w:pBdr/>
        <w:spacing w:after="60" w:before="0"/>
        <w:ind/>
        <w:rPr/>
      </w:pPr>
      <w:r/>
      <w:r/>
    </w:p>
    <w:p>
      <w:pPr>
        <w:pStyle w:val="725"/>
        <w:pBdr/>
        <w:spacing/>
        <w:ind/>
        <w:rPr/>
      </w:pPr>
      <w:r/>
      <w:bookmarkStart w:id="27" w:name="_Toc100027"/>
      <w:r>
        <w:t xml:space="preserve">1.4.3 Normas técnicas y legales</w:t>
      </w:r>
      <w:bookmarkEnd w:id="27"/>
      <w:r/>
      <w:r/>
    </w:p>
    <w:p>
      <w:pPr>
        <w:pStyle w:val="732"/>
        <w:keepNext w:val="true"/>
        <w:pBdr/>
        <w:spacing/>
        <w:ind/>
        <w:rPr/>
      </w:pPr>
      <w:r>
        <w:rPr>
          <w:b/>
          <w:bCs/>
          <w:color w:val="241a61"/>
          <w:sz w:val="18"/>
          <w:szCs w:val="18"/>
        </w:rPr>
        <w:t xml:space="preserve">Tabla 18. </w:t>
      </w:r>
      <w:r>
        <w:rPr>
          <w:sz w:val="18"/>
          <w:szCs w:val="18"/>
        </w:rPr>
        <w:t xml:space="preserve">Normas técnicas y legales.</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900"/>
        <w:gridCol w:w="3500"/>
        <w:gridCol w:w="2104"/>
        <w:gridCol w:w="2900"/>
      </w:tblGrid>
      <w:tr>
        <w:trPr>
          <w:cantSplit/>
          <w:tblHeader/>
        </w:trPr>
        <w:tc>
          <w:tcPr>
            <w:shd w:val="clear" w:color="auto" w:fill="241a61"/>
            <w:tcBorders/>
            <w:tcW w:w="900" w:type="dxa"/>
            <w:vAlign w:val="center"/>
          </w:tcPr>
          <w:p>
            <w:pPr>
              <w:pStyle w:val="731"/>
              <w:pBdr/>
              <w:spacing/>
              <w:ind/>
              <w:rPr/>
            </w:pPr>
            <w:r>
              <w:rPr>
                <w:b/>
                <w:bCs/>
                <w:color w:val="ffffff"/>
              </w:rPr>
              <w:t xml:space="preserve">ID</w:t>
            </w:r>
            <w:r/>
          </w:p>
        </w:tc>
        <w:tc>
          <w:tcPr>
            <w:shd w:val="clear" w:color="auto" w:fill="241a61"/>
            <w:tcBorders/>
            <w:tcW w:w="3500" w:type="dxa"/>
            <w:vAlign w:val="center"/>
          </w:tcPr>
          <w:p>
            <w:pPr>
              <w:pStyle w:val="731"/>
              <w:pBdr/>
              <w:spacing/>
              <w:ind/>
              <w:rPr/>
            </w:pPr>
            <w:r>
              <w:rPr>
                <w:b/>
                <w:bCs/>
                <w:color w:val="ffffff"/>
              </w:rPr>
              <w:t xml:space="preserve">Documento y tipo</w:t>
            </w:r>
            <w:r/>
          </w:p>
        </w:tc>
        <w:tc>
          <w:tcPr>
            <w:shd w:val="clear" w:color="auto" w:fill="241a61"/>
            <w:tcBorders/>
            <w:tcW w:w="2104" w:type="dxa"/>
            <w:vAlign w:val="center"/>
          </w:tcPr>
          <w:p>
            <w:pPr>
              <w:pStyle w:val="731"/>
              <w:pBdr/>
              <w:spacing/>
              <w:ind/>
              <w:rPr/>
            </w:pPr>
            <w:r>
              <w:rPr>
                <w:b/>
                <w:bCs/>
                <w:color w:val="ffffff"/>
              </w:rPr>
              <w:t xml:space="preserve">Emisor y fecha</w:t>
            </w:r>
            <w:r/>
          </w:p>
        </w:tc>
        <w:tc>
          <w:tcPr>
            <w:shd w:val="clear" w:color="auto" w:fill="241a61"/>
            <w:tcBorders/>
            <w:tcW w:w="2900" w:type="dxa"/>
            <w:vAlign w:val="center"/>
          </w:tcPr>
          <w:p>
            <w:pPr>
              <w:pStyle w:val="731"/>
              <w:pBdr/>
              <w:spacing/>
              <w:ind/>
              <w:rPr/>
            </w:pPr>
            <w:r>
              <w:rPr>
                <w:b/>
                <w:bCs/>
                <w:color w:val="ffffff"/>
              </w:rPr>
              <w:t xml:space="preserve">Disponibilidad</w:t>
            </w:r>
            <w:r/>
          </w:p>
        </w:tc>
      </w:tr>
      <w:tr>
        <w:trPr>
          <w:cantSplit/>
        </w:trPr>
        <w:tc>
          <w:tcPr>
            <w:tcBorders/>
            <w:tcW w:w="900" w:type="dxa"/>
          </w:tcPr>
          <w:p>
            <w:pPr>
              <w:pStyle w:val="731"/>
              <w:pBdr/>
              <w:spacing/>
              <w:ind/>
              <w:rPr/>
            </w:pPr>
            <w:r>
              <w:t xml:space="preserve">REF-09</w:t>
            </w:r>
            <w:r/>
          </w:p>
        </w:tc>
        <w:tc>
          <w:tcPr>
            <w:tcBorders/>
            <w:tcW w:w="3500" w:type="dxa"/>
          </w:tcPr>
          <w:p>
            <w:pPr>
              <w:pStyle w:val="731"/>
              <w:pBdr/>
              <w:spacing/>
              <w:ind/>
              <w:rPr/>
            </w:pPr>
            <w:r>
              <w:t xml:space="preserve">ISO/IEC/IEEE 29148:2018. Systems and software engineering — Life cycle processes — Requirements engineering (2.ª edición).</w:t>
            </w:r>
            <w:r/>
          </w:p>
          <w:p>
            <w:pPr>
              <w:pStyle w:val="731"/>
              <w:pBdr/>
              <w:spacing/>
              <w:ind/>
              <w:rPr/>
            </w:pPr>
            <w:r>
              <w:rPr>
                <w:i/>
                <w:iCs/>
              </w:rPr>
              <w:t xml:space="preserve">Tipo: norma técnica; base de este ERS.</w:t>
            </w:r>
            <w:r/>
          </w:p>
        </w:tc>
        <w:tc>
          <w:tcPr>
            <w:tcBorders/>
            <w:tcW w:w="2104" w:type="dxa"/>
          </w:tcPr>
          <w:p>
            <w:pPr>
              <w:pStyle w:val="731"/>
              <w:pBdr/>
              <w:spacing/>
              <w:ind/>
              <w:rPr/>
            </w:pPr>
            <w:r>
              <w:t xml:space="preserve">ISO, IEC e IEEE. Noviembre de 2018.</w:t>
            </w:r>
            <w:r/>
          </w:p>
        </w:tc>
        <w:tc>
          <w:tcPr>
            <w:tcBorders/>
            <w:tcW w:w="2900" w:type="dxa"/>
          </w:tcPr>
          <w:p>
            <w:pPr>
              <w:pStyle w:val="731"/>
              <w:pBdr/>
              <w:spacing/>
              <w:ind/>
              <w:rPr/>
            </w:pPr>
            <w:r/>
            <w:hyperlink r:id="rId13" w:tooltip="https://www.iso.org/standard/72089.html" w:history="1">
              <w:r>
                <w:rPr>
                  <w:rStyle w:val="739"/>
                </w:rPr>
                <w:t xml:space="preserve">https://www.iso.org/standard/72089.html</w:t>
              </w:r>
            </w:hyperlink>
            <w:r/>
            <w:r/>
          </w:p>
        </w:tc>
      </w:tr>
      <w:tr>
        <w:trPr>
          <w:cantSplit/>
        </w:trPr>
        <w:tc>
          <w:tcPr>
            <w:shd w:val="clear" w:color="auto" w:fill="fafafc"/>
            <w:tcBorders/>
            <w:tcW w:w="900" w:type="dxa"/>
          </w:tcPr>
          <w:p>
            <w:pPr>
              <w:pStyle w:val="731"/>
              <w:pBdr/>
              <w:spacing/>
              <w:ind/>
              <w:rPr/>
            </w:pPr>
            <w:r>
              <w:t xml:space="preserve">REF-10</w:t>
            </w:r>
            <w:r/>
          </w:p>
        </w:tc>
        <w:tc>
          <w:tcPr>
            <w:shd w:val="clear" w:color="auto" w:fill="fafafc"/>
            <w:tcBorders/>
            <w:tcW w:w="3500" w:type="dxa"/>
          </w:tcPr>
          <w:p>
            <w:pPr>
              <w:pStyle w:val="731"/>
              <w:pBdr/>
              <w:spacing/>
              <w:ind/>
              <w:rPr/>
            </w:pPr>
            <w:r>
              <w:t xml:space="preserve">IEEE Std 830-1998. IEEE Recommended Practice for Software Requirements Specifications.</w:t>
            </w:r>
            <w:r/>
          </w:p>
          <w:p>
            <w:pPr>
              <w:pStyle w:val="731"/>
              <w:pBdr/>
              <w:spacing/>
              <w:ind/>
              <w:rPr/>
            </w:pPr>
            <w:r>
              <w:rPr>
                <w:i/>
                <w:iCs/>
              </w:rPr>
              <w:t xml:space="preserve">Tipo: referencia histórica, sustituida por ISO/IEC/IEEE 29148.</w:t>
            </w:r>
            <w:r/>
          </w:p>
        </w:tc>
        <w:tc>
          <w:tcPr>
            <w:shd w:val="clear" w:color="auto" w:fill="fafafc"/>
            <w:tcBorders/>
            <w:tcW w:w="2104" w:type="dxa"/>
          </w:tcPr>
          <w:p>
            <w:pPr>
              <w:pStyle w:val="731"/>
              <w:pBdr/>
              <w:spacing/>
              <w:ind/>
              <w:rPr/>
            </w:pPr>
            <w:r>
              <w:t xml:space="preserve">IEEE. 1998.</w:t>
            </w:r>
            <w:r/>
          </w:p>
        </w:tc>
        <w:tc>
          <w:tcPr>
            <w:shd w:val="clear" w:color="auto" w:fill="fafafc"/>
            <w:tcBorders/>
            <w:tcW w:w="2900" w:type="dxa"/>
          </w:tcPr>
          <w:p>
            <w:pPr>
              <w:pStyle w:val="731"/>
              <w:pBdr/>
              <w:spacing/>
              <w:ind/>
              <w:rPr/>
            </w:pPr>
            <w:r>
              <w:t xml:space="preserve">Solo como antecedente de la plantilla REF-08.</w:t>
            </w:r>
            <w:r/>
          </w:p>
        </w:tc>
      </w:tr>
      <w:tr>
        <w:trPr>
          <w:cantSplit/>
        </w:trPr>
        <w:tc>
          <w:tcPr>
            <w:tcBorders/>
            <w:tcW w:w="900" w:type="dxa"/>
          </w:tcPr>
          <w:p>
            <w:pPr>
              <w:pStyle w:val="731"/>
              <w:pBdr/>
              <w:spacing/>
              <w:ind/>
              <w:rPr/>
            </w:pPr>
            <w:r>
              <w:t xml:space="preserve">REF-11</w:t>
            </w:r>
            <w:r/>
          </w:p>
        </w:tc>
        <w:tc>
          <w:tcPr>
            <w:tcBorders/>
            <w:tcW w:w="3500" w:type="dxa"/>
          </w:tcPr>
          <w:p>
            <w:pPr>
              <w:pStyle w:val="731"/>
              <w:pBdr/>
              <w:spacing/>
              <w:ind/>
              <w:rPr/>
            </w:pPr>
            <w:r>
              <w:t xml:space="preserve">ISO/IEC 25010. Modelo de calidad del producto (SQuaRE).</w:t>
            </w:r>
            <w:r/>
          </w:p>
          <w:p>
            <w:pPr>
              <w:pStyle w:val="731"/>
              <w:pBdr/>
              <w:spacing/>
              <w:ind/>
              <w:rPr/>
            </w:pPr>
            <w:r>
              <w:rPr>
                <w:i/>
                <w:iCs/>
              </w:rPr>
              <w:t xml:space="preserve">Tipo: norma técnica para clasificar los RNF (sección 3.2).</w:t>
            </w:r>
            <w:r/>
          </w:p>
        </w:tc>
        <w:tc>
          <w:tcPr>
            <w:tcBorders/>
            <w:tcW w:w="2104" w:type="dxa"/>
          </w:tcPr>
          <w:p>
            <w:pPr>
              <w:pStyle w:val="731"/>
              <w:pBdr/>
              <w:spacing/>
              <w:ind/>
              <w:rPr/>
            </w:pPr>
            <w:r>
              <w:t xml:space="preserve">ISO e IEC. Edición: </w:t>
            </w:r>
            <w:r>
              <w:rPr>
                <w:b/>
                <w:bCs/>
                <w:color w:val="9c4a00"/>
                <w:shd w:val="clear" w:color="auto" w:fill="fff2cc"/>
              </w:rPr>
              <w:t xml:space="preserve">[POR DEFINIR]</w:t>
            </w:r>
            <w:r>
              <w:t xml:space="preserve">.</w:t>
            </w:r>
            <w:r/>
          </w:p>
        </w:tc>
        <w:tc>
          <w:tcPr>
            <w:tcBorders/>
            <w:tcW w:w="2900" w:type="dxa"/>
          </w:tcPr>
          <w:p>
            <w:pPr>
              <w:pStyle w:val="731"/>
              <w:pBdr/>
              <w:spacing/>
              <w:ind/>
              <w:rPr/>
            </w:pPr>
            <w:r>
              <w:t xml:space="preserve">La edición 2023 sustituye a la de 2011: cambia «usabilidad» por «capacidad de interacción» y «portabilidad» por «flexibilidad», y añade «safety». </w:t>
            </w:r>
            <w:r>
              <w:rPr>
                <w:b/>
                <w:bCs/>
              </w:rPr>
              <w:t xml:space="preserve">Impacto:</w:t>
            </w:r>
            <w:r>
              <w:t xml:space="preserve"> define las categorías de los RNF.</w:t>
            </w:r>
            <w:r/>
          </w:p>
        </w:tc>
      </w:tr>
      <w:tr>
        <w:trPr>
          <w:cantSplit/>
        </w:trPr>
        <w:tc>
          <w:tcPr>
            <w:shd w:val="clear" w:color="auto" w:fill="fafafc"/>
            <w:tcBorders/>
            <w:tcW w:w="900" w:type="dxa"/>
          </w:tcPr>
          <w:p>
            <w:pPr>
              <w:pStyle w:val="731"/>
              <w:pBdr/>
              <w:spacing/>
              <w:ind/>
              <w:rPr/>
            </w:pPr>
            <w:r>
              <w:t xml:space="preserve">REF-12</w:t>
            </w:r>
            <w:r/>
          </w:p>
        </w:tc>
        <w:tc>
          <w:tcPr>
            <w:shd w:val="clear" w:color="auto" w:fill="fafafc"/>
            <w:tcBorders/>
            <w:tcW w:w="3500" w:type="dxa"/>
          </w:tcPr>
          <w:p>
            <w:pPr>
              <w:pStyle w:val="731"/>
              <w:pBdr/>
              <w:spacing/>
              <w:ind/>
              <w:rPr/>
            </w:pPr>
            <w:r>
              <w:t xml:space="preserve">Ley Federal de Protección de Datos Personales en Posesión de los Particulares.</w:t>
            </w:r>
            <w:r/>
          </w:p>
          <w:p>
            <w:pPr>
              <w:pStyle w:val="731"/>
              <w:pBdr/>
              <w:spacing/>
              <w:ind/>
              <w:rPr/>
            </w:pPr>
            <w:r>
              <w:rPr>
                <w:i/>
                <w:iCs/>
              </w:rPr>
              <w:t xml:space="preserve">Tipo: norma legal.</w:t>
            </w:r>
            <w:r/>
          </w:p>
        </w:tc>
        <w:tc>
          <w:tcPr>
            <w:shd w:val="clear" w:color="auto" w:fill="fafafc"/>
            <w:tcBorders/>
            <w:tcW w:w="2104" w:type="dxa"/>
          </w:tcPr>
          <w:p>
            <w:pPr>
              <w:pStyle w:val="731"/>
              <w:pBdr/>
              <w:spacing/>
              <w:ind/>
              <w:rPr/>
            </w:pPr>
            <w:r>
              <w:t xml:space="preserve">Congreso de la Unión. DOF del 20 de marzo de 2025; vigente desde el 21 de marzo de 2025.</w:t>
            </w:r>
            <w:r/>
          </w:p>
        </w:tc>
        <w:tc>
          <w:tcPr>
            <w:shd w:val="clear" w:color="auto" w:fill="fafafc"/>
            <w:tcBorders/>
            <w:tcW w:w="2900" w:type="dxa"/>
          </w:tcPr>
          <w:p>
            <w:pPr>
              <w:pStyle w:val="731"/>
              <w:pBdr/>
              <w:spacing/>
              <w:ind/>
              <w:rPr/>
            </w:pPr>
            <w:r/>
            <w:hyperlink r:id="rId14" w:tooltip="https://www.diputados.gob.mx/LeyesBiblio/pdf/LFPDPPP.pdf" w:history="1">
              <w:r>
                <w:rPr>
                  <w:rStyle w:val="739"/>
                </w:rPr>
                <w:t xml:space="preserve">https://www.diputados.gob.mx/LeyesBiblio/pdf/LFPDPPP.pdf</w:t>
              </w:r>
            </w:hyperlink>
            <w:r/>
            <w:r/>
          </w:p>
        </w:tc>
      </w:tr>
    </w:tbl>
    <w:p>
      <w:pPr>
        <w:pBdr/>
        <w:spacing w:after="60" w:before="0"/>
        <w:ind/>
        <w:rPr/>
      </w:pPr>
      <w:r/>
      <w:r/>
    </w:p>
    <w:p>
      <w:pPr>
        <w:pBdr/>
        <w:spacing/>
        <w:ind/>
        <w:rPr/>
      </w:pPr>
      <w:r>
        <w:t xml:space="preserve">La LFPDPPP aplica porque la Liga es una asociación civil privada que trata datos personales, incluidos los de menores de edad [REF-07, P16]. Su aplicación concreta se detallará en la sección 3.5.</w:t>
      </w:r>
      <w:r/>
    </w:p>
    <w:p>
      <w:pPr>
        <w:pStyle w:val="725"/>
        <w:pBdr/>
        <w:spacing/>
        <w:ind/>
        <w:rPr/>
      </w:pPr>
      <w:r/>
      <w:bookmarkStart w:id="28" w:name="_Toc100028"/>
      <w:r>
        <w:t xml:space="preserve">1.4.4 Fuentes secundarias</w:t>
      </w:r>
      <w:bookmarkEnd w:id="28"/>
      <w:r/>
      <w:r/>
    </w:p>
    <w:p>
      <w:pPr>
        <w:pStyle w:val="732"/>
        <w:keepNext w:val="true"/>
        <w:pBdr/>
        <w:spacing/>
        <w:ind/>
        <w:rPr/>
      </w:pPr>
      <w:r>
        <w:rPr>
          <w:b/>
          <w:bCs/>
          <w:color w:val="241a61"/>
          <w:sz w:val="18"/>
          <w:szCs w:val="18"/>
        </w:rPr>
        <w:t xml:space="preserve">Tabla 19. </w:t>
      </w:r>
      <w:r>
        <w:rPr>
          <w:sz w:val="18"/>
          <w:szCs w:val="18"/>
        </w:rPr>
        <w:t xml:space="preserve">Fuentes secundarias (sitios web y prensa).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900"/>
        <w:gridCol w:w="3500"/>
        <w:gridCol w:w="2104"/>
        <w:gridCol w:w="2900"/>
      </w:tblGrid>
      <w:tr>
        <w:trPr>
          <w:cantSplit/>
          <w:tblHeader/>
        </w:trPr>
        <w:tc>
          <w:tcPr>
            <w:shd w:val="clear" w:color="auto" w:fill="241a61"/>
            <w:tcBorders/>
            <w:tcW w:w="900" w:type="dxa"/>
            <w:vAlign w:val="center"/>
          </w:tcPr>
          <w:p>
            <w:pPr>
              <w:pStyle w:val="731"/>
              <w:pBdr/>
              <w:spacing/>
              <w:ind/>
              <w:rPr/>
            </w:pPr>
            <w:r>
              <w:rPr>
                <w:b/>
                <w:bCs/>
                <w:color w:val="ffffff"/>
              </w:rPr>
              <w:t xml:space="preserve">ID</w:t>
            </w:r>
            <w:r/>
          </w:p>
        </w:tc>
        <w:tc>
          <w:tcPr>
            <w:shd w:val="clear" w:color="auto" w:fill="241a61"/>
            <w:tcBorders/>
            <w:tcW w:w="3500" w:type="dxa"/>
            <w:vAlign w:val="center"/>
          </w:tcPr>
          <w:p>
            <w:pPr>
              <w:pStyle w:val="731"/>
              <w:pBdr/>
              <w:spacing/>
              <w:ind/>
              <w:rPr/>
            </w:pPr>
            <w:r>
              <w:rPr>
                <w:b/>
                <w:bCs/>
                <w:color w:val="ffffff"/>
              </w:rPr>
              <w:t xml:space="preserve">Documento y tipo</w:t>
            </w:r>
            <w:r/>
          </w:p>
        </w:tc>
        <w:tc>
          <w:tcPr>
            <w:shd w:val="clear" w:color="auto" w:fill="241a61"/>
            <w:tcBorders/>
            <w:tcW w:w="2104" w:type="dxa"/>
            <w:vAlign w:val="center"/>
          </w:tcPr>
          <w:p>
            <w:pPr>
              <w:pStyle w:val="731"/>
              <w:pBdr/>
              <w:spacing/>
              <w:ind/>
              <w:rPr/>
            </w:pPr>
            <w:r>
              <w:rPr>
                <w:b/>
                <w:bCs/>
                <w:color w:val="ffffff"/>
              </w:rPr>
              <w:t xml:space="preserve">Emisor y fecha</w:t>
            </w:r>
            <w:r/>
          </w:p>
        </w:tc>
        <w:tc>
          <w:tcPr>
            <w:shd w:val="clear" w:color="auto" w:fill="241a61"/>
            <w:tcBorders/>
            <w:tcW w:w="2900" w:type="dxa"/>
            <w:vAlign w:val="center"/>
          </w:tcPr>
          <w:p>
            <w:pPr>
              <w:pStyle w:val="731"/>
              <w:pBdr/>
              <w:spacing/>
              <w:ind/>
              <w:rPr/>
            </w:pPr>
            <w:r>
              <w:rPr>
                <w:b/>
                <w:bCs/>
                <w:color w:val="ffffff"/>
              </w:rPr>
              <w:t xml:space="preserve">Disponibilidad</w:t>
            </w:r>
            <w:r/>
          </w:p>
        </w:tc>
      </w:tr>
      <w:tr>
        <w:trPr>
          <w:cantSplit/>
        </w:trPr>
        <w:tc>
          <w:tcPr>
            <w:tcBorders/>
            <w:tcW w:w="900" w:type="dxa"/>
          </w:tcPr>
          <w:p>
            <w:pPr>
              <w:pStyle w:val="731"/>
              <w:pBdr/>
              <w:spacing/>
              <w:ind/>
              <w:rPr/>
            </w:pPr>
            <w:r>
              <w:t xml:space="preserve">REF-13</w:t>
            </w:r>
            <w:r/>
          </w:p>
        </w:tc>
        <w:tc>
          <w:tcPr>
            <w:tcBorders/>
            <w:tcW w:w="3500" w:type="dxa"/>
          </w:tcPr>
          <w:p>
            <w:pPr>
              <w:pStyle w:val="731"/>
              <w:pBdr/>
              <w:spacing/>
              <w:ind/>
              <w:rPr/>
            </w:pPr>
            <w:r>
              <w:t xml:space="preserve">«Nosotros», sitio oficial del Instituto Municipal de Cultura Física y Deporte.</w:t>
            </w:r>
            <w:r/>
          </w:p>
          <w:p>
            <w:pPr>
              <w:pStyle w:val="731"/>
              <w:pBdr/>
              <w:spacing/>
              <w:ind/>
              <w:rPr/>
            </w:pPr>
            <w:r>
              <w:rPr>
                <w:i/>
                <w:iCs/>
              </w:rPr>
              <w:t xml:space="preserve">Tipo: fuente secundaria.</w:t>
            </w:r>
            <w:r/>
          </w:p>
        </w:tc>
        <w:tc>
          <w:tcPr>
            <w:tcBorders/>
            <w:tcW w:w="2104" w:type="dxa"/>
          </w:tcPr>
          <w:p>
            <w:pPr>
              <w:pStyle w:val="731"/>
              <w:pBdr/>
              <w:spacing/>
              <w:ind/>
              <w:rPr/>
            </w:pPr>
            <w:r>
              <w:t xml:space="preserve">IMCUFIDE. Consultado el 5 de octubre de 2026.</w:t>
            </w:r>
            <w:r/>
          </w:p>
        </w:tc>
        <w:tc>
          <w:tcPr>
            <w:tcBorders/>
            <w:tcW w:w="2900" w:type="dxa"/>
          </w:tcPr>
          <w:p>
            <w:pPr>
              <w:pStyle w:val="731"/>
              <w:pBdr/>
              <w:spacing/>
              <w:ind/>
              <w:rPr/>
            </w:pPr>
            <w:r/>
            <w:hyperlink r:id="rId15" w:tooltip="https://imcufide.org/nosotros/" w:history="1">
              <w:r>
                <w:rPr>
                  <w:rStyle w:val="739"/>
                </w:rPr>
                <w:t xml:space="preserve">https://imcufide.org/nosotros/</w:t>
              </w:r>
            </w:hyperlink>
            <w:r/>
            <w:r/>
          </w:p>
        </w:tc>
      </w:tr>
      <w:tr>
        <w:trPr>
          <w:cantSplit/>
        </w:trPr>
        <w:tc>
          <w:tcPr>
            <w:shd w:val="clear" w:color="auto" w:fill="fafafc"/>
            <w:tcBorders/>
            <w:tcW w:w="900" w:type="dxa"/>
          </w:tcPr>
          <w:p>
            <w:pPr>
              <w:pStyle w:val="731"/>
              <w:pBdr/>
              <w:spacing/>
              <w:ind/>
              <w:rPr/>
            </w:pPr>
            <w:r>
              <w:t xml:space="preserve">REF-14</w:t>
            </w:r>
            <w:r/>
          </w:p>
        </w:tc>
        <w:tc>
          <w:tcPr>
            <w:shd w:val="clear" w:color="auto" w:fill="fafafc"/>
            <w:tcBorders/>
            <w:tcW w:w="3500" w:type="dxa"/>
          </w:tcPr>
          <w:p>
            <w:pPr>
              <w:pStyle w:val="731"/>
              <w:pBdr/>
              <w:spacing/>
              <w:ind/>
              <w:rPr/>
            </w:pPr>
            <w:r>
              <w:t xml:space="preserve">«Abre convocatoria la Liga Municipal de Futbol Amateur Morelia para la nueva temporada 2025-2026».</w:t>
            </w:r>
            <w:r/>
          </w:p>
          <w:p>
            <w:pPr>
              <w:pStyle w:val="731"/>
              <w:pBdr/>
              <w:spacing/>
              <w:ind/>
              <w:rPr/>
            </w:pPr>
            <w:r>
              <w:rPr>
                <w:i/>
                <w:iCs/>
              </w:rPr>
              <w:t xml:space="preserve">Tipo: fuente secundaria (prensa).</w:t>
            </w:r>
            <w:r/>
          </w:p>
        </w:tc>
        <w:tc>
          <w:tcPr>
            <w:shd w:val="clear" w:color="auto" w:fill="fafafc"/>
            <w:tcBorders/>
            <w:tcW w:w="2104" w:type="dxa"/>
          </w:tcPr>
          <w:p>
            <w:pPr>
              <w:pStyle w:val="731"/>
              <w:pBdr/>
              <w:spacing/>
              <w:ind/>
              <w:rPr/>
            </w:pPr>
            <w:r>
              <w:t xml:space="preserve">Contramuro. 27 de agosto de 2025.</w:t>
            </w:r>
            <w:r/>
          </w:p>
        </w:tc>
        <w:tc>
          <w:tcPr>
            <w:shd w:val="clear" w:color="auto" w:fill="fafafc"/>
            <w:tcBorders/>
            <w:tcW w:w="2900" w:type="dxa"/>
          </w:tcPr>
          <w:p>
            <w:pPr>
              <w:pStyle w:val="731"/>
              <w:pBdr/>
              <w:spacing/>
              <w:ind/>
              <w:rPr/>
            </w:pPr>
            <w:r/>
            <w:hyperlink r:id="rId16" w:tooltip="https://www.contramuro.com/convocatoria-para-liga-municipal-de-futbol-morelia-2025-2026/" w:history="1">
              <w:r>
                <w:rPr>
                  <w:rStyle w:val="739"/>
                </w:rPr>
                <w:t xml:space="preserve">https://www.contramuro.com/convocatoria-para-liga-municipal-de-futbol-morelia-2025-2026/</w:t>
              </w:r>
            </w:hyperlink>
            <w:r/>
            <w:r/>
          </w:p>
        </w:tc>
      </w:tr>
      <w:tr>
        <w:trPr>
          <w:cantSplit/>
        </w:trPr>
        <w:tc>
          <w:tcPr>
            <w:tcBorders/>
            <w:tcW w:w="900" w:type="dxa"/>
          </w:tcPr>
          <w:p>
            <w:pPr>
              <w:pStyle w:val="731"/>
              <w:pBdr/>
              <w:spacing/>
              <w:ind/>
              <w:rPr/>
            </w:pPr>
            <w:r>
              <w:t xml:space="preserve">REF-15</w:t>
            </w:r>
            <w:r/>
          </w:p>
        </w:tc>
        <w:tc>
          <w:tcPr>
            <w:tcBorders/>
            <w:tcW w:w="3500" w:type="dxa"/>
          </w:tcPr>
          <w:p>
            <w:pPr>
              <w:pStyle w:val="731"/>
              <w:pBdr/>
              <w:spacing/>
              <w:ind/>
              <w:rPr/>
            </w:pPr>
            <w:r>
              <w:t xml:space="preserve">«Regresa la Liga Municipal de Futbol Amateur Morelia».</w:t>
            </w:r>
            <w:r/>
          </w:p>
          <w:p>
            <w:pPr>
              <w:pStyle w:val="731"/>
              <w:pBdr/>
              <w:spacing/>
              <w:ind/>
              <w:rPr/>
            </w:pPr>
            <w:r>
              <w:rPr>
                <w:i/>
                <w:iCs/>
              </w:rPr>
              <w:t xml:space="preserve">Tipo: fuente secundaria (prensa).</w:t>
            </w:r>
            <w:r/>
          </w:p>
        </w:tc>
        <w:tc>
          <w:tcPr>
            <w:tcBorders/>
            <w:tcW w:w="2104" w:type="dxa"/>
          </w:tcPr>
          <w:p>
            <w:pPr>
              <w:pStyle w:val="731"/>
              <w:pBdr/>
              <w:spacing/>
              <w:ind/>
              <w:rPr/>
            </w:pPr>
            <w:r>
              <w:t xml:space="preserve">Contramuro. 3 de noviembre de 2025.</w:t>
            </w:r>
            <w:r/>
          </w:p>
        </w:tc>
        <w:tc>
          <w:tcPr>
            <w:tcBorders/>
            <w:tcW w:w="2900" w:type="dxa"/>
          </w:tcPr>
          <w:p>
            <w:pPr>
              <w:pStyle w:val="731"/>
              <w:pBdr/>
              <w:spacing/>
              <w:ind/>
              <w:rPr/>
            </w:pPr>
            <w:r/>
            <w:hyperlink r:id="rId17" w:tooltip="https://www.contramuro.com/liga-municipal-futbol-morelia-regresa-2025-2026/" w:history="1">
              <w:r>
                <w:rPr>
                  <w:rStyle w:val="739"/>
                </w:rPr>
                <w:t xml:space="preserve">https://www.contramuro.com/liga-municipal-futbol-morelia-regresa-2025-2026/</w:t>
              </w:r>
            </w:hyperlink>
            <w:r/>
            <w:r/>
          </w:p>
        </w:tc>
      </w:tr>
      <w:tr>
        <w:trPr>
          <w:cantSplit/>
        </w:trPr>
        <w:tc>
          <w:tcPr>
            <w:shd w:val="clear" w:color="auto" w:fill="fafafc"/>
            <w:tcBorders/>
            <w:tcW w:w="900" w:type="dxa"/>
          </w:tcPr>
          <w:p>
            <w:pPr>
              <w:pStyle w:val="731"/>
              <w:pBdr/>
              <w:spacing/>
              <w:ind/>
              <w:rPr/>
            </w:pPr>
            <w:r>
              <w:t xml:space="preserve">REF-16</w:t>
            </w:r>
            <w:r/>
          </w:p>
        </w:tc>
        <w:tc>
          <w:tcPr>
            <w:shd w:val="clear" w:color="auto" w:fill="fafafc"/>
            <w:tcBorders/>
            <w:tcW w:w="3500" w:type="dxa"/>
          </w:tcPr>
          <w:p>
            <w:pPr>
              <w:pStyle w:val="731"/>
              <w:pBdr/>
              <w:spacing/>
              <w:ind/>
              <w:rPr/>
            </w:pPr>
            <w:r>
              <w:t xml:space="preserve">«Más de 25 mil futbolistas le darán vida a la temporada 2025-26 de la Liga Municipal de Futbol Amateur Morelia A.C.».</w:t>
            </w:r>
            <w:r/>
          </w:p>
          <w:p>
            <w:pPr>
              <w:pStyle w:val="731"/>
              <w:pBdr/>
              <w:spacing/>
              <w:ind/>
              <w:rPr/>
            </w:pPr>
            <w:r>
              <w:rPr>
                <w:i/>
                <w:iCs/>
              </w:rPr>
              <w:t xml:space="preserve">Tipo: fuente secundaria (prensa).</w:t>
            </w:r>
            <w:r/>
          </w:p>
        </w:tc>
        <w:tc>
          <w:tcPr>
            <w:shd w:val="clear" w:color="auto" w:fill="fafafc"/>
            <w:tcBorders/>
            <w:tcW w:w="2104" w:type="dxa"/>
          </w:tcPr>
          <w:p>
            <w:pPr>
              <w:pStyle w:val="731"/>
              <w:pBdr/>
              <w:spacing/>
              <w:ind/>
              <w:rPr/>
            </w:pPr>
            <w:r>
              <w:t xml:space="preserve">Contramuro. 9 de noviembre de 2025.</w:t>
            </w:r>
            <w:r/>
          </w:p>
        </w:tc>
        <w:tc>
          <w:tcPr>
            <w:shd w:val="clear" w:color="auto" w:fill="fafafc"/>
            <w:tcBorders/>
            <w:tcW w:w="2900" w:type="dxa"/>
          </w:tcPr>
          <w:p>
            <w:pPr>
              <w:pStyle w:val="731"/>
              <w:pBdr/>
              <w:spacing/>
              <w:ind/>
              <w:rPr/>
            </w:pPr>
            <w:r/>
            <w:hyperlink r:id="rId18" w:tooltip="https://www.contramuro.com/liga-municipal-futbol-amateur-morelia-2025-26/" w:history="1">
              <w:r>
                <w:rPr>
                  <w:rStyle w:val="739"/>
                </w:rPr>
                <w:t xml:space="preserve">https://www.contramuro.com/liga-municipal-futbol-amateur-morelia-2025-26/</w:t>
              </w:r>
            </w:hyperlink>
            <w:r/>
            <w:r/>
          </w:p>
        </w:tc>
      </w:tr>
      <w:tr>
        <w:trPr>
          <w:cantSplit/>
        </w:trPr>
        <w:tc>
          <w:tcPr>
            <w:tcBorders/>
            <w:tcW w:w="900" w:type="dxa"/>
          </w:tcPr>
          <w:p>
            <w:pPr>
              <w:pStyle w:val="731"/>
              <w:pBdr/>
              <w:spacing/>
              <w:ind/>
              <w:rPr/>
            </w:pPr>
            <w:r>
              <w:t xml:space="preserve">REF-17</w:t>
            </w:r>
            <w:r/>
          </w:p>
        </w:tc>
        <w:tc>
          <w:tcPr>
            <w:tcBorders/>
            <w:tcW w:w="3500" w:type="dxa"/>
          </w:tcPr>
          <w:p>
            <w:pPr>
              <w:pStyle w:val="731"/>
              <w:pBdr/>
              <w:spacing/>
              <w:ind/>
              <w:rPr/>
            </w:pPr>
            <w:r>
              <w:t xml:space="preserve">«Programación oficial de la Liga Municipal de Fut-bol Amateur Morelia, A.C.».</w:t>
            </w:r>
            <w:r/>
          </w:p>
          <w:p>
            <w:pPr>
              <w:pStyle w:val="731"/>
              <w:pBdr/>
              <w:spacing/>
              <w:ind/>
              <w:rPr/>
            </w:pPr>
            <w:r>
              <w:rPr>
                <w:i/>
                <w:iCs/>
              </w:rPr>
              <w:t xml:space="preserve">Tipo: fuente secundaria (prensa).</w:t>
            </w:r>
            <w:r/>
          </w:p>
        </w:tc>
        <w:tc>
          <w:tcPr>
            <w:tcBorders/>
            <w:tcW w:w="2104" w:type="dxa"/>
          </w:tcPr>
          <w:p>
            <w:pPr>
              <w:pStyle w:val="731"/>
              <w:pBdr/>
              <w:spacing/>
              <w:ind/>
              <w:rPr/>
            </w:pPr>
            <w:r>
              <w:t xml:space="preserve">Respuesta Michoacán. 1 de noviembre de 2023.</w:t>
            </w:r>
            <w:r/>
          </w:p>
        </w:tc>
        <w:tc>
          <w:tcPr>
            <w:tcBorders/>
            <w:tcW w:w="2900" w:type="dxa"/>
          </w:tcPr>
          <w:p>
            <w:pPr>
              <w:pStyle w:val="731"/>
              <w:pBdr/>
              <w:spacing/>
              <w:ind/>
              <w:rPr/>
            </w:pPr>
            <w:r/>
            <w:hyperlink r:id="rId19" w:tooltip="https://www.respuesta.com.mx/deportes-secciones/programacion-oficial-de-la-liga-municipal-de-fut-bol-amateur-morelia-a-c-2/" w:history="1">
              <w:r>
                <w:rPr>
                  <w:rStyle w:val="739"/>
                </w:rPr>
                <w:t xml:space="preserve">https://www.respuesta.com.mx/deportes-secciones/programacion-oficial-de-la-liga-municipal-de-fut-bol-amateur-morelia-a-c-2/</w:t>
              </w:r>
            </w:hyperlink>
            <w:r/>
            <w:r/>
          </w:p>
        </w:tc>
      </w:tr>
    </w:tbl>
    <w:p>
      <w:pPr>
        <w:pBdr/>
        <w:spacing w:after="60" w:before="0"/>
        <w:ind/>
        <w:rPr/>
      </w:pPr>
      <w:r/>
      <w:r/>
    </w:p>
    <w:p>
      <w:pPr>
        <w:pStyle w:val="725"/>
        <w:pBdr/>
        <w:spacing/>
        <w:ind/>
        <w:rPr/>
      </w:pPr>
      <w:r/>
      <w:bookmarkStart w:id="29" w:name="_Toc100029"/>
      <w:r>
        <w:t xml:space="preserve">1.4.5 Precedencia entre fuentes</w:t>
      </w:r>
      <w:bookmarkEnd w:id="29"/>
      <w:r/>
      <w:r/>
    </w:p>
    <w:p>
      <w:pPr>
        <w:pBdr/>
        <w:spacing/>
        <w:ind/>
        <w:rPr/>
      </w:pPr>
      <w:r>
        <w:t xml:space="preserve">Si dos fuentes se contradicen, este ERS aplica el orden siguiente (</w:t>
      </w:r>
      <w:r>
        <w:rPr>
          <w:b/>
          <w:bCs/>
        </w:rPr>
        <w:t xml:space="preserve">propuesta</w:t>
      </w:r>
      <w:r>
        <w:t xml:space="preserve"> del análisis; requiere aprobación de la Liga):</w:t>
      </w:r>
      <w:r/>
    </w:p>
    <w:p>
      <w:pPr>
        <w:pStyle w:val="730"/>
        <w:numPr>
          <w:ilvl w:val="0"/>
          <w:numId w:val="3"/>
        </w:numPr>
        <w:pBdr/>
        <w:spacing/>
        <w:ind/>
        <w:rPr/>
      </w:pPr>
      <w:r>
        <w:t xml:space="preserve">Normas vigentes de la Liga: estatutos, reglamento interno y convocatoria de la temporada (REF-01, REF-02, REF-04 y REF-05).</w:t>
      </w:r>
      <w:r/>
    </w:p>
    <w:p>
      <w:pPr>
        <w:pStyle w:val="730"/>
        <w:numPr>
          <w:ilvl w:val="0"/>
          <w:numId w:val="3"/>
        </w:numPr>
        <w:pBdr/>
        <w:spacing/>
        <w:ind/>
        <w:rPr/>
      </w:pPr>
      <w:r>
        <w:t xml:space="preserve">Documentos operativos oficiales, como la programación (REF-03).</w:t>
      </w:r>
      <w:r/>
    </w:p>
    <w:p>
      <w:pPr>
        <w:pStyle w:val="730"/>
        <w:numPr>
          <w:ilvl w:val="0"/>
          <w:numId w:val="3"/>
        </w:numPr>
        <w:pBdr/>
        <w:spacing/>
        <w:ind/>
        <w:rPr/>
      </w:pPr>
      <w:r>
        <w:t xml:space="preserve">Información del levantamiento (REF-07).</w:t>
      </w:r>
      <w:r/>
    </w:p>
    <w:p>
      <w:pPr>
        <w:pStyle w:val="730"/>
        <w:numPr>
          <w:ilvl w:val="0"/>
          <w:numId w:val="3"/>
        </w:numPr>
        <w:pBdr/>
        <w:spacing/>
        <w:ind/>
        <w:rPr/>
      </w:pPr>
      <w:r>
        <w:t xml:space="preserve">Documento base de visión y alcance (REF-06).</w:t>
      </w:r>
      <w:r/>
    </w:p>
    <w:p>
      <w:pPr>
        <w:pStyle w:val="730"/>
        <w:numPr>
          <w:ilvl w:val="0"/>
          <w:numId w:val="3"/>
        </w:numPr>
        <w:pBdr/>
        <w:spacing/>
        <w:ind/>
        <w:rPr/>
      </w:pPr>
      <w:r>
        <w:t xml:space="preserve">Prensa y sitios web (REF-13 a REF-17).</w:t>
      </w:r>
      <w:r/>
    </w:p>
    <w:p>
      <w:pPr>
        <w:pBdr/>
        <w:spacing/>
        <w:ind/>
        <w:rPr/>
      </w:pPr>
      <w:r>
        <w:t xml:space="preserve">Las contradicciones detectadas se señalan en el texto donde aparecen (por ejemplo, en 1.3.3).</w:t>
      </w:r>
      <w:r/>
    </w:p>
    <w:p>
      <w:pPr>
        <w:pStyle w:val="725"/>
        <w:pBdr/>
        <w:spacing/>
        <w:ind/>
        <w:rPr/>
      </w:pPr>
      <w:r/>
      <w:bookmarkStart w:id="30" w:name="_Toc100030"/>
      <w:r>
        <w:t xml:space="preserve">1.4.6 Documentos revisados que no se usan como fuente</w:t>
      </w:r>
      <w:bookmarkEnd w:id="30"/>
      <w:r/>
      <w:r/>
    </w:p>
    <w:p>
      <w:pPr>
        <w:pStyle w:val="730"/>
        <w:numPr>
          <w:ilvl w:val="0"/>
          <w:numId w:val="1"/>
        </w:numPr>
        <w:pBdr/>
        <w:spacing/>
        <w:ind/>
        <w:rPr/>
      </w:pPr>
      <w:r>
        <w:rPr>
          <w:b/>
          <w:bCs/>
        </w:rPr>
        <w:t xml:space="preserve">«Reglamento General» de la «Liga Municipal de Fútbol Infantil»</w:t>
      </w:r>
      <w:r>
        <w:t xml:space="preserve"> (contexto/reglamento_liga_municipal_infantil.pdf). Corresponde a una liga de Merlo, provincia de Buenos Aires, Argentina (fechado en «Merlo, Febrero 2022»). No es reglamento de la Liga y no se usa como fuente.</w:t>
      </w:r>
      <w:r/>
    </w:p>
    <w:p>
      <w:pPr>
        <w:pStyle w:val="730"/>
        <w:numPr>
          <w:ilvl w:val="0"/>
          <w:numId w:val="1"/>
        </w:numPr>
        <w:pBdr/>
        <w:spacing/>
        <w:ind/>
        <w:rPr/>
      </w:pPr>
      <w:r>
        <w:rPr>
          <w:b/>
          <w:bCs/>
        </w:rPr>
        <w:t xml:space="preserve">Cuestionario y lienzo Business Model Canvas</w:t>
      </w:r>
      <w:r>
        <w:t xml:space="preserve"> numerados «1.» y «2.». Pertenecen a otro proyecto; las copias sin número están en blanco.</w:t>
      </w:r>
      <w:r/>
    </w:p>
    <w:p>
      <w:pPr>
        <w:pStyle w:val="730"/>
        <w:numPr>
          <w:ilvl w:val="0"/>
          <w:numId w:val="1"/>
        </w:numPr>
        <w:pBdr/>
        <w:spacing/>
        <w:ind/>
        <w:rPr/>
      </w:pPr>
      <w:r>
        <w:rPr>
          <w:b/>
          <w:bCs/>
        </w:rPr>
        <w:t xml:space="preserve">«Introducción a Scrum»</w:t>
      </w:r>
      <w:r>
        <w:t xml:space="preserve"> (contexto/SCRUM_ONLY.pdf). Es material de metodología de desarrollo y queda fuera del alcance de un ERS.</w:t>
      </w:r>
      <w:r/>
    </w:p>
    <w:p>
      <w:pPr>
        <w:pStyle w:val="724"/>
        <w:pBdr/>
        <w:spacing/>
        <w:ind/>
        <w:rPr/>
      </w:pPr>
      <w:r/>
      <w:bookmarkStart w:id="31" w:name="_Toc100031"/>
      <w:r>
        <w:t xml:space="preserve">1.5 Visión general del documento</w:t>
      </w:r>
      <w:bookmarkEnd w:id="31"/>
      <w:r/>
      <w:r/>
    </w:p>
    <w:p>
      <w:pPr>
        <w:pStyle w:val="725"/>
        <w:pBdr/>
        <w:spacing/>
        <w:ind/>
        <w:rPr/>
      </w:pPr>
      <w:r/>
      <w:bookmarkStart w:id="32" w:name="_Toc100032"/>
      <w:r>
        <w:t xml:space="preserve">1.5.1 Organización del documento</w:t>
      </w:r>
      <w:bookmarkEnd w:id="32"/>
      <w:r/>
      <w:r/>
    </w:p>
    <w:p>
      <w:pPr>
        <w:pStyle w:val="732"/>
        <w:keepNext w:val="true"/>
        <w:pBdr/>
        <w:spacing/>
        <w:ind/>
        <w:rPr/>
      </w:pPr>
      <w:r>
        <w:rPr>
          <w:b/>
          <w:bCs/>
          <w:color w:val="241a61"/>
          <w:sz w:val="18"/>
          <w:szCs w:val="18"/>
        </w:rPr>
        <w:t xml:space="preserve">Tabla 20. </w:t>
      </w:r>
      <w:r>
        <w:rPr>
          <w:sz w:val="18"/>
          <w:szCs w:val="18"/>
        </w:rPr>
        <w:t xml:space="preserve">Organización del ERS y estado de cada sección.</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400"/>
        <w:gridCol w:w="5004"/>
        <w:gridCol w:w="2000"/>
      </w:tblGrid>
      <w:tr>
        <w:trPr>
          <w:cantSplit/>
          <w:tblHeader/>
        </w:trPr>
        <w:tc>
          <w:tcPr>
            <w:shd w:val="clear" w:color="auto" w:fill="241a61"/>
            <w:tcBorders/>
            <w:tcW w:w="2400" w:type="dxa"/>
            <w:vAlign w:val="center"/>
          </w:tcPr>
          <w:p>
            <w:pPr>
              <w:pStyle w:val="731"/>
              <w:pBdr/>
              <w:spacing/>
              <w:ind/>
              <w:rPr/>
            </w:pPr>
            <w:r>
              <w:rPr>
                <w:b/>
                <w:bCs/>
                <w:color w:val="ffffff"/>
              </w:rPr>
              <w:t xml:space="preserve">Sección</w:t>
            </w:r>
            <w:r/>
          </w:p>
        </w:tc>
        <w:tc>
          <w:tcPr>
            <w:shd w:val="clear" w:color="auto" w:fill="241a61"/>
            <w:tcBorders/>
            <w:tcW w:w="5004" w:type="dxa"/>
            <w:vAlign w:val="center"/>
          </w:tcPr>
          <w:p>
            <w:pPr>
              <w:pStyle w:val="731"/>
              <w:pBdr/>
              <w:spacing/>
              <w:ind/>
              <w:rPr/>
            </w:pPr>
            <w:r>
              <w:rPr>
                <w:b/>
                <w:bCs/>
                <w:color w:val="ffffff"/>
              </w:rPr>
              <w:t xml:space="preserve">Contenido</w:t>
            </w:r>
            <w:r/>
          </w:p>
        </w:tc>
        <w:tc>
          <w:tcPr>
            <w:shd w:val="clear" w:color="auto" w:fill="241a61"/>
            <w:tcBorders/>
            <w:tcW w:w="2000" w:type="dxa"/>
            <w:vAlign w:val="center"/>
          </w:tcPr>
          <w:p>
            <w:pPr>
              <w:pStyle w:val="731"/>
              <w:pBdr/>
              <w:spacing/>
              <w:ind/>
              <w:rPr/>
            </w:pPr>
            <w:r>
              <w:rPr>
                <w:b/>
                <w:bCs/>
                <w:color w:val="ffffff"/>
              </w:rPr>
              <w:t xml:space="preserve">Estado en esta versión</w:t>
            </w:r>
            <w:r/>
          </w:p>
        </w:tc>
      </w:tr>
      <w:tr>
        <w:trPr>
          <w:cantSplit/>
        </w:trPr>
        <w:tc>
          <w:tcPr>
            <w:tcBorders/>
            <w:tcW w:w="2400" w:type="dxa"/>
          </w:tcPr>
          <w:p>
            <w:pPr>
              <w:pStyle w:val="731"/>
              <w:pBdr/>
              <w:spacing/>
              <w:ind/>
              <w:rPr/>
            </w:pPr>
            <w:r>
              <w:t xml:space="preserve">1. Introducción</w:t>
            </w:r>
            <w:r/>
          </w:p>
        </w:tc>
        <w:tc>
          <w:tcPr>
            <w:tcBorders/>
            <w:tcW w:w="5004" w:type="dxa"/>
          </w:tcPr>
          <w:p>
            <w:pPr>
              <w:pStyle w:val="731"/>
              <w:pBdr/>
              <w:spacing/>
              <w:ind/>
              <w:rPr/>
            </w:pPr>
            <w:r>
              <w:t xml:space="preserve">Propósito, alcance, definiciones, referencias, visión general del documento (incluye el modelado del sistema) y personal involucrado.</w:t>
            </w:r>
            <w:r/>
          </w:p>
        </w:tc>
        <w:tc>
          <w:tcPr>
            <w:tcBorders/>
            <w:tcW w:w="2000" w:type="dxa"/>
          </w:tcPr>
          <w:p>
            <w:pPr>
              <w:pStyle w:val="731"/>
              <w:pBdr/>
              <w:spacing/>
              <w:ind/>
              <w:rPr/>
            </w:pPr>
            <w:r>
              <w:t xml:space="preserve">Elaborada (1.6 la completa el equipo).</w:t>
            </w:r>
            <w:r/>
          </w:p>
        </w:tc>
      </w:tr>
      <w:tr>
        <w:trPr>
          <w:cantSplit/>
        </w:trPr>
        <w:tc>
          <w:tcPr>
            <w:shd w:val="clear" w:color="auto" w:fill="fafafc"/>
            <w:tcBorders/>
            <w:tcW w:w="2400" w:type="dxa"/>
          </w:tcPr>
          <w:p>
            <w:pPr>
              <w:pStyle w:val="731"/>
              <w:pBdr/>
              <w:spacing/>
              <w:ind/>
              <w:rPr/>
            </w:pPr>
            <w:r>
              <w:t xml:space="preserve">2. Descripción general</w:t>
            </w:r>
            <w:r/>
          </w:p>
        </w:tc>
        <w:tc>
          <w:tcPr>
            <w:shd w:val="clear" w:color="auto" w:fill="fafafc"/>
            <w:tcBorders/>
            <w:tcW w:w="5004" w:type="dxa"/>
          </w:tcPr>
          <w:p>
            <w:pPr>
              <w:pStyle w:val="731"/>
              <w:pBdr/>
              <w:spacing/>
              <w:ind/>
              <w:rPr/>
            </w:pPr>
            <w:r>
              <w:t xml:space="preserve">Perspectiva del producto, funciones, características de los usuarios, restricciones, supuestos y dependencias.</w:t>
            </w:r>
            <w:r/>
          </w:p>
        </w:tc>
        <w:tc>
          <w:tcPr>
            <w:shd w:val="clear" w:color="auto" w:fill="fafafc"/>
            <w:tcBorders/>
            <w:tcW w:w="2000" w:type="dxa"/>
          </w:tcPr>
          <w:p>
            <w:pPr>
              <w:pStyle w:val="731"/>
              <w:pBdr/>
              <w:spacing/>
              <w:ind/>
              <w:rPr/>
            </w:pPr>
            <w:r>
              <w:t xml:space="preserve">Pendiente.</w:t>
            </w:r>
            <w:r/>
          </w:p>
        </w:tc>
      </w:tr>
      <w:tr>
        <w:trPr>
          <w:cantSplit/>
        </w:trPr>
        <w:tc>
          <w:tcPr>
            <w:tcBorders/>
            <w:tcW w:w="2400" w:type="dxa"/>
          </w:tcPr>
          <w:p>
            <w:pPr>
              <w:pStyle w:val="731"/>
              <w:pBdr/>
              <w:spacing/>
              <w:ind/>
              <w:rPr/>
            </w:pPr>
            <w:r>
              <w:t xml:space="preserve">3. Requisitos específicos</w:t>
            </w:r>
            <w:r/>
          </w:p>
        </w:tc>
        <w:tc>
          <w:tcPr>
            <w:tcBorders/>
            <w:tcW w:w="5004" w:type="dxa"/>
          </w:tcPr>
          <w:p>
            <w:pPr>
              <w:pStyle w:val="731"/>
              <w:pBdr/>
              <w:spacing/>
              <w:ind/>
              <w:rPr/>
            </w:pPr>
            <w:r>
              <w:t xml:space="preserve">Requisitos funcionales, no funcionales (según ISO/IEC 25010), de interfaces externas, de datos y de cumplimiento legal.</w:t>
            </w:r>
            <w:r/>
          </w:p>
        </w:tc>
        <w:tc>
          <w:tcPr>
            <w:tcBorders/>
            <w:tcW w:w="2000" w:type="dxa"/>
          </w:tcPr>
          <w:p>
            <w:pPr>
              <w:pStyle w:val="731"/>
              <w:pBdr/>
              <w:spacing/>
              <w:ind/>
              <w:rPr/>
            </w:pPr>
            <w:r>
              <w:t xml:space="preserve">Pendiente.</w:t>
            </w:r>
            <w:r/>
          </w:p>
        </w:tc>
      </w:tr>
      <w:tr>
        <w:trPr>
          <w:cantSplit/>
        </w:trPr>
        <w:tc>
          <w:tcPr>
            <w:shd w:val="clear" w:color="auto" w:fill="fafafc"/>
            <w:tcBorders/>
            <w:tcW w:w="2400" w:type="dxa"/>
          </w:tcPr>
          <w:p>
            <w:pPr>
              <w:pStyle w:val="731"/>
              <w:pBdr/>
              <w:spacing/>
              <w:ind/>
              <w:rPr/>
            </w:pPr>
            <w:r>
              <w:t xml:space="preserve">4. Verificación y validación</w:t>
            </w:r>
            <w:r/>
          </w:p>
        </w:tc>
        <w:tc>
          <w:tcPr>
            <w:shd w:val="clear" w:color="auto" w:fill="fafafc"/>
            <w:tcBorders/>
            <w:tcW w:w="5004" w:type="dxa"/>
          </w:tcPr>
          <w:p>
            <w:pPr>
              <w:pStyle w:val="731"/>
              <w:pBdr/>
              <w:spacing/>
              <w:ind/>
              <w:rPr/>
            </w:pPr>
            <w:r>
              <w:t xml:space="preserve">Criterios de aceptación y métodos de verificación: inspección, análisis, prueba y demostración.</w:t>
            </w:r>
            <w:r/>
          </w:p>
        </w:tc>
        <w:tc>
          <w:tcPr>
            <w:shd w:val="clear" w:color="auto" w:fill="fafafc"/>
            <w:tcBorders/>
            <w:tcW w:w="2000" w:type="dxa"/>
          </w:tcPr>
          <w:p>
            <w:pPr>
              <w:pStyle w:val="731"/>
              <w:pBdr/>
              <w:spacing/>
              <w:ind/>
              <w:rPr/>
            </w:pPr>
            <w:r>
              <w:t xml:space="preserve">Pendiente.</w:t>
            </w:r>
            <w:r/>
          </w:p>
        </w:tc>
      </w:tr>
      <w:tr>
        <w:trPr>
          <w:cantSplit/>
        </w:trPr>
        <w:tc>
          <w:tcPr>
            <w:tcBorders/>
            <w:tcW w:w="2400" w:type="dxa"/>
          </w:tcPr>
          <w:p>
            <w:pPr>
              <w:pStyle w:val="731"/>
              <w:pBdr/>
              <w:spacing/>
              <w:ind/>
              <w:rPr/>
            </w:pPr>
            <w:r>
              <w:t xml:space="preserve">5. Matriz de trazabilidad</w:t>
            </w:r>
            <w:r/>
          </w:p>
        </w:tc>
        <w:tc>
          <w:tcPr>
            <w:tcBorders/>
            <w:tcW w:w="5004" w:type="dxa"/>
          </w:tcPr>
          <w:p>
            <w:pPr>
              <w:pStyle w:val="731"/>
              <w:pBdr/>
              <w:spacing/>
              <w:ind/>
              <w:rPr/>
            </w:pPr>
            <w:r>
              <w:t xml:space="preserve">Relación entre fuentes, requisitos y verificación.</w:t>
            </w:r>
            <w:r/>
          </w:p>
        </w:tc>
        <w:tc>
          <w:tcPr>
            <w:tcBorders/>
            <w:tcW w:w="2000" w:type="dxa"/>
          </w:tcPr>
          <w:p>
            <w:pPr>
              <w:pStyle w:val="731"/>
              <w:pBdr/>
              <w:spacing/>
              <w:ind/>
              <w:rPr/>
            </w:pPr>
            <w:r>
              <w:t xml:space="preserve">Pendiente.</w:t>
            </w:r>
            <w:r/>
          </w:p>
        </w:tc>
      </w:tr>
      <w:tr>
        <w:trPr>
          <w:cantSplit/>
        </w:trPr>
        <w:tc>
          <w:tcPr>
            <w:shd w:val="clear" w:color="auto" w:fill="fafafc"/>
            <w:tcBorders/>
            <w:tcW w:w="2400" w:type="dxa"/>
          </w:tcPr>
          <w:p>
            <w:pPr>
              <w:pStyle w:val="731"/>
              <w:pBdr/>
              <w:spacing/>
              <w:ind/>
              <w:rPr/>
            </w:pPr>
            <w:r>
              <w:t xml:space="preserve">6. Apéndices</w:t>
            </w:r>
            <w:r/>
          </w:p>
        </w:tc>
        <w:tc>
          <w:tcPr>
            <w:shd w:val="clear" w:color="auto" w:fill="fafafc"/>
            <w:tcBorders/>
            <w:tcW w:w="5004" w:type="dxa"/>
          </w:tcPr>
          <w:p>
            <w:pPr>
              <w:pStyle w:val="731"/>
              <w:pBdr/>
              <w:spacing/>
              <w:ind/>
              <w:rPr/>
            </w:pPr>
            <w:r>
              <w:t xml:space="preserve">Glosario, historial de cambios y pendientes </w:t>
            </w:r>
            <w:r>
              <w:rPr>
                <w:b/>
                <w:bCs/>
                <w:color w:val="9c4a00"/>
                <w:shd w:val="clear" w:color="auto" w:fill="fff2cc"/>
              </w:rPr>
              <w:t xml:space="preserve">[POR DEFINIR]</w:t>
            </w:r>
            <w:r>
              <w:t xml:space="preserve">.</w:t>
            </w:r>
            <w:r/>
          </w:p>
        </w:tc>
        <w:tc>
          <w:tcPr>
            <w:shd w:val="clear" w:color="auto" w:fill="fafafc"/>
            <w:tcBorders/>
            <w:tcW w:w="2000" w:type="dxa"/>
          </w:tcPr>
          <w:p>
            <w:pPr>
              <w:pStyle w:val="731"/>
              <w:pBdr/>
              <w:spacing/>
              <w:ind/>
              <w:rPr/>
            </w:pPr>
            <w:r>
              <w:t xml:space="preserve">Pendiente.</w:t>
            </w:r>
            <w:r/>
          </w:p>
        </w:tc>
      </w:tr>
    </w:tbl>
    <w:p>
      <w:pPr>
        <w:pBdr/>
        <w:spacing w:after="60" w:before="0"/>
        <w:ind/>
        <w:rPr/>
      </w:pPr>
      <w:r/>
      <w:r/>
    </w:p>
    <w:p>
      <w:pPr>
        <w:keepNext w:val="true"/>
        <w:pBdr/>
        <w:spacing/>
        <w:ind/>
        <w:rPr/>
      </w:pPr>
      <w:r>
        <w:t xml:space="preserve">La tabla siguiente relaciona las secciones de la plantilla de referencia [REF-08] con las de este ERS.</w:t>
      </w:r>
      <w:r/>
    </w:p>
    <w:p>
      <w:pPr>
        <w:pStyle w:val="732"/>
        <w:keepNext w:val="true"/>
        <w:pBdr/>
        <w:spacing/>
        <w:ind/>
        <w:rPr/>
      </w:pPr>
      <w:r>
        <w:rPr>
          <w:b/>
          <w:bCs/>
          <w:color w:val="241a61"/>
          <w:sz w:val="18"/>
          <w:szCs w:val="18"/>
        </w:rPr>
        <w:t xml:space="preserve">Tabla 21. </w:t>
      </w:r>
      <w:r>
        <w:rPr>
          <w:sz w:val="18"/>
          <w:szCs w:val="18"/>
        </w:rPr>
        <w:t xml:space="preserve">Correspondencia con la plantilla de referencia.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4702"/>
        <w:gridCol w:w="4702"/>
      </w:tblGrid>
      <w:tr>
        <w:trPr>
          <w:cantSplit/>
          <w:tblHeader/>
        </w:trPr>
        <w:tc>
          <w:tcPr>
            <w:shd w:val="clear" w:color="auto" w:fill="241a61"/>
            <w:tcBorders/>
            <w:tcW w:w="4702" w:type="dxa"/>
            <w:vAlign w:val="center"/>
          </w:tcPr>
          <w:p>
            <w:pPr>
              <w:pStyle w:val="731"/>
              <w:pBdr/>
              <w:spacing/>
              <w:ind/>
              <w:rPr/>
            </w:pPr>
            <w:r>
              <w:rPr>
                <w:b/>
                <w:bCs/>
                <w:color w:val="ffffff"/>
              </w:rPr>
              <w:t xml:space="preserve">Plantilla de referencia [REF-08]</w:t>
            </w:r>
            <w:r/>
          </w:p>
        </w:tc>
        <w:tc>
          <w:tcPr>
            <w:shd w:val="clear" w:color="auto" w:fill="241a61"/>
            <w:tcBorders/>
            <w:tcW w:w="4702" w:type="dxa"/>
            <w:vAlign w:val="center"/>
          </w:tcPr>
          <w:p>
            <w:pPr>
              <w:pStyle w:val="731"/>
              <w:pBdr/>
              <w:spacing/>
              <w:ind/>
              <w:rPr/>
            </w:pPr>
            <w:r>
              <w:rPr>
                <w:b/>
                <w:bCs/>
                <w:color w:val="ffffff"/>
              </w:rPr>
              <w:t xml:space="preserve">Este ERS</w:t>
            </w:r>
            <w:r/>
          </w:p>
        </w:tc>
      </w:tr>
      <w:tr>
        <w:trPr>
          <w:cantSplit/>
        </w:trPr>
        <w:tc>
          <w:tcPr>
            <w:tcBorders/>
            <w:tcW w:w="4702" w:type="dxa"/>
          </w:tcPr>
          <w:p>
            <w:pPr>
              <w:pStyle w:val="731"/>
              <w:pBdr/>
              <w:spacing/>
              <w:ind/>
              <w:rPr/>
            </w:pPr>
            <w:r>
              <w:t xml:space="preserve">1 Introducción</w:t>
            </w:r>
            <w:r/>
          </w:p>
        </w:tc>
        <w:tc>
          <w:tcPr>
            <w:tcBorders/>
            <w:tcW w:w="4702" w:type="dxa"/>
          </w:tcPr>
          <w:p>
            <w:pPr>
              <w:pStyle w:val="731"/>
              <w:pBdr/>
              <w:spacing/>
              <w:ind/>
              <w:rPr/>
            </w:pPr>
            <w:r>
              <w:t xml:space="preserve">1 Introducción (1.1 a 1.6)</w:t>
            </w:r>
            <w:r/>
          </w:p>
        </w:tc>
      </w:tr>
      <w:tr>
        <w:trPr>
          <w:cantSplit/>
        </w:trPr>
        <w:tc>
          <w:tcPr>
            <w:shd w:val="clear" w:color="auto" w:fill="fafafc"/>
            <w:tcBorders/>
            <w:tcW w:w="4702" w:type="dxa"/>
          </w:tcPr>
          <w:p>
            <w:pPr>
              <w:pStyle w:val="731"/>
              <w:pBdr/>
              <w:spacing/>
              <w:ind/>
              <w:rPr/>
            </w:pPr>
            <w:r>
              <w:t xml:space="preserve">1.1 Alcance</w:t>
            </w:r>
            <w:r/>
          </w:p>
        </w:tc>
        <w:tc>
          <w:tcPr>
            <w:shd w:val="clear" w:color="auto" w:fill="fafafc"/>
            <w:tcBorders/>
            <w:tcW w:w="4702" w:type="dxa"/>
          </w:tcPr>
          <w:p>
            <w:pPr>
              <w:pStyle w:val="731"/>
              <w:pBdr/>
              <w:spacing/>
              <w:ind/>
              <w:rPr/>
            </w:pPr>
            <w:r>
              <w:t xml:space="preserve">1.2 Alcance</w:t>
            </w:r>
            <w:r/>
          </w:p>
        </w:tc>
      </w:tr>
      <w:tr>
        <w:trPr>
          <w:cantSplit/>
        </w:trPr>
        <w:tc>
          <w:tcPr>
            <w:tcBorders/>
            <w:tcW w:w="4702" w:type="dxa"/>
          </w:tcPr>
          <w:p>
            <w:pPr>
              <w:pStyle w:val="731"/>
              <w:pBdr/>
              <w:spacing/>
              <w:ind/>
              <w:rPr/>
            </w:pPr>
            <w:r>
              <w:t xml:space="preserve">1.2 Personal involucrado</w:t>
            </w:r>
            <w:r/>
          </w:p>
        </w:tc>
        <w:tc>
          <w:tcPr>
            <w:tcBorders/>
            <w:tcW w:w="4702" w:type="dxa"/>
          </w:tcPr>
          <w:p>
            <w:pPr>
              <w:pStyle w:val="731"/>
              <w:pBdr/>
              <w:spacing/>
              <w:ind/>
              <w:rPr/>
            </w:pPr>
            <w:r>
              <w:t xml:space="preserve">1.6 Personal involucrado</w:t>
            </w:r>
            <w:r/>
          </w:p>
        </w:tc>
      </w:tr>
      <w:tr>
        <w:trPr>
          <w:cantSplit/>
        </w:trPr>
        <w:tc>
          <w:tcPr>
            <w:shd w:val="clear" w:color="auto" w:fill="fafafc"/>
            <w:tcBorders/>
            <w:tcW w:w="4702" w:type="dxa"/>
          </w:tcPr>
          <w:p>
            <w:pPr>
              <w:pStyle w:val="731"/>
              <w:pBdr/>
              <w:spacing/>
              <w:ind/>
              <w:rPr/>
            </w:pPr>
            <w:r>
              <w:t xml:space="preserve">2.1 Perspectiva del producto</w:t>
            </w:r>
            <w:r/>
          </w:p>
        </w:tc>
        <w:tc>
          <w:tcPr>
            <w:shd w:val="clear" w:color="auto" w:fill="fafafc"/>
            <w:tcBorders/>
            <w:tcW w:w="4702" w:type="dxa"/>
          </w:tcPr>
          <w:p>
            <w:pPr>
              <w:pStyle w:val="731"/>
              <w:pBdr/>
              <w:spacing/>
              <w:ind/>
              <w:rPr/>
            </w:pPr>
            <w:r>
              <w:t xml:space="preserve">2.1 Perspectiva del producto</w:t>
            </w:r>
            <w:r/>
          </w:p>
        </w:tc>
      </w:tr>
      <w:tr>
        <w:trPr>
          <w:cantSplit/>
        </w:trPr>
        <w:tc>
          <w:tcPr>
            <w:tcBorders/>
            <w:tcW w:w="4702" w:type="dxa"/>
          </w:tcPr>
          <w:p>
            <w:pPr>
              <w:pStyle w:val="731"/>
              <w:pBdr/>
              <w:spacing/>
              <w:ind/>
              <w:rPr/>
            </w:pPr>
            <w:r>
              <w:t xml:space="preserve">2.2 Funcionalidad del producto</w:t>
            </w:r>
            <w:r/>
          </w:p>
        </w:tc>
        <w:tc>
          <w:tcPr>
            <w:tcBorders/>
            <w:tcW w:w="4702" w:type="dxa"/>
          </w:tcPr>
          <w:p>
            <w:pPr>
              <w:pStyle w:val="731"/>
              <w:pBdr/>
              <w:spacing/>
              <w:ind/>
              <w:rPr/>
            </w:pPr>
            <w:r>
              <w:t xml:space="preserve">2.2 Funciones del producto</w:t>
            </w:r>
            <w:r/>
          </w:p>
        </w:tc>
      </w:tr>
      <w:tr>
        <w:trPr>
          <w:cantSplit/>
        </w:trPr>
        <w:tc>
          <w:tcPr>
            <w:shd w:val="clear" w:color="auto" w:fill="fafafc"/>
            <w:tcBorders/>
            <w:tcW w:w="4702" w:type="dxa"/>
          </w:tcPr>
          <w:p>
            <w:pPr>
              <w:pStyle w:val="731"/>
              <w:pBdr/>
              <w:spacing/>
              <w:ind/>
              <w:rPr/>
            </w:pPr>
            <w:r>
              <w:t xml:space="preserve">2.3 Características de los usuarios</w:t>
            </w:r>
            <w:r/>
          </w:p>
        </w:tc>
        <w:tc>
          <w:tcPr>
            <w:shd w:val="clear" w:color="auto" w:fill="fafafc"/>
            <w:tcBorders/>
            <w:tcW w:w="4702" w:type="dxa"/>
          </w:tcPr>
          <w:p>
            <w:pPr>
              <w:pStyle w:val="731"/>
              <w:pBdr/>
              <w:spacing/>
              <w:ind/>
              <w:rPr/>
            </w:pPr>
            <w:r>
              <w:t xml:space="preserve">2.3 Características de los usuarios</w:t>
            </w:r>
            <w:r/>
          </w:p>
        </w:tc>
      </w:tr>
      <w:tr>
        <w:trPr>
          <w:cantSplit/>
        </w:trPr>
        <w:tc>
          <w:tcPr>
            <w:tcBorders/>
            <w:tcW w:w="4702" w:type="dxa"/>
          </w:tcPr>
          <w:p>
            <w:pPr>
              <w:pStyle w:val="731"/>
              <w:pBdr/>
              <w:spacing/>
              <w:ind/>
              <w:rPr/>
            </w:pPr>
            <w:r>
              <w:t xml:space="preserve">2.4 Restricciones</w:t>
            </w:r>
            <w:r/>
          </w:p>
        </w:tc>
        <w:tc>
          <w:tcPr>
            <w:tcBorders/>
            <w:tcW w:w="4702" w:type="dxa"/>
          </w:tcPr>
          <w:p>
            <w:pPr>
              <w:pStyle w:val="731"/>
              <w:pBdr/>
              <w:spacing/>
              <w:ind/>
              <w:rPr/>
            </w:pPr>
            <w:r>
              <w:t xml:space="preserve">2.4 Restricciones y 2.5 Supuestos y dependencias</w:t>
            </w:r>
            <w:r/>
          </w:p>
        </w:tc>
      </w:tr>
      <w:tr>
        <w:trPr>
          <w:cantSplit/>
        </w:trPr>
        <w:tc>
          <w:tcPr>
            <w:shd w:val="clear" w:color="auto" w:fill="fafafc"/>
            <w:tcBorders/>
            <w:tcW w:w="4702" w:type="dxa"/>
          </w:tcPr>
          <w:p>
            <w:pPr>
              <w:pStyle w:val="731"/>
              <w:pBdr/>
              <w:spacing/>
              <w:ind/>
              <w:rPr/>
            </w:pPr>
            <w:r>
              <w:t xml:space="preserve">3.1 Requisitos comunes de los interfaces</w:t>
            </w:r>
            <w:r/>
          </w:p>
        </w:tc>
        <w:tc>
          <w:tcPr>
            <w:shd w:val="clear" w:color="auto" w:fill="fafafc"/>
            <w:tcBorders/>
            <w:tcW w:w="4702" w:type="dxa"/>
          </w:tcPr>
          <w:p>
            <w:pPr>
              <w:pStyle w:val="731"/>
              <w:pBdr/>
              <w:spacing/>
              <w:ind/>
              <w:rPr/>
            </w:pPr>
            <w:r>
              <w:t xml:space="preserve">3.3 Requisitos de interfaces externas</w:t>
            </w:r>
            <w:r/>
          </w:p>
        </w:tc>
      </w:tr>
      <w:tr>
        <w:trPr>
          <w:cantSplit/>
        </w:trPr>
        <w:tc>
          <w:tcPr>
            <w:tcBorders/>
            <w:tcW w:w="4702" w:type="dxa"/>
          </w:tcPr>
          <w:p>
            <w:pPr>
              <w:pStyle w:val="731"/>
              <w:pBdr/>
              <w:spacing/>
              <w:ind/>
              <w:rPr/>
            </w:pPr>
            <w:r>
              <w:t xml:space="preserve">3.2 Requisitos funcionales</w:t>
            </w:r>
            <w:r/>
          </w:p>
        </w:tc>
        <w:tc>
          <w:tcPr>
            <w:tcBorders/>
            <w:tcW w:w="4702" w:type="dxa"/>
          </w:tcPr>
          <w:p>
            <w:pPr>
              <w:pStyle w:val="731"/>
              <w:pBdr/>
              <w:spacing/>
              <w:ind/>
              <w:rPr/>
            </w:pPr>
            <w:r>
              <w:t xml:space="preserve">3.1 Requisitos funcionales</w:t>
            </w:r>
            <w:r/>
          </w:p>
        </w:tc>
      </w:tr>
      <w:tr>
        <w:trPr>
          <w:cantSplit/>
        </w:trPr>
        <w:tc>
          <w:tcPr>
            <w:shd w:val="clear" w:color="auto" w:fill="fafafc"/>
            <w:tcBorders/>
            <w:tcW w:w="4702" w:type="dxa"/>
          </w:tcPr>
          <w:p>
            <w:pPr>
              <w:pStyle w:val="731"/>
              <w:pBdr/>
              <w:spacing/>
              <w:ind/>
              <w:rPr/>
            </w:pPr>
            <w:r>
              <w:t xml:space="preserve">3.3 Requisitos no funcionales</w:t>
            </w:r>
            <w:r/>
          </w:p>
        </w:tc>
        <w:tc>
          <w:tcPr>
            <w:shd w:val="clear" w:color="auto" w:fill="fafafc"/>
            <w:tcBorders/>
            <w:tcW w:w="4702" w:type="dxa"/>
          </w:tcPr>
          <w:p>
            <w:pPr>
              <w:pStyle w:val="731"/>
              <w:pBdr/>
              <w:spacing/>
              <w:ind/>
              <w:rPr/>
            </w:pPr>
            <w:r>
              <w:t xml:space="preserve">3.2 Requisitos no funcionales (ISO/IEC 25010)</w:t>
            </w:r>
            <w:r/>
          </w:p>
        </w:tc>
      </w:tr>
      <w:tr>
        <w:trPr>
          <w:cantSplit/>
        </w:trPr>
        <w:tc>
          <w:tcPr>
            <w:tcBorders/>
            <w:tcW w:w="4702" w:type="dxa"/>
          </w:tcPr>
          <w:p>
            <w:pPr>
              <w:pStyle w:val="731"/>
              <w:pBdr/>
              <w:spacing/>
              <w:ind/>
              <w:rPr/>
            </w:pPr>
            <w:r>
              <w:t xml:space="preserve">3.4 Otros requisitos</w:t>
            </w:r>
            <w:r/>
          </w:p>
        </w:tc>
        <w:tc>
          <w:tcPr>
            <w:tcBorders/>
            <w:tcW w:w="4702" w:type="dxa"/>
          </w:tcPr>
          <w:p>
            <w:pPr>
              <w:pStyle w:val="731"/>
              <w:pBdr/>
              <w:spacing/>
              <w:ind/>
              <w:rPr/>
            </w:pPr>
            <w:r>
              <w:t xml:space="preserve">3.4 Requisitos de datos y 3.5 Requisitos de cumplimiento y legales</w:t>
            </w:r>
            <w:r/>
          </w:p>
        </w:tc>
      </w:tr>
      <w:tr>
        <w:trPr>
          <w:cantSplit/>
        </w:trPr>
        <w:tc>
          <w:tcPr>
            <w:shd w:val="clear" w:color="auto" w:fill="fafafc"/>
            <w:tcBorders/>
            <w:tcW w:w="4702" w:type="dxa"/>
          </w:tcPr>
          <w:p>
            <w:pPr>
              <w:pStyle w:val="731"/>
              <w:pBdr/>
              <w:spacing/>
              <w:ind/>
              <w:rPr/>
            </w:pPr>
            <w:r>
              <w:t xml:space="preserve">4 Modelado del sistema</w:t>
            </w:r>
            <w:r/>
          </w:p>
        </w:tc>
        <w:tc>
          <w:tcPr>
            <w:shd w:val="clear" w:color="auto" w:fill="fafafc"/>
            <w:tcBorders/>
            <w:tcW w:w="4702" w:type="dxa"/>
          </w:tcPr>
          <w:p>
            <w:pPr>
              <w:pStyle w:val="731"/>
              <w:pBdr/>
              <w:spacing/>
              <w:ind/>
              <w:rPr/>
            </w:pPr>
            <w:r>
              <w:t xml:space="preserve">1.5.3 Modelado del sistema</w:t>
            </w:r>
            <w:r/>
          </w:p>
        </w:tc>
      </w:tr>
    </w:tbl>
    <w:p>
      <w:pPr>
        <w:pBdr/>
        <w:spacing w:after="60" w:before="0"/>
        <w:ind/>
        <w:rPr/>
      </w:pPr>
      <w:r/>
      <w:r/>
    </w:p>
    <w:p>
      <w:pPr>
        <w:pStyle w:val="725"/>
        <w:pBdr/>
        <w:spacing/>
        <w:ind/>
        <w:rPr/>
      </w:pPr>
      <w:r/>
      <w:bookmarkStart w:id="33" w:name="_Toc100033"/>
      <w:r>
        <w:t xml:space="preserve">1.5.2 Convenciones</w:t>
      </w:r>
      <w:bookmarkEnd w:id="33"/>
      <w:r/>
      <w:r/>
    </w:p>
    <w:p>
      <w:pPr>
        <w:pStyle w:val="730"/>
        <w:numPr>
          <w:ilvl w:val="0"/>
          <w:numId w:val="1"/>
        </w:numPr>
        <w:pBdr/>
        <w:spacing/>
        <w:ind/>
        <w:rPr/>
      </w:pPr>
      <w:r>
        <w:rPr>
          <w:b/>
          <w:bCs/>
        </w:rPr>
        <w:t xml:space="preserve">Fuentes.</w:t>
      </w:r>
      <w:r>
        <w:t xml:space="preserve"> Se citan con su identificador [REF-xx] (1.4). Las respuestas del levantamiento se citan con el número de pregunta, por ejemplo «REF-07, P13».</w:t>
      </w:r>
      <w:r/>
    </w:p>
    <w:p>
      <w:pPr>
        <w:pStyle w:val="730"/>
        <w:numPr>
          <w:ilvl w:val="0"/>
          <w:numId w:val="1"/>
        </w:numPr>
        <w:pBdr/>
        <w:spacing/>
        <w:ind/>
        <w:rPr/>
      </w:pPr>
      <w:r>
        <w:rPr>
          <w:b/>
          <w:bCs/>
        </w:rPr>
        <w:t xml:space="preserve">Tipo de información.</w:t>
      </w:r>
      <w:r>
        <w:t xml:space="preserve"> </w:t>
      </w:r>
      <w:r>
        <w:rPr>
          <w:b/>
          <w:bCs/>
        </w:rPr>
        <w:t xml:space="preserve">Hecho:</w:t>
      </w:r>
      <w:r>
        <w:t xml:space="preserve"> dato observado o informado por la Liga. </w:t>
      </w:r>
      <w:r>
        <w:rPr>
          <w:b/>
          <w:bCs/>
        </w:rPr>
        <w:t xml:space="preserve">Norma:</w:t>
      </w:r>
      <w:r>
        <w:t xml:space="preserve"> disposición de un documento normativo (convocatoria, reglamento, estatutos, ley o norma técnica). </w:t>
      </w:r>
      <w:r>
        <w:rPr>
          <w:b/>
          <w:bCs/>
        </w:rPr>
        <w:t xml:space="preserve">Propuesta:</w:t>
      </w:r>
      <w:r>
        <w:t xml:space="preserve"> recomendación del análisis o del documento base, que requiere validación de la Liga.</w:t>
      </w:r>
      <w:r/>
    </w:p>
    <w:p>
      <w:pPr>
        <w:pStyle w:val="730"/>
        <w:numPr>
          <w:ilvl w:val="0"/>
          <w:numId w:val="1"/>
        </w:numPr>
        <w:pBdr/>
        <w:spacing/>
        <w:ind/>
        <w:rPr/>
      </w:pPr>
      <w:r>
        <w:rPr>
          <w:b/>
          <w:bCs/>
          <w:color w:val="9c4a00"/>
          <w:shd w:val="clear" w:color="auto" w:fill="fff2cc"/>
        </w:rPr>
        <w:t xml:space="preserve">[POR DEFINIR]</w:t>
      </w:r>
      <w:r>
        <w:t xml:space="preserve"> marca un dato faltante; siempre se acompaña de su impacto.</w:t>
      </w:r>
      <w:r/>
    </w:p>
    <w:p>
      <w:pPr>
        <w:pStyle w:val="730"/>
        <w:numPr>
          <w:ilvl w:val="0"/>
          <w:numId w:val="1"/>
        </w:numPr>
        <w:pBdr/>
        <w:spacing/>
        <w:ind/>
        <w:rPr/>
      </w:pPr>
      <w:r>
        <w:rPr>
          <w:b/>
          <w:bCs/>
        </w:rPr>
        <w:t xml:space="preserve">Identificadores.</w:t>
      </w:r>
      <w:r>
        <w:t xml:space="preserve"> PR-xx: problemas; OBJ-xx: objetivos; AF-xx: áreas funcionales; C-xx: condicionantes. En las secciones posteriores, los requisitos usarán RF-001 y RNF-001.</w:t>
      </w:r>
      <w:r/>
    </w:p>
    <w:p>
      <w:pPr>
        <w:pStyle w:val="730"/>
        <w:numPr>
          <w:ilvl w:val="0"/>
          <w:numId w:val="1"/>
        </w:numPr>
        <w:pBdr/>
        <w:spacing/>
        <w:ind/>
        <w:rPr/>
      </w:pPr>
      <w:r>
        <w:rPr>
          <w:b/>
          <w:bCs/>
        </w:rPr>
        <w:t xml:space="preserve">Prioridad.</w:t>
      </w:r>
      <w:r>
        <w:t xml:space="preserve"> Técnica MoSCoW (1.2.5).</w:t>
      </w:r>
      <w:r/>
    </w:p>
    <w:p>
      <w:pPr>
        <w:pStyle w:val="730"/>
        <w:numPr>
          <w:ilvl w:val="0"/>
          <w:numId w:val="1"/>
        </w:numPr>
        <w:pBdr/>
        <w:spacing/>
        <w:ind/>
        <w:rPr/>
      </w:pPr>
      <w:r>
        <w:rPr>
          <w:b/>
          <w:bCs/>
        </w:rPr>
        <w:t xml:space="preserve">Formatos.</w:t>
      </w:r>
      <w:r>
        <w:t xml:space="preserve"> Montos en pesos mexicanos; fechas en formato dd/mm/aaaa; horas en formato de 24 horas.</w:t>
      </w:r>
      <w:r/>
    </w:p>
    <w:p>
      <w:pPr>
        <w:pStyle w:val="725"/>
        <w:pBdr/>
        <w:spacing/>
        <w:ind/>
        <w:rPr/>
      </w:pPr>
      <w:r/>
      <w:bookmarkStart w:id="34" w:name="_Toc100034"/>
      <w:r>
        <w:t xml:space="preserve">1.5.3 Modelado del sistema</w:t>
      </w:r>
      <w:bookmarkEnd w:id="34"/>
      <w:r/>
      <w:r/>
    </w:p>
    <w:p>
      <w:pPr>
        <w:pBdr/>
        <w:spacing/>
        <w:ind/>
        <w:rPr/>
      </w:pPr>
      <w:r>
        <w:t xml:space="preserve">Los modelos de esta sección son de análisis, no de diseño: describen el entorno del Sistema, el proceso actual y los conceptos del dominio. Son preliminares y deben validarse con la Liga.</w:t>
      </w:r>
      <w:r/>
    </w:p>
    <w:p>
      <w:pPr>
        <w:pStyle w:val="726"/>
        <w:pBdr/>
        <w:spacing/>
        <w:ind/>
        <w:rPr/>
      </w:pPr>
      <w:r/>
      <w:bookmarkStart w:id="35" w:name="_Toc100035"/>
      <w:r>
        <w:t xml:space="preserve">1.5.3.1 Diagrama de contexto</w:t>
      </w:r>
      <w:bookmarkEnd w:id="35"/>
      <w:r/>
      <w:r/>
    </w:p>
    <w:p>
      <w:pPr>
        <w:pBdr/>
        <w:spacing/>
        <w:ind/>
        <w:rPr/>
      </w:pPr>
      <w:r>
        <w:t xml:space="preserve">La Figura 1 muestra el Sistema y las personas, organizaciones y servicios con los que interactúa. Las líneas punteadas indican interacciones aún no definidas o entidades sin integración en esta versión. La Tabla 22 describe cada actor y entidad.</w:t>
      </w:r>
      <w:r/>
    </w:p>
    <w:p>
      <w:pPr>
        <w:pStyle w:val="732"/>
        <w:keepNext w:val="true"/>
        <w:pBdr/>
        <w:spacing/>
        <w:ind/>
        <w:rPr/>
      </w:pPr>
      <w:r>
        <w:rPr>
          <w:b/>
          <w:bCs/>
          <w:color w:val="241a61"/>
          <w:sz w:val="18"/>
          <w:szCs w:val="18"/>
        </w:rPr>
        <w:t xml:space="preserve">Tabla 22. </w:t>
      </w:r>
      <w:r>
        <w:rPr>
          <w:sz w:val="18"/>
          <w:szCs w:val="18"/>
        </w:rPr>
        <w:t xml:space="preserve">Actores y entidades externas del diagrama de contexto.</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300"/>
        <w:gridCol w:w="3904"/>
        <w:gridCol w:w="1400"/>
        <w:gridCol w:w="1800"/>
      </w:tblGrid>
      <w:tr>
        <w:trPr>
          <w:cantSplit/>
          <w:tblHeader/>
        </w:trPr>
        <w:tc>
          <w:tcPr>
            <w:shd w:val="clear" w:color="auto" w:fill="241a61"/>
            <w:tcBorders/>
            <w:tcW w:w="2300" w:type="dxa"/>
            <w:vAlign w:val="center"/>
          </w:tcPr>
          <w:p>
            <w:pPr>
              <w:pStyle w:val="731"/>
              <w:pBdr/>
              <w:spacing/>
              <w:ind/>
              <w:rPr/>
            </w:pPr>
            <w:r>
              <w:rPr>
                <w:b/>
                <w:bCs/>
                <w:color w:val="ffffff"/>
              </w:rPr>
              <w:t xml:space="preserve">Actor o entidad</w:t>
            </w:r>
            <w:r/>
          </w:p>
        </w:tc>
        <w:tc>
          <w:tcPr>
            <w:shd w:val="clear" w:color="auto" w:fill="241a61"/>
            <w:tcBorders/>
            <w:tcW w:w="3904" w:type="dxa"/>
            <w:vAlign w:val="center"/>
          </w:tcPr>
          <w:p>
            <w:pPr>
              <w:pStyle w:val="731"/>
              <w:pBdr/>
              <w:spacing/>
              <w:ind/>
              <w:rPr/>
            </w:pPr>
            <w:r>
              <w:rPr>
                <w:b/>
                <w:bCs/>
                <w:color w:val="ffffff"/>
              </w:rPr>
              <w:t xml:space="preserve">Relación con el Sistema</w:t>
            </w:r>
            <w:r/>
          </w:p>
        </w:tc>
        <w:tc>
          <w:tcPr>
            <w:shd w:val="clear" w:color="auto" w:fill="241a61"/>
            <w:tcBorders/>
            <w:tcW w:w="1400" w:type="dxa"/>
            <w:vAlign w:val="center"/>
          </w:tcPr>
          <w:p>
            <w:pPr>
              <w:pStyle w:val="731"/>
              <w:pBdr/>
              <w:spacing/>
              <w:ind/>
              <w:rPr/>
            </w:pPr>
            <w:r>
              <w:rPr>
                <w:b/>
                <w:bCs/>
                <w:color w:val="ffffff"/>
              </w:rPr>
              <w:t xml:space="preserve">Cuenta</w:t>
            </w:r>
            <w:r/>
          </w:p>
        </w:tc>
        <w:tc>
          <w:tcPr>
            <w:shd w:val="clear" w:color="auto" w:fill="241a61"/>
            <w:tcBorders/>
            <w:tcW w:w="1800" w:type="dxa"/>
            <w:vAlign w:val="center"/>
          </w:tcPr>
          <w:p>
            <w:pPr>
              <w:pStyle w:val="731"/>
              <w:pBdr/>
              <w:spacing/>
              <w:ind/>
              <w:rPr/>
            </w:pPr>
            <w:r>
              <w:rPr>
                <w:b/>
                <w:bCs/>
                <w:color w:val="ffffff"/>
              </w:rPr>
              <w:t xml:space="preserve">Fuente</w:t>
            </w:r>
            <w:r/>
          </w:p>
        </w:tc>
      </w:tr>
      <w:tr>
        <w:trPr>
          <w:cantSplit/>
        </w:trPr>
        <w:tc>
          <w:tcPr>
            <w:tcBorders/>
            <w:tcW w:w="2300" w:type="dxa"/>
          </w:tcPr>
          <w:p>
            <w:pPr>
              <w:pStyle w:val="731"/>
              <w:pBdr/>
              <w:spacing/>
              <w:ind/>
              <w:rPr/>
            </w:pPr>
            <w:r>
              <w:t xml:space="preserve">Directivos (Consejo Directivo y Comité Ejecutivo)</w:t>
            </w:r>
            <w:r/>
          </w:p>
        </w:tc>
        <w:tc>
          <w:tcPr>
            <w:tcBorders/>
            <w:tcW w:w="3904" w:type="dxa"/>
          </w:tcPr>
          <w:p>
            <w:pPr>
              <w:pStyle w:val="731"/>
              <w:pBdr/>
              <w:spacing/>
              <w:ind/>
              <w:rPr/>
            </w:pPr>
            <w:r>
              <w:t xml:space="preserve">Configuran la temporada y sus reglas; consultan reportes; autorizan publicaciones.</w:t>
            </w:r>
            <w:r/>
          </w:p>
        </w:tc>
        <w:tc>
          <w:tcPr>
            <w:tcBorders/>
            <w:tcW w:w="1400" w:type="dxa"/>
          </w:tcPr>
          <w:p>
            <w:pPr>
              <w:pStyle w:val="731"/>
              <w:pBdr/>
              <w:spacing/>
              <w:ind/>
              <w:rPr/>
            </w:pPr>
            <w:r>
              <w:t xml:space="preserve">Sí</w:t>
            </w:r>
            <w:r/>
          </w:p>
        </w:tc>
        <w:tc>
          <w:tcPr>
            <w:tcBorders/>
            <w:tcW w:w="1800" w:type="dxa"/>
          </w:tcPr>
          <w:p>
            <w:pPr>
              <w:pStyle w:val="731"/>
              <w:pBdr/>
              <w:spacing/>
              <w:ind/>
              <w:rPr/>
            </w:pPr>
            <w:r>
              <w:t xml:space="preserve">REF-01; REF-07, P20</w:t>
            </w:r>
            <w:r/>
          </w:p>
        </w:tc>
      </w:tr>
      <w:tr>
        <w:trPr>
          <w:cantSplit/>
        </w:trPr>
        <w:tc>
          <w:tcPr>
            <w:shd w:val="clear" w:color="auto" w:fill="fafafc"/>
            <w:tcBorders/>
            <w:tcW w:w="2300" w:type="dxa"/>
          </w:tcPr>
          <w:p>
            <w:pPr>
              <w:pStyle w:val="731"/>
              <w:pBdr/>
              <w:spacing/>
              <w:ind/>
              <w:rPr/>
            </w:pPr>
            <w:r>
              <w:t xml:space="preserve">Secretaría y personal administrativo</w:t>
            </w:r>
            <w:r/>
          </w:p>
        </w:tc>
        <w:tc>
          <w:tcPr>
            <w:shd w:val="clear" w:color="auto" w:fill="fafafc"/>
            <w:tcBorders/>
            <w:tcW w:w="3904" w:type="dxa"/>
          </w:tcPr>
          <w:p>
            <w:pPr>
              <w:pStyle w:val="731"/>
              <w:pBdr/>
              <w:spacing/>
              <w:ind/>
              <w:rPr/>
            </w:pPr>
            <w:r>
              <w:t xml:space="preserve">Registran clubes, jugadores y cédulas; elaboran y publican la programación.</w:t>
            </w:r>
            <w:r/>
          </w:p>
        </w:tc>
        <w:tc>
          <w:tcPr>
            <w:shd w:val="clear" w:color="auto" w:fill="fafafc"/>
            <w:tcBorders/>
            <w:tcW w:w="1400" w:type="dxa"/>
          </w:tcPr>
          <w:p>
            <w:pPr>
              <w:pStyle w:val="731"/>
              <w:pBdr/>
              <w:spacing/>
              <w:ind/>
              <w:rPr/>
            </w:pPr>
            <w:r>
              <w:t xml:space="preserve">Sí</w:t>
            </w:r>
            <w:r/>
          </w:p>
        </w:tc>
        <w:tc>
          <w:tcPr>
            <w:shd w:val="clear" w:color="auto" w:fill="fafafc"/>
            <w:tcBorders/>
            <w:tcW w:w="1800" w:type="dxa"/>
          </w:tcPr>
          <w:p>
            <w:pPr>
              <w:pStyle w:val="731"/>
              <w:pBdr/>
              <w:spacing/>
              <w:ind/>
              <w:rPr/>
            </w:pPr>
            <w:r>
              <w:t xml:space="preserve">REF-01, I-d; REF-07, P19–P20</w:t>
            </w:r>
            <w:r/>
          </w:p>
        </w:tc>
      </w:tr>
      <w:tr>
        <w:trPr>
          <w:cantSplit/>
        </w:trPr>
        <w:tc>
          <w:tcPr>
            <w:tcBorders/>
            <w:tcW w:w="2300" w:type="dxa"/>
          </w:tcPr>
          <w:p>
            <w:pPr>
              <w:pStyle w:val="731"/>
              <w:pBdr/>
              <w:spacing/>
              <w:ind/>
              <w:rPr/>
            </w:pPr>
            <w:r>
              <w:t xml:space="preserve">Tesorería</w:t>
            </w:r>
            <w:r/>
          </w:p>
        </w:tc>
        <w:tc>
          <w:tcPr>
            <w:tcBorders/>
            <w:tcW w:w="3904" w:type="dxa"/>
          </w:tcPr>
          <w:p>
            <w:pPr>
              <w:pStyle w:val="731"/>
              <w:pBdr/>
              <w:spacing/>
              <w:ind/>
              <w:rPr/>
            </w:pPr>
            <w:r>
              <w:t xml:space="preserve">Registra aportaciones y pagos.</w:t>
            </w:r>
            <w:r/>
          </w:p>
        </w:tc>
        <w:tc>
          <w:tcPr>
            <w:tcBorders/>
            <w:tcW w:w="1400" w:type="dxa"/>
          </w:tcPr>
          <w:p>
            <w:pPr>
              <w:pStyle w:val="731"/>
              <w:pBdr/>
              <w:spacing/>
              <w:ind/>
              <w:rPr/>
            </w:pPr>
            <w:r>
              <w:t xml:space="preserve">Sí</w:t>
            </w:r>
            <w:r/>
          </w:p>
        </w:tc>
        <w:tc>
          <w:tcPr>
            <w:tcBorders/>
            <w:tcW w:w="1800" w:type="dxa"/>
          </w:tcPr>
          <w:p>
            <w:pPr>
              <w:pStyle w:val="731"/>
              <w:pBdr/>
              <w:spacing/>
              <w:ind/>
              <w:rPr/>
            </w:pPr>
            <w:r>
              <w:t xml:space="preserve">REF-01, IX; REF-07, P20</w:t>
            </w:r>
            <w:r/>
          </w:p>
        </w:tc>
      </w:tr>
      <w:tr>
        <w:trPr>
          <w:cantSplit/>
        </w:trPr>
        <w:tc>
          <w:tcPr>
            <w:shd w:val="clear" w:color="auto" w:fill="fafafc"/>
            <w:tcBorders/>
            <w:tcW w:w="2300" w:type="dxa"/>
          </w:tcPr>
          <w:p>
            <w:pPr>
              <w:pStyle w:val="731"/>
              <w:pBdr/>
              <w:spacing/>
              <w:ind/>
              <w:rPr/>
            </w:pPr>
            <w:r>
              <w:t xml:space="preserve">Tribunal de Penas</w:t>
            </w:r>
            <w:r/>
          </w:p>
        </w:tc>
        <w:tc>
          <w:tcPr>
            <w:shd w:val="clear" w:color="auto" w:fill="fafafc"/>
            <w:tcBorders/>
            <w:tcW w:w="3904" w:type="dxa"/>
          </w:tcPr>
          <w:p>
            <w:pPr>
              <w:pStyle w:val="731"/>
              <w:pBdr/>
              <w:spacing/>
              <w:ind/>
              <w:rPr/>
            </w:pPr>
            <w:r>
              <w:t xml:space="preserve">Revisa incidencias, dictamina suspensiones y emite el boletín de castigados.</w:t>
            </w:r>
            <w:r/>
          </w:p>
        </w:tc>
        <w:tc>
          <w:tcPr>
            <w:shd w:val="clear" w:color="auto" w:fill="fafafc"/>
            <w:tcBorders/>
            <w:tcW w:w="1400" w:type="dxa"/>
          </w:tcPr>
          <w:p>
            <w:pPr>
              <w:pStyle w:val="731"/>
              <w:pBdr/>
              <w:spacing/>
              <w:ind/>
              <w:rPr/>
            </w:pPr>
            <w:r>
              <w:t xml:space="preserve">Sí</w:t>
            </w:r>
            <w:r/>
          </w:p>
        </w:tc>
        <w:tc>
          <w:tcPr>
            <w:shd w:val="clear" w:color="auto" w:fill="fafafc"/>
            <w:tcBorders/>
            <w:tcW w:w="1800" w:type="dxa"/>
          </w:tcPr>
          <w:p>
            <w:pPr>
              <w:pStyle w:val="731"/>
              <w:pBdr/>
              <w:spacing/>
              <w:ind/>
              <w:rPr/>
            </w:pPr>
            <w:r>
              <w:t xml:space="preserve">REF-07, P19–P20</w:t>
            </w:r>
            <w:r/>
          </w:p>
        </w:tc>
      </w:tr>
      <w:tr>
        <w:trPr>
          <w:cantSplit/>
        </w:trPr>
        <w:tc>
          <w:tcPr>
            <w:tcBorders/>
            <w:tcW w:w="2300" w:type="dxa"/>
          </w:tcPr>
          <w:p>
            <w:pPr>
              <w:pStyle w:val="731"/>
              <w:pBdr/>
              <w:spacing/>
              <w:ind/>
              <w:rPr/>
            </w:pPr>
            <w:r>
              <w:t xml:space="preserve">Comisión de la Rama Infantil</w:t>
            </w:r>
            <w:r/>
          </w:p>
        </w:tc>
        <w:tc>
          <w:tcPr>
            <w:tcBorders/>
            <w:tcW w:w="3904" w:type="dxa"/>
          </w:tcPr>
          <w:p>
            <w:pPr>
              <w:pStyle w:val="731"/>
              <w:pBdr/>
              <w:spacing/>
              <w:ind/>
              <w:rPr/>
            </w:pPr>
            <w:r>
              <w:t xml:space="preserve">Define el sistema de competencia de la rama infantil.</w:t>
            </w:r>
            <w:r/>
          </w:p>
        </w:tc>
        <w:tc>
          <w:tcPr>
            <w:tcBorders/>
            <w:tcW w:w="1400" w:type="dxa"/>
          </w:tcPr>
          <w:p>
            <w:pPr>
              <w:pStyle w:val="731"/>
              <w:pBdr/>
              <w:spacing/>
              <w:ind/>
              <w:rPr/>
            </w:pPr>
            <w:r>
              <w:t xml:space="preserve">Sí</w:t>
            </w:r>
            <w:r/>
          </w:p>
        </w:tc>
        <w:tc>
          <w:tcPr>
            <w:tcBorders/>
            <w:tcW w:w="1800" w:type="dxa"/>
          </w:tcPr>
          <w:p>
            <w:pPr>
              <w:pStyle w:val="731"/>
              <w:pBdr/>
              <w:spacing/>
              <w:ind/>
              <w:rPr/>
            </w:pPr>
            <w:r>
              <w:t xml:space="preserve">REF-02, III-b; REF-07, P20</w:t>
            </w:r>
            <w:r/>
          </w:p>
        </w:tc>
      </w:tr>
      <w:tr>
        <w:trPr>
          <w:cantSplit/>
        </w:trPr>
        <w:tc>
          <w:tcPr>
            <w:shd w:val="clear" w:color="auto" w:fill="fafafc"/>
            <w:tcBorders/>
            <w:tcW w:w="2300" w:type="dxa"/>
          </w:tcPr>
          <w:p>
            <w:pPr>
              <w:pStyle w:val="731"/>
              <w:pBdr/>
              <w:spacing/>
              <w:ind/>
              <w:rPr/>
            </w:pPr>
            <w:r>
              <w:t xml:space="preserve">Presidente del club</w:t>
            </w:r>
            <w:r/>
          </w:p>
        </w:tc>
        <w:tc>
          <w:tcPr>
            <w:shd w:val="clear" w:color="auto" w:fill="fafafc"/>
            <w:tcBorders/>
            <w:tcW w:w="3904" w:type="dxa"/>
          </w:tcPr>
          <w:p>
            <w:pPr>
              <w:pStyle w:val="731"/>
              <w:pBdr/>
              <w:spacing/>
              <w:ind/>
              <w:rPr/>
            </w:pPr>
            <w:r>
              <w:t xml:space="preserve">Consulta la información de su club. Funciones en el Sistema: </w:t>
            </w:r>
            <w:r>
              <w:rPr>
                <w:b/>
                <w:bCs/>
                <w:color w:val="9c4a00"/>
                <w:shd w:val="clear" w:color="auto" w:fill="fff2cc"/>
              </w:rPr>
              <w:t xml:space="preserve">[POR DEFINIR]</w:t>
            </w:r>
            <w:r>
              <w:t xml:space="preserve">.</w:t>
            </w:r>
            <w:r/>
          </w:p>
        </w:tc>
        <w:tc>
          <w:tcPr>
            <w:shd w:val="clear" w:color="auto" w:fill="fafafc"/>
            <w:tcBorders/>
            <w:tcW w:w="1400" w:type="dxa"/>
          </w:tcPr>
          <w:p>
            <w:pPr>
              <w:pStyle w:val="731"/>
              <w:pBdr/>
              <w:spacing/>
              <w:ind/>
              <w:rPr/>
            </w:pPr>
            <w:r>
              <w:t xml:space="preserve">Sí</w:t>
            </w:r>
            <w:r/>
          </w:p>
        </w:tc>
        <w:tc>
          <w:tcPr>
            <w:shd w:val="clear" w:color="auto" w:fill="fafafc"/>
            <w:tcBorders/>
            <w:tcW w:w="1800" w:type="dxa"/>
          </w:tcPr>
          <w:p>
            <w:pPr>
              <w:pStyle w:val="731"/>
              <w:pBdr/>
              <w:spacing/>
              <w:ind/>
              <w:rPr/>
            </w:pPr>
            <w:r>
              <w:t xml:space="preserve">REF-07, P20</w:t>
            </w:r>
            <w:r/>
          </w:p>
        </w:tc>
      </w:tr>
      <w:tr>
        <w:trPr>
          <w:cantSplit/>
        </w:trPr>
        <w:tc>
          <w:tcPr>
            <w:tcBorders/>
            <w:tcW w:w="2300" w:type="dxa"/>
          </w:tcPr>
          <w:p>
            <w:pPr>
              <w:pStyle w:val="731"/>
              <w:pBdr/>
              <w:spacing/>
              <w:ind/>
              <w:rPr/>
            </w:pPr>
            <w:r>
              <w:t xml:space="preserve">Delegado del club</w:t>
            </w:r>
            <w:r/>
          </w:p>
        </w:tc>
        <w:tc>
          <w:tcPr>
            <w:tcBorders/>
            <w:tcW w:w="3904" w:type="dxa"/>
          </w:tcPr>
          <w:p>
            <w:pPr>
              <w:pStyle w:val="731"/>
              <w:pBdr/>
              <w:spacing/>
              <w:ind/>
              <w:rPr/>
            </w:pPr>
            <w:r>
              <w:t xml:space="preserve">Consulta horarios, sanciones y pagos de su club. Si capturará información: </w:t>
            </w:r>
            <w:r>
              <w:rPr>
                <w:b/>
                <w:bCs/>
                <w:color w:val="9c4a00"/>
                <w:shd w:val="clear" w:color="auto" w:fill="fff2cc"/>
              </w:rPr>
              <w:t xml:space="preserve">[POR DEFINIR]</w:t>
            </w:r>
            <w:r>
              <w:t xml:space="preserve">.</w:t>
            </w:r>
            <w:r/>
          </w:p>
        </w:tc>
        <w:tc>
          <w:tcPr>
            <w:tcBorders/>
            <w:tcW w:w="1400" w:type="dxa"/>
          </w:tcPr>
          <w:p>
            <w:pPr>
              <w:pStyle w:val="731"/>
              <w:pBdr/>
              <w:spacing/>
              <w:ind/>
              <w:rPr/>
            </w:pPr>
            <w:r>
              <w:t xml:space="preserve">Sí</w:t>
            </w:r>
            <w:r/>
          </w:p>
        </w:tc>
        <w:tc>
          <w:tcPr>
            <w:tcBorders/>
            <w:tcW w:w="1800" w:type="dxa"/>
          </w:tcPr>
          <w:p>
            <w:pPr>
              <w:pStyle w:val="731"/>
              <w:pBdr/>
              <w:spacing/>
              <w:ind/>
              <w:rPr/>
            </w:pPr>
            <w:r>
              <w:t xml:space="preserve">REF-07, P13 y P20</w:t>
            </w:r>
            <w:r/>
          </w:p>
        </w:tc>
      </w:tr>
      <w:tr>
        <w:trPr>
          <w:cantSplit/>
        </w:trPr>
        <w:tc>
          <w:tcPr>
            <w:shd w:val="clear" w:color="auto" w:fill="fafafc"/>
            <w:tcBorders/>
            <w:tcW w:w="2300" w:type="dxa"/>
          </w:tcPr>
          <w:p>
            <w:pPr>
              <w:pStyle w:val="731"/>
              <w:pBdr/>
              <w:spacing/>
              <w:ind/>
              <w:rPr/>
            </w:pPr>
            <w:r>
              <w:t xml:space="preserve">Jugador</w:t>
            </w:r>
            <w:r/>
          </w:p>
        </w:tc>
        <w:tc>
          <w:tcPr>
            <w:shd w:val="clear" w:color="auto" w:fill="fafafc"/>
            <w:tcBorders/>
            <w:tcW w:w="3904" w:type="dxa"/>
          </w:tcPr>
          <w:p>
            <w:pPr>
              <w:pStyle w:val="731"/>
              <w:pBdr/>
              <w:spacing/>
              <w:ind/>
              <w:rPr/>
            </w:pPr>
            <w:r>
              <w:t xml:space="preserve">Consulta su información.</w:t>
            </w:r>
            <w:r/>
          </w:p>
        </w:tc>
        <w:tc>
          <w:tcPr>
            <w:shd w:val="clear" w:color="auto" w:fill="fafafc"/>
            <w:tcBorders/>
            <w:tcW w:w="1400" w:type="dxa"/>
          </w:tcPr>
          <w:p>
            <w:pPr>
              <w:pStyle w:val="731"/>
              <w:pBdr/>
              <w:spacing/>
              <w:ind/>
              <w:rPr/>
            </w:pPr>
            <w:r>
              <w:rPr>
                <w:b/>
                <w:bCs/>
                <w:color w:val="9c4a00"/>
                <w:shd w:val="clear" w:color="auto" w:fill="fff2cc"/>
              </w:rPr>
              <w:t xml:space="preserve">[POR DEFINIR]</w:t>
            </w:r>
            <w:r/>
          </w:p>
        </w:tc>
        <w:tc>
          <w:tcPr>
            <w:shd w:val="clear" w:color="auto" w:fill="fafafc"/>
            <w:tcBorders/>
            <w:tcW w:w="1800" w:type="dxa"/>
          </w:tcPr>
          <w:p>
            <w:pPr>
              <w:pStyle w:val="731"/>
              <w:pBdr/>
              <w:spacing/>
              <w:ind/>
              <w:rPr/>
            </w:pPr>
            <w:r>
              <w:t xml:space="preserve">REF-07, P20</w:t>
            </w:r>
            <w:r/>
          </w:p>
        </w:tc>
      </w:tr>
      <w:tr>
        <w:trPr>
          <w:cantSplit/>
        </w:trPr>
        <w:tc>
          <w:tcPr>
            <w:tcBorders/>
            <w:tcW w:w="2300" w:type="dxa"/>
          </w:tcPr>
          <w:p>
            <w:pPr>
              <w:pStyle w:val="731"/>
              <w:pBdr/>
              <w:spacing/>
              <w:ind/>
              <w:rPr/>
            </w:pPr>
            <w:r>
              <w:t xml:space="preserve">Árbitros y colegios de árbitros</w:t>
            </w:r>
            <w:r/>
          </w:p>
        </w:tc>
        <w:tc>
          <w:tcPr>
            <w:tcBorders/>
            <w:tcW w:w="3904" w:type="dxa"/>
          </w:tcPr>
          <w:p>
            <w:pPr>
              <w:pStyle w:val="731"/>
              <w:pBdr/>
              <w:spacing/>
              <w:ind/>
              <w:rPr/>
            </w:pPr>
            <w:r>
              <w:t xml:space="preserve">Entregan las cédulas, hoy en papel. Si usarán el Sistema: </w:t>
            </w:r>
            <w:r>
              <w:rPr>
                <w:b/>
                <w:bCs/>
                <w:color w:val="9c4a00"/>
                <w:shd w:val="clear" w:color="auto" w:fill="fff2cc"/>
              </w:rPr>
              <w:t xml:space="preserve">[POR DEFINIR]</w:t>
            </w:r>
            <w:r>
              <w:t xml:space="preserve">.</w:t>
            </w:r>
            <w:r/>
          </w:p>
        </w:tc>
        <w:tc>
          <w:tcPr>
            <w:tcBorders/>
            <w:tcW w:w="1400" w:type="dxa"/>
          </w:tcPr>
          <w:p>
            <w:pPr>
              <w:pStyle w:val="731"/>
              <w:pBdr/>
              <w:spacing/>
              <w:ind/>
              <w:rPr/>
            </w:pPr>
            <w:r>
              <w:rPr>
                <w:b/>
                <w:bCs/>
                <w:color w:val="9c4a00"/>
                <w:shd w:val="clear" w:color="auto" w:fill="fff2cc"/>
              </w:rPr>
              <w:t xml:space="preserve">[POR DEFINIR]</w:t>
            </w:r>
            <w:r/>
          </w:p>
        </w:tc>
        <w:tc>
          <w:tcPr>
            <w:tcBorders/>
            <w:tcW w:w="1800" w:type="dxa"/>
          </w:tcPr>
          <w:p>
            <w:pPr>
              <w:pStyle w:val="731"/>
              <w:pBdr/>
              <w:spacing/>
              <w:ind/>
              <w:rPr/>
            </w:pPr>
            <w:r>
              <w:t xml:space="preserve">REF-07, P18–P19</w:t>
            </w:r>
            <w:r/>
          </w:p>
        </w:tc>
      </w:tr>
      <w:tr>
        <w:trPr>
          <w:cantSplit/>
        </w:trPr>
        <w:tc>
          <w:tcPr>
            <w:shd w:val="clear" w:color="auto" w:fill="fafafc"/>
            <w:tcBorders/>
            <w:tcW w:w="2300" w:type="dxa"/>
          </w:tcPr>
          <w:p>
            <w:pPr>
              <w:pStyle w:val="731"/>
              <w:pBdr/>
              <w:spacing/>
              <w:ind/>
              <w:rPr/>
            </w:pPr>
            <w:r>
              <w:t xml:space="preserve">Público general</w:t>
            </w:r>
            <w:r/>
          </w:p>
        </w:tc>
        <w:tc>
          <w:tcPr>
            <w:shd w:val="clear" w:color="auto" w:fill="fafafc"/>
            <w:tcBorders/>
            <w:tcW w:w="3904" w:type="dxa"/>
          </w:tcPr>
          <w:p>
            <w:pPr>
              <w:pStyle w:val="731"/>
              <w:pBdr/>
              <w:spacing/>
              <w:ind/>
              <w:rPr/>
            </w:pPr>
            <w:r>
              <w:t xml:space="preserve">Consulta programación, resultados, tablas, goleo y castigados.</w:t>
            </w:r>
            <w:r/>
          </w:p>
        </w:tc>
        <w:tc>
          <w:tcPr>
            <w:shd w:val="clear" w:color="auto" w:fill="fafafc"/>
            <w:tcBorders/>
            <w:tcW w:w="1400" w:type="dxa"/>
          </w:tcPr>
          <w:p>
            <w:pPr>
              <w:pStyle w:val="731"/>
              <w:pBdr/>
              <w:spacing/>
              <w:ind/>
              <w:rPr/>
            </w:pPr>
            <w:r>
              <w:t xml:space="preserve">No</w:t>
            </w:r>
            <w:r/>
          </w:p>
        </w:tc>
        <w:tc>
          <w:tcPr>
            <w:shd w:val="clear" w:color="auto" w:fill="fafafc"/>
            <w:tcBorders/>
            <w:tcW w:w="1800" w:type="dxa"/>
          </w:tcPr>
          <w:p>
            <w:pPr>
              <w:pStyle w:val="731"/>
              <w:pBdr/>
              <w:spacing/>
              <w:ind/>
              <w:rPr/>
            </w:pPr>
            <w:r>
              <w:t xml:space="preserve">REF-07, P20</w:t>
            </w:r>
            <w:r/>
          </w:p>
        </w:tc>
      </w:tr>
      <w:tr>
        <w:trPr>
          <w:cantSplit/>
        </w:trPr>
        <w:tc>
          <w:tcPr>
            <w:tcBorders/>
            <w:tcW w:w="2300" w:type="dxa"/>
          </w:tcPr>
          <w:p>
            <w:pPr>
              <w:pStyle w:val="731"/>
              <w:pBdr/>
              <w:spacing/>
              <w:ind/>
              <w:rPr/>
            </w:pPr>
            <w:r>
              <w:t xml:space="preserve">WhatsApp</w:t>
            </w:r>
            <w:r/>
          </w:p>
        </w:tc>
        <w:tc>
          <w:tcPr>
            <w:tcBorders/>
            <w:tcW w:w="3904" w:type="dxa"/>
          </w:tcPr>
          <w:p>
            <w:pPr>
              <w:pStyle w:val="731"/>
              <w:pBdr/>
              <w:spacing/>
              <w:ind/>
              <w:rPr/>
            </w:pPr>
            <w:r>
              <w:t xml:space="preserve">Servicio externo para enviar avisos.</w:t>
            </w:r>
            <w:r/>
          </w:p>
        </w:tc>
        <w:tc>
          <w:tcPr>
            <w:tcBorders/>
            <w:tcW w:w="1400" w:type="dxa"/>
          </w:tcPr>
          <w:p>
            <w:pPr>
              <w:pStyle w:val="731"/>
              <w:pBdr/>
              <w:spacing/>
              <w:ind/>
              <w:rPr/>
            </w:pPr>
            <w:r>
              <w:t xml:space="preserve">No aplica</w:t>
            </w:r>
            <w:r/>
          </w:p>
        </w:tc>
        <w:tc>
          <w:tcPr>
            <w:tcBorders/>
            <w:tcW w:w="1800" w:type="dxa"/>
          </w:tcPr>
          <w:p>
            <w:pPr>
              <w:pStyle w:val="731"/>
              <w:pBdr/>
              <w:spacing/>
              <w:ind/>
              <w:rPr/>
            </w:pPr>
            <w:r>
              <w:t xml:space="preserve">REF-07, P10-d</w:t>
            </w:r>
            <w:r/>
          </w:p>
        </w:tc>
      </w:tr>
      <w:tr>
        <w:trPr>
          <w:cantSplit/>
        </w:trPr>
        <w:tc>
          <w:tcPr>
            <w:shd w:val="clear" w:color="auto" w:fill="fafafc"/>
            <w:tcBorders/>
            <w:tcW w:w="2300" w:type="dxa"/>
          </w:tcPr>
          <w:p>
            <w:pPr>
              <w:pStyle w:val="731"/>
              <w:pBdr/>
              <w:spacing/>
              <w:ind/>
              <w:rPr/>
            </w:pPr>
            <w:r>
              <w:t xml:space="preserve">IMCUFIDE</w:t>
            </w:r>
            <w:r/>
          </w:p>
        </w:tc>
        <w:tc>
          <w:tcPr>
            <w:shd w:val="clear" w:color="auto" w:fill="fafafc"/>
            <w:tcBorders/>
            <w:tcW w:w="3904" w:type="dxa"/>
          </w:tcPr>
          <w:p>
            <w:pPr>
              <w:pStyle w:val="731"/>
              <w:pBdr/>
              <w:spacing/>
              <w:ind/>
              <w:rPr/>
            </w:pPr>
            <w:r>
              <w:t xml:space="preserve">Intercambia con la Liga información administrativa, operativa y de seguridad.</w:t>
            </w:r>
            <w:r/>
          </w:p>
        </w:tc>
        <w:tc>
          <w:tcPr>
            <w:shd w:val="clear" w:color="auto" w:fill="fafafc"/>
            <w:tcBorders/>
            <w:tcW w:w="1400" w:type="dxa"/>
          </w:tcPr>
          <w:p>
            <w:pPr>
              <w:pStyle w:val="731"/>
              <w:pBdr/>
              <w:spacing/>
              <w:ind/>
              <w:rPr/>
            </w:pPr>
            <w:r>
              <w:t xml:space="preserve">Sin integración</w:t>
            </w:r>
            <w:r/>
          </w:p>
        </w:tc>
        <w:tc>
          <w:tcPr>
            <w:shd w:val="clear" w:color="auto" w:fill="fafafc"/>
            <w:tcBorders/>
            <w:tcW w:w="1800" w:type="dxa"/>
          </w:tcPr>
          <w:p>
            <w:pPr>
              <w:pStyle w:val="731"/>
              <w:pBdr/>
              <w:spacing/>
              <w:ind/>
              <w:rPr/>
            </w:pPr>
            <w:r>
              <w:t xml:space="preserve">REF-07, P18; REF-13</w:t>
            </w:r>
            <w:r/>
          </w:p>
        </w:tc>
      </w:tr>
      <w:tr>
        <w:trPr>
          <w:cantSplit/>
        </w:trPr>
        <w:tc>
          <w:tcPr>
            <w:tcBorders/>
            <w:tcW w:w="2300" w:type="dxa"/>
          </w:tcPr>
          <w:p>
            <w:pPr>
              <w:pStyle w:val="731"/>
              <w:pBdr/>
              <w:spacing/>
              <w:ind/>
              <w:rPr/>
            </w:pPr>
            <w:r>
              <w:t xml:space="preserve">UMSNH y sindicato del Ayuntamiento</w:t>
            </w:r>
            <w:r/>
          </w:p>
        </w:tc>
        <w:tc>
          <w:tcPr>
            <w:tcBorders/>
            <w:tcW w:w="3904" w:type="dxa"/>
          </w:tcPr>
          <w:p>
            <w:pPr>
              <w:pStyle w:val="731"/>
              <w:pBdr/>
              <w:spacing/>
              <w:ind/>
              <w:rPr/>
            </w:pPr>
            <w:r>
              <w:t xml:space="preserve">Intercambian registro de plantillas, validación de credenciales de estudiantes o trabajadores e informes de comportamiento y sanciones (por ejemplo, en los Juegos Deportivos Interdependencias).</w:t>
            </w:r>
            <w:r/>
          </w:p>
        </w:tc>
        <w:tc>
          <w:tcPr>
            <w:tcBorders/>
            <w:tcW w:w="1400" w:type="dxa"/>
          </w:tcPr>
          <w:p>
            <w:pPr>
              <w:pStyle w:val="731"/>
              <w:pBdr/>
              <w:spacing/>
              <w:ind/>
              <w:rPr/>
            </w:pPr>
            <w:r>
              <w:t xml:space="preserve">Sin integración</w:t>
            </w:r>
            <w:r/>
          </w:p>
        </w:tc>
        <w:tc>
          <w:tcPr>
            <w:tcBorders/>
            <w:tcW w:w="1800" w:type="dxa"/>
          </w:tcPr>
          <w:p>
            <w:pPr>
              <w:pStyle w:val="731"/>
              <w:pBdr/>
              <w:spacing/>
              <w:ind/>
              <w:rPr/>
            </w:pPr>
            <w:r>
              <w:t xml:space="preserve">REF-07, P18</w:t>
            </w:r>
            <w:r/>
          </w:p>
        </w:tc>
      </w:tr>
      <w:tr>
        <w:trPr>
          <w:cantSplit/>
        </w:trPr>
        <w:tc>
          <w:tcPr>
            <w:shd w:val="clear" w:color="auto" w:fill="fafafc"/>
            <w:tcBorders/>
            <w:tcW w:w="2300" w:type="dxa"/>
          </w:tcPr>
          <w:p>
            <w:pPr>
              <w:pStyle w:val="731"/>
              <w:pBdr/>
              <w:spacing/>
              <w:ind/>
              <w:rPr/>
            </w:pPr>
            <w:r>
              <w:t xml:space="preserve">Portales locales (La Extra, Fanáticos, La Muni)</w:t>
            </w:r>
            <w:r/>
          </w:p>
        </w:tc>
        <w:tc>
          <w:tcPr>
            <w:shd w:val="clear" w:color="auto" w:fill="fafafc"/>
            <w:tcBorders/>
            <w:tcW w:w="3904" w:type="dxa"/>
          </w:tcPr>
          <w:p>
            <w:pPr>
              <w:pStyle w:val="731"/>
              <w:pBdr/>
              <w:spacing/>
              <w:ind/>
              <w:rPr/>
            </w:pPr>
            <w:r>
              <w:t xml:space="preserve">Reciben la programación, las tablas de goleo y los roles semanales en imagen o PDF para difundirlos.</w:t>
            </w:r>
            <w:r/>
          </w:p>
        </w:tc>
        <w:tc>
          <w:tcPr>
            <w:shd w:val="clear" w:color="auto" w:fill="fafafc"/>
            <w:tcBorders/>
            <w:tcW w:w="1400" w:type="dxa"/>
          </w:tcPr>
          <w:p>
            <w:pPr>
              <w:pStyle w:val="731"/>
              <w:pBdr/>
              <w:spacing/>
              <w:ind/>
              <w:rPr/>
            </w:pPr>
            <w:r>
              <w:t xml:space="preserve">Sin integración</w:t>
            </w:r>
            <w:r/>
          </w:p>
        </w:tc>
        <w:tc>
          <w:tcPr>
            <w:shd w:val="clear" w:color="auto" w:fill="fafafc"/>
            <w:tcBorders/>
            <w:tcW w:w="1800" w:type="dxa"/>
          </w:tcPr>
          <w:p>
            <w:pPr>
              <w:pStyle w:val="731"/>
              <w:pBdr/>
              <w:spacing/>
              <w:ind/>
              <w:rPr/>
            </w:pPr>
            <w:r>
              <w:t xml:space="preserve">REF-07, P18</w:t>
            </w:r>
            <w:r/>
          </w:p>
        </w:tc>
      </w:tr>
      <w:tr>
        <w:trPr>
          <w:cantSplit/>
        </w:trPr>
        <w:tc>
          <w:tcPr>
            <w:tcBorders/>
            <w:tcW w:w="2300" w:type="dxa"/>
          </w:tcPr>
          <w:p>
            <w:pPr>
              <w:pStyle w:val="731"/>
              <w:pBdr/>
              <w:spacing/>
              <w:ind/>
              <w:rPr/>
            </w:pPr>
            <w:r>
              <w:t xml:space="preserve">Notarías públicas</w:t>
            </w:r>
            <w:r/>
          </w:p>
        </w:tc>
        <w:tc>
          <w:tcPr>
            <w:tcBorders/>
            <w:tcW w:w="3904" w:type="dxa"/>
          </w:tcPr>
          <w:p>
            <w:pPr>
              <w:pStyle w:val="731"/>
              <w:pBdr/>
              <w:spacing/>
              <w:ind/>
              <w:rPr/>
            </w:pPr>
            <w:r>
              <w:t xml:space="preserve">Protocolizan actas y estatutos de la asociación civil.</w:t>
            </w:r>
            <w:r/>
          </w:p>
        </w:tc>
        <w:tc>
          <w:tcPr>
            <w:tcBorders/>
            <w:tcW w:w="1400" w:type="dxa"/>
          </w:tcPr>
          <w:p>
            <w:pPr>
              <w:pStyle w:val="731"/>
              <w:pBdr/>
              <w:spacing/>
              <w:ind/>
              <w:rPr/>
            </w:pPr>
            <w:r>
              <w:t xml:space="preserve">Fuera del alcance</w:t>
            </w:r>
            <w:r/>
          </w:p>
        </w:tc>
        <w:tc>
          <w:tcPr>
            <w:tcBorders/>
            <w:tcW w:w="1800" w:type="dxa"/>
          </w:tcPr>
          <w:p>
            <w:pPr>
              <w:pStyle w:val="731"/>
              <w:pBdr/>
              <w:spacing/>
              <w:ind/>
              <w:rPr/>
            </w:pPr>
            <w:r>
              <w:t xml:space="preserve">REF-07, P18</w:t>
            </w:r>
            <w:r/>
          </w:p>
        </w:tc>
      </w:tr>
    </w:tbl>
    <w:p>
      <w:pPr>
        <w:pBdr/>
        <w:spacing w:after="60" w:before="0"/>
        <w:ind/>
        <w:rPr/>
      </w:pPr>
      <w:r/>
      <w:r/>
    </w:p>
    <w:p>
      <w:pPr>
        <w:keepNext w:val="true"/>
        <w:pBdr/>
        <w:spacing w:after="60" w:before="120"/>
        <w:ind/>
        <w:jc w:val="center"/>
        <w:rPr/>
      </w:pPr>
      <w:r>
        <mc:AlternateContent>
          <mc:Choice Requires="wpg">
            <w:drawing>
              <wp:inline xmlns:wp="http://schemas.openxmlformats.org/drawingml/2006/wordprocessingDrawing" distT="0" distB="0" distL="0" distR="0">
                <wp:extent cx="5486400" cy="5760720"/>
                <wp:effectExtent l="0" t="0" r="0" b="0"/>
                <wp:docPr id="1" name="Figura 1" descr="Diagrama de context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iagrama de contexto del Sistema"/>
                        <pic:cNvPicPr>
                          <a:picLocks noChangeAspect="1"/>
                        </pic:cNvPicPr>
                        <pic:nvPr/>
                      </pic:nvPicPr>
                      <pic:blipFill rotWithShape="1">
                        <a:blip r:embed="rId20"/>
                        <a:stretch/>
                      </pic:blipFill>
                      <pic:spPr bwMode="auto">
                        <a:xfrm>
                          <a:off x="0" y="0"/>
                          <a:ext cx="5486400" cy="57607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453.60pt;mso-wrap-distance-left:0.00pt;mso-wrap-distance-top:0.00pt;mso-wrap-distance-right:0.00pt;mso-wrap-distance-bottom:0.00pt;z-index:1;" stroked="false">
                <v:imagedata r:id="rId20" o:title=""/>
                <o:lock v:ext="edit" rotation="t"/>
              </v:shape>
            </w:pict>
          </mc:Fallback>
        </mc:AlternateContent>
      </w:r>
      <w:r/>
    </w:p>
    <w:p>
      <w:pPr>
        <w:pStyle w:val="732"/>
        <w:pBdr/>
        <w:spacing/>
        <w:ind/>
        <w:rPr/>
      </w:pPr>
      <w:r>
        <w:rPr>
          <w:b/>
          <w:bCs/>
          <w:color w:val="241a61"/>
          <w:sz w:val="18"/>
          <w:szCs w:val="18"/>
        </w:rPr>
        <w:t xml:space="preserve">Figura 1. </w:t>
      </w:r>
      <w:r>
        <w:rPr>
          <w:sz w:val="18"/>
          <w:szCs w:val="18"/>
        </w:rPr>
        <w:t xml:space="preserve">Diagrama de contexto del Sistema.</w:t>
      </w:r>
      <w:r/>
    </w:p>
    <w:p>
      <w:pPr>
        <w:pStyle w:val="733"/>
        <w:pBdr/>
        <w:spacing/>
        <w:ind/>
        <w:rPr/>
      </w:pPr>
      <w:r>
        <w:rPr>
          <w:b/>
          <w:bCs/>
          <w:color w:val="241a61"/>
        </w:rPr>
        <w:t xml:space="preserve">Observación: </w:t>
      </w:r>
      <w:r>
        <w:t xml:space="preserve">el levantamiento indica que «todos los que conforman la Liga» tendrán cuenta propia [REF-07, P20]. No se pudo confirmar si eso incluye a jugadores y árbitros, por lo que se marcan como </w:t>
      </w:r>
      <w:r>
        <w:rPr>
          <w:b/>
          <w:bCs/>
          <w:color w:val="9c4a00"/>
          <w:shd w:val="clear" w:color="auto" w:fill="fff2cc"/>
        </w:rPr>
        <w:t xml:space="preserve">[POR DEFINIR]</w:t>
      </w:r>
      <w:r>
        <w:t xml:space="preserve">. </w:t>
      </w:r>
      <w:r>
        <w:rPr>
          <w:b/>
          <w:bCs/>
        </w:rPr>
        <w:t xml:space="preserve">Impacto:</w:t>
      </w:r>
      <w:r>
        <w:t xml:space="preserve"> define el número de usuarios con cuenta y el modelo de permisos.</w:t>
      </w:r>
      <w:r/>
    </w:p>
    <w:p>
      <w:pPr>
        <w:pStyle w:val="726"/>
        <w:pBdr/>
        <w:spacing/>
        <w:ind/>
        <w:rPr/>
      </w:pPr>
      <w:r/>
      <w:bookmarkStart w:id="36" w:name="_Toc100036"/>
      <w:r>
        <w:t xml:space="preserve">1.5.3.2 Proceso actual de la cédula arbitral</w:t>
      </w:r>
      <w:bookmarkEnd w:id="36"/>
      <w:r/>
      <w:r/>
    </w:p>
    <w:p>
      <w:pPr>
        <w:keepNext w:val="true"/>
        <w:pBdr/>
        <w:spacing/>
        <w:ind/>
        <w:rPr/>
      </w:pPr>
      <w:r>
        <w:t xml:space="preserve">La Figura 2 modela el proceso actual (situación «tal como es») desde el registro de jugadores en la cancha hasta la publicación del boletín de castigados [REF-07, P19]. Los problemas PR-02, PR-03 y PR-04 se originan en este proceso.</w:t>
      </w:r>
      <w:r/>
    </w:p>
    <w:p>
      <w:pPr>
        <w:keepNext w:val="true"/>
        <w:pBdr/>
        <w:spacing w:after="60" w:before="120"/>
        <w:ind/>
        <w:jc w:val="center"/>
        <w:rPr/>
      </w:pPr>
      <w:r>
        <mc:AlternateContent>
          <mc:Choice Requires="wpg">
            <w:drawing>
              <wp:inline xmlns:wp="http://schemas.openxmlformats.org/drawingml/2006/wordprocessingDrawing" distT="0" distB="0" distL="0" distR="0">
                <wp:extent cx="5120640" cy="5837529"/>
                <wp:effectExtent l="0" t="0" r="0" b="0"/>
                <wp:docPr id="2" name="Figura 2" descr="Proceso actual de la cédula arbi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Proceso actual de la cédula arbitral"/>
                        <pic:cNvPicPr>
                          <a:picLocks noChangeAspect="1"/>
                        </pic:cNvPicPr>
                        <pic:nvPr/>
                      </pic:nvPicPr>
                      <pic:blipFill rotWithShape="1">
                        <a:blip r:embed="rId21"/>
                        <a:stretch/>
                      </pic:blipFill>
                      <pic:spPr bwMode="auto">
                        <a:xfrm>
                          <a:off x="0" y="0"/>
                          <a:ext cx="5120640" cy="58375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3.20pt;height:459.65pt;mso-wrap-distance-left:0.00pt;mso-wrap-distance-top:0.00pt;mso-wrap-distance-right:0.00pt;mso-wrap-distance-bottom:0.00pt;z-index:1;" stroked="false">
                <v:imagedata r:id="rId21" o:title=""/>
                <o:lock v:ext="edit" rotation="t"/>
              </v:shape>
            </w:pict>
          </mc:Fallback>
        </mc:AlternateContent>
      </w:r>
      <w:r/>
    </w:p>
    <w:p>
      <w:pPr>
        <w:pStyle w:val="732"/>
        <w:pBdr/>
        <w:spacing/>
        <w:ind/>
        <w:rPr/>
      </w:pPr>
      <w:r>
        <w:rPr>
          <w:b/>
          <w:bCs/>
          <w:color w:val="241a61"/>
          <w:sz w:val="18"/>
          <w:szCs w:val="18"/>
        </w:rPr>
        <w:t xml:space="preserve">Figura 2. </w:t>
      </w:r>
      <w:r>
        <w:rPr>
          <w:sz w:val="18"/>
          <w:szCs w:val="18"/>
        </w:rPr>
        <w:t xml:space="preserve">Proceso actual de la cédula arbitral.</w:t>
      </w:r>
      <w:r/>
    </w:p>
    <w:p>
      <w:pPr>
        <w:pStyle w:val="726"/>
        <w:pBdr/>
        <w:spacing/>
        <w:ind/>
        <w:rPr/>
      </w:pPr>
      <w:r/>
      <w:bookmarkStart w:id="37" w:name="_Toc100037"/>
      <w:r>
        <w:t xml:space="preserve">1.5.3.3 Modelo conceptual del dominio</w:t>
      </w:r>
      <w:bookmarkEnd w:id="37"/>
      <w:r/>
      <w:r/>
    </w:p>
    <w:p>
      <w:pPr>
        <w:keepNext w:val="true"/>
        <w:pBdr/>
        <w:spacing/>
        <w:ind/>
        <w:rPr/>
      </w:pPr>
      <w:r>
        <w:t xml:space="preserve">La Figura 3 muestra los conceptos principales del dominio y sus relaciones. Las cardinalidades son hipótesis por validar con la Liga [REF-06, diap. 31]. Por ejemplo, la relación entre «Registro de jugador» y «Credencial» sigue </w:t>
      </w:r>
      <w:r>
        <w:rPr>
          <w:b/>
          <w:bCs/>
          <w:color w:val="9c4a00"/>
          <w:shd w:val="clear" w:color="auto" w:fill="fff2cc"/>
        </w:rPr>
        <w:t xml:space="preserve">[POR DEFINIR]</w:t>
      </w:r>
      <w:r>
        <w:t xml:space="preserve"> (1.3.4).</w:t>
      </w:r>
      <w:r/>
    </w:p>
    <w:p>
      <w:pPr>
        <w:keepNext w:val="true"/>
        <w:pBdr/>
        <w:spacing w:after="60" w:before="120"/>
        <w:ind/>
        <w:jc w:val="center"/>
        <w:rPr/>
      </w:pPr>
      <w:r>
        <mc:AlternateContent>
          <mc:Choice Requires="wpg">
            <w:drawing>
              <wp:inline xmlns:wp="http://schemas.openxmlformats.org/drawingml/2006/wordprocessingDrawing" distT="0" distB="0" distL="0" distR="0">
                <wp:extent cx="5852160" cy="4768426"/>
                <wp:effectExtent l="0" t="0" r="0" b="0"/>
                <wp:docPr id="3" name="Figura 3" descr="Modelo conceptual del 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Modelo conceptual del dominio"/>
                        <pic:cNvPicPr>
                          <a:picLocks noChangeAspect="1"/>
                        </pic:cNvPicPr>
                        <pic:nvPr/>
                      </pic:nvPicPr>
                      <pic:blipFill rotWithShape="1">
                        <a:blip r:embed="rId22"/>
                        <a:stretch/>
                      </pic:blipFill>
                      <pic:spPr bwMode="auto">
                        <a:xfrm>
                          <a:off x="0" y="0"/>
                          <a:ext cx="5852160" cy="4768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0.80pt;height:375.47pt;mso-wrap-distance-left:0.00pt;mso-wrap-distance-top:0.00pt;mso-wrap-distance-right:0.00pt;mso-wrap-distance-bottom:0.00pt;z-index:1;" stroked="false">
                <v:imagedata r:id="rId22" o:title=""/>
                <o:lock v:ext="edit" rotation="t"/>
              </v:shape>
            </w:pict>
          </mc:Fallback>
        </mc:AlternateContent>
      </w:r>
      <w:r/>
    </w:p>
    <w:p>
      <w:pPr>
        <w:pStyle w:val="732"/>
        <w:pBdr/>
        <w:spacing/>
        <w:ind/>
        <w:rPr/>
      </w:pPr>
      <w:r>
        <w:rPr>
          <w:b/>
          <w:bCs/>
          <w:color w:val="241a61"/>
          <w:sz w:val="18"/>
          <w:szCs w:val="18"/>
        </w:rPr>
        <w:t xml:space="preserve">Figura 3. </w:t>
      </w:r>
      <w:r>
        <w:rPr>
          <w:sz w:val="18"/>
          <w:szCs w:val="18"/>
        </w:rPr>
        <w:t xml:space="preserve">Modelo conceptual preliminar del dominio.</w:t>
      </w:r>
      <w:r/>
    </w:p>
    <w:p>
      <w:pPr>
        <w:pStyle w:val="724"/>
        <w:pBdr/>
        <w:spacing/>
        <w:ind/>
        <w:rPr/>
      </w:pPr>
      <w:r/>
      <w:bookmarkStart w:id="38" w:name="_Toc100038"/>
      <w:r>
        <w:t xml:space="preserve">1.6 Personal involucrado</w:t>
      </w:r>
      <w:bookmarkEnd w:id="38"/>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700"/>
        <w:gridCol w:w="1400"/>
        <w:gridCol w:w="1500"/>
        <w:gridCol w:w="2000"/>
        <w:gridCol w:w="1604"/>
        <w:gridCol w:w="1200"/>
      </w:tblGrid>
      <w:tr>
        <w:trPr>
          <w:cantSplit/>
          <w:tblHeader/>
        </w:trPr>
        <w:tc>
          <w:tcPr>
            <w:shd w:val="clear" w:color="auto" w:fill="241a61"/>
            <w:tcBorders/>
            <w:tcW w:w="1700" w:type="dxa"/>
            <w:vAlign w:val="center"/>
          </w:tcPr>
          <w:p>
            <w:pPr>
              <w:pStyle w:val="731"/>
              <w:pBdr/>
              <w:spacing/>
              <w:ind/>
              <w:rPr/>
            </w:pPr>
            <w:r>
              <w:rPr>
                <w:b/>
                <w:bCs/>
                <w:color w:val="ffffff"/>
              </w:rPr>
              <w:t xml:space="preserve">Nombre</w:t>
            </w:r>
            <w:r/>
          </w:p>
        </w:tc>
        <w:tc>
          <w:tcPr>
            <w:shd w:val="clear" w:color="auto" w:fill="241a61"/>
            <w:tcBorders/>
            <w:tcW w:w="1400" w:type="dxa"/>
            <w:vAlign w:val="center"/>
          </w:tcPr>
          <w:p>
            <w:pPr>
              <w:pStyle w:val="731"/>
              <w:pBdr/>
              <w:spacing/>
              <w:ind/>
              <w:rPr/>
            </w:pPr>
            <w:r>
              <w:rPr>
                <w:b/>
                <w:bCs/>
                <w:color w:val="ffffff"/>
              </w:rPr>
              <w:t xml:space="preserve">Rol</w:t>
            </w:r>
            <w:r/>
          </w:p>
        </w:tc>
        <w:tc>
          <w:tcPr>
            <w:shd w:val="clear" w:color="auto" w:fill="241a61"/>
            <w:tcBorders/>
            <w:tcW w:w="1500" w:type="dxa"/>
            <w:vAlign w:val="center"/>
          </w:tcPr>
          <w:p>
            <w:pPr>
              <w:pStyle w:val="731"/>
              <w:pBdr/>
              <w:spacing/>
              <w:ind/>
              <w:rPr/>
            </w:pPr>
            <w:r>
              <w:rPr>
                <w:b/>
                <w:bCs/>
                <w:color w:val="ffffff"/>
              </w:rPr>
              <w:t xml:space="preserve">Categoría profesional</w:t>
            </w:r>
            <w:r/>
          </w:p>
        </w:tc>
        <w:tc>
          <w:tcPr>
            <w:shd w:val="clear" w:color="auto" w:fill="241a61"/>
            <w:tcBorders/>
            <w:tcW w:w="2000" w:type="dxa"/>
            <w:vAlign w:val="center"/>
          </w:tcPr>
          <w:p>
            <w:pPr>
              <w:pStyle w:val="731"/>
              <w:pBdr/>
              <w:spacing/>
              <w:ind/>
              <w:rPr/>
            </w:pPr>
            <w:r>
              <w:rPr>
                <w:b/>
                <w:bCs/>
                <w:color w:val="ffffff"/>
              </w:rPr>
              <w:t xml:space="preserve">Responsabilidades</w:t>
            </w:r>
            <w:r/>
          </w:p>
        </w:tc>
        <w:tc>
          <w:tcPr>
            <w:shd w:val="clear" w:color="auto" w:fill="241a61"/>
            <w:tcBorders/>
            <w:tcW w:w="1604" w:type="dxa"/>
            <w:vAlign w:val="center"/>
          </w:tcPr>
          <w:p>
            <w:pPr>
              <w:pStyle w:val="731"/>
              <w:pBdr/>
              <w:spacing/>
              <w:ind/>
              <w:rPr/>
            </w:pPr>
            <w:r>
              <w:rPr>
                <w:b/>
                <w:bCs/>
                <w:color w:val="ffffff"/>
              </w:rPr>
              <w:t xml:space="preserve">Información de contacto</w:t>
            </w:r>
            <w:r/>
          </w:p>
        </w:tc>
        <w:tc>
          <w:tcPr>
            <w:shd w:val="clear" w:color="auto" w:fill="241a61"/>
            <w:tcBorders/>
            <w:tcW w:w="1200" w:type="dxa"/>
            <w:vAlign w:val="center"/>
          </w:tcPr>
          <w:p>
            <w:pPr>
              <w:pStyle w:val="731"/>
              <w:pBdr/>
              <w:spacing/>
              <w:ind/>
              <w:rPr/>
            </w:pPr>
            <w:r>
              <w:rPr>
                <w:b/>
                <w:bCs/>
                <w:color w:val="ffffff"/>
              </w:rPr>
              <w:t xml:space="preserve">Aprobación</w:t>
            </w:r>
            <w:r/>
          </w:p>
        </w:tc>
      </w:tr>
      <w:tr>
        <w:trPr>
          <w:cantSplit/>
          <w:trHeight w:val="480"/>
        </w:trPr>
        <w:tc>
          <w:tcPr>
            <w:tcBorders/>
            <w:tcW w:w="1700" w:type="dxa"/>
          </w:tcPr>
          <w:p>
            <w:pPr>
              <w:pStyle w:val="731"/>
              <w:pBdr/>
              <w:spacing/>
              <w:ind/>
              <w:rPr/>
            </w:pPr>
            <w:r/>
            <w:r/>
          </w:p>
        </w:tc>
        <w:tc>
          <w:tcPr>
            <w:tcBorders/>
            <w:tcW w:w="1400" w:type="dxa"/>
          </w:tcPr>
          <w:p>
            <w:pPr>
              <w:pStyle w:val="731"/>
              <w:pBdr/>
              <w:spacing/>
              <w:ind/>
              <w:rPr/>
            </w:pPr>
            <w:r/>
            <w:r/>
          </w:p>
        </w:tc>
        <w:tc>
          <w:tcPr>
            <w:tcBorders/>
            <w:tcW w:w="1500" w:type="dxa"/>
          </w:tcPr>
          <w:p>
            <w:pPr>
              <w:pStyle w:val="731"/>
              <w:pBdr/>
              <w:spacing/>
              <w:ind/>
              <w:rPr/>
            </w:pPr>
            <w:r/>
            <w:r/>
          </w:p>
        </w:tc>
        <w:tc>
          <w:tcPr>
            <w:tcBorders/>
            <w:tcW w:w="2000" w:type="dxa"/>
          </w:tcPr>
          <w:p>
            <w:pPr>
              <w:pStyle w:val="731"/>
              <w:pBdr/>
              <w:spacing/>
              <w:ind/>
              <w:rPr/>
            </w:pPr>
            <w:r/>
            <w:r/>
          </w:p>
        </w:tc>
        <w:tc>
          <w:tcPr>
            <w:tcBorders/>
            <w:tcW w:w="1604" w:type="dxa"/>
          </w:tcPr>
          <w:p>
            <w:pPr>
              <w:pStyle w:val="731"/>
              <w:pBdr/>
              <w:spacing/>
              <w:ind/>
              <w:rPr/>
            </w:pPr>
            <w:r/>
            <w:r/>
          </w:p>
        </w:tc>
        <w:tc>
          <w:tcPr>
            <w:tcBorders/>
            <w:tcW w:w="1200" w:type="dxa"/>
          </w:tcPr>
          <w:p>
            <w:pPr>
              <w:pStyle w:val="731"/>
              <w:pBdr/>
              <w:spacing/>
              <w:ind/>
              <w:rPr/>
            </w:pPr>
            <w:r/>
            <w:r/>
          </w:p>
        </w:tc>
      </w:tr>
      <w:tr>
        <w:trPr>
          <w:cantSplit/>
          <w:trHeight w:val="480"/>
        </w:trPr>
        <w:tc>
          <w:tcPr>
            <w:tcBorders/>
            <w:tcW w:w="1700" w:type="dxa"/>
          </w:tcPr>
          <w:p>
            <w:pPr>
              <w:pStyle w:val="731"/>
              <w:pBdr/>
              <w:spacing/>
              <w:ind/>
              <w:rPr/>
            </w:pPr>
            <w:r/>
            <w:r/>
          </w:p>
        </w:tc>
        <w:tc>
          <w:tcPr>
            <w:tcBorders/>
            <w:tcW w:w="1400" w:type="dxa"/>
          </w:tcPr>
          <w:p>
            <w:pPr>
              <w:pStyle w:val="731"/>
              <w:pBdr/>
              <w:spacing/>
              <w:ind/>
              <w:rPr/>
            </w:pPr>
            <w:r/>
            <w:r/>
          </w:p>
        </w:tc>
        <w:tc>
          <w:tcPr>
            <w:tcBorders/>
            <w:tcW w:w="1500" w:type="dxa"/>
          </w:tcPr>
          <w:p>
            <w:pPr>
              <w:pStyle w:val="731"/>
              <w:pBdr/>
              <w:spacing/>
              <w:ind/>
              <w:rPr/>
            </w:pPr>
            <w:r/>
            <w:r/>
          </w:p>
        </w:tc>
        <w:tc>
          <w:tcPr>
            <w:tcBorders/>
            <w:tcW w:w="2000" w:type="dxa"/>
          </w:tcPr>
          <w:p>
            <w:pPr>
              <w:pStyle w:val="731"/>
              <w:pBdr/>
              <w:spacing/>
              <w:ind/>
              <w:rPr/>
            </w:pPr>
            <w:r/>
            <w:r/>
          </w:p>
        </w:tc>
        <w:tc>
          <w:tcPr>
            <w:tcBorders/>
            <w:tcW w:w="1604" w:type="dxa"/>
          </w:tcPr>
          <w:p>
            <w:pPr>
              <w:pStyle w:val="731"/>
              <w:pBdr/>
              <w:spacing/>
              <w:ind/>
              <w:rPr/>
            </w:pPr>
            <w:r/>
            <w:r/>
          </w:p>
        </w:tc>
        <w:tc>
          <w:tcPr>
            <w:tcBorders/>
            <w:tcW w:w="1200" w:type="dxa"/>
          </w:tcPr>
          <w:p>
            <w:pPr>
              <w:pStyle w:val="731"/>
              <w:pBdr/>
              <w:spacing/>
              <w:ind/>
              <w:rPr/>
            </w:pPr>
            <w:r/>
            <w:r/>
          </w:p>
        </w:tc>
      </w:tr>
      <w:tr>
        <w:trPr>
          <w:cantSplit/>
          <w:trHeight w:val="480"/>
        </w:trPr>
        <w:tc>
          <w:tcPr>
            <w:tcBorders/>
            <w:tcW w:w="1700" w:type="dxa"/>
          </w:tcPr>
          <w:p>
            <w:pPr>
              <w:pStyle w:val="731"/>
              <w:pBdr/>
              <w:spacing/>
              <w:ind/>
              <w:rPr/>
            </w:pPr>
            <w:r/>
            <w:r/>
          </w:p>
        </w:tc>
        <w:tc>
          <w:tcPr>
            <w:tcBorders/>
            <w:tcW w:w="1400" w:type="dxa"/>
          </w:tcPr>
          <w:p>
            <w:pPr>
              <w:pStyle w:val="731"/>
              <w:pBdr/>
              <w:spacing/>
              <w:ind/>
              <w:rPr/>
            </w:pPr>
            <w:r/>
            <w:r/>
          </w:p>
        </w:tc>
        <w:tc>
          <w:tcPr>
            <w:tcBorders/>
            <w:tcW w:w="1500" w:type="dxa"/>
          </w:tcPr>
          <w:p>
            <w:pPr>
              <w:pStyle w:val="731"/>
              <w:pBdr/>
              <w:spacing/>
              <w:ind/>
              <w:rPr/>
            </w:pPr>
            <w:r/>
            <w:r/>
          </w:p>
        </w:tc>
        <w:tc>
          <w:tcPr>
            <w:tcBorders/>
            <w:tcW w:w="2000" w:type="dxa"/>
          </w:tcPr>
          <w:p>
            <w:pPr>
              <w:pStyle w:val="731"/>
              <w:pBdr/>
              <w:spacing/>
              <w:ind/>
              <w:rPr/>
            </w:pPr>
            <w:r/>
            <w:r/>
          </w:p>
        </w:tc>
        <w:tc>
          <w:tcPr>
            <w:tcBorders/>
            <w:tcW w:w="1604" w:type="dxa"/>
          </w:tcPr>
          <w:p>
            <w:pPr>
              <w:pStyle w:val="731"/>
              <w:pBdr/>
              <w:spacing/>
              <w:ind/>
              <w:rPr/>
            </w:pPr>
            <w:r/>
            <w:r/>
          </w:p>
        </w:tc>
        <w:tc>
          <w:tcPr>
            <w:tcBorders/>
            <w:tcW w:w="1200" w:type="dxa"/>
          </w:tcPr>
          <w:p>
            <w:pPr>
              <w:pStyle w:val="731"/>
              <w:pBdr/>
              <w:spacing/>
              <w:ind/>
              <w:rPr/>
            </w:pPr>
            <w:r/>
            <w:r/>
          </w:p>
        </w:tc>
      </w:tr>
      <w:tr>
        <w:trPr>
          <w:cantSplit/>
          <w:trHeight w:val="480"/>
        </w:trPr>
        <w:tc>
          <w:tcPr>
            <w:tcBorders/>
            <w:tcW w:w="1700" w:type="dxa"/>
          </w:tcPr>
          <w:p>
            <w:pPr>
              <w:pStyle w:val="731"/>
              <w:pBdr/>
              <w:spacing/>
              <w:ind/>
              <w:rPr/>
            </w:pPr>
            <w:r/>
            <w:r/>
          </w:p>
        </w:tc>
        <w:tc>
          <w:tcPr>
            <w:tcBorders/>
            <w:tcW w:w="1400" w:type="dxa"/>
          </w:tcPr>
          <w:p>
            <w:pPr>
              <w:pStyle w:val="731"/>
              <w:pBdr/>
              <w:spacing/>
              <w:ind/>
              <w:rPr/>
            </w:pPr>
            <w:r/>
            <w:r/>
          </w:p>
        </w:tc>
        <w:tc>
          <w:tcPr>
            <w:tcBorders/>
            <w:tcW w:w="1500" w:type="dxa"/>
          </w:tcPr>
          <w:p>
            <w:pPr>
              <w:pStyle w:val="731"/>
              <w:pBdr/>
              <w:spacing/>
              <w:ind/>
              <w:rPr/>
            </w:pPr>
            <w:r/>
            <w:r/>
          </w:p>
        </w:tc>
        <w:tc>
          <w:tcPr>
            <w:tcBorders/>
            <w:tcW w:w="2000" w:type="dxa"/>
          </w:tcPr>
          <w:p>
            <w:pPr>
              <w:pStyle w:val="731"/>
              <w:pBdr/>
              <w:spacing/>
              <w:ind/>
              <w:rPr/>
            </w:pPr>
            <w:r/>
            <w:r/>
          </w:p>
        </w:tc>
        <w:tc>
          <w:tcPr>
            <w:tcBorders/>
            <w:tcW w:w="1604" w:type="dxa"/>
          </w:tcPr>
          <w:p>
            <w:pPr>
              <w:pStyle w:val="731"/>
              <w:pBdr/>
              <w:spacing/>
              <w:ind/>
              <w:rPr/>
            </w:pPr>
            <w:r/>
            <w:r/>
          </w:p>
        </w:tc>
        <w:tc>
          <w:tcPr>
            <w:tcBorders/>
            <w:tcW w:w="1200" w:type="dxa"/>
          </w:tcPr>
          <w:p>
            <w:pPr>
              <w:pStyle w:val="731"/>
              <w:pBdr/>
              <w:spacing/>
              <w:ind/>
              <w:rPr/>
            </w:pPr>
            <w:r/>
            <w:r/>
          </w:p>
        </w:tc>
      </w:tr>
    </w:tbl>
    <w:p>
      <w:pPr>
        <w:pBdr/>
        <w:spacing w:after="60" w:before="0"/>
        <w:ind/>
        <w:rPr/>
      </w:pPr>
      <w:r/>
      <w:r/>
    </w:p>
    <w:sectPr>
      <w:headerReference w:type="default" r:id="rId9"/>
      <w:headerReference w:type="first" r:id="rId10"/>
      <w:footerReference w:type="default" r:id="rId11"/>
      <w:footerReference w:type="first" r:id="rId12"/>
      <w:footnotePr/>
      <w:endnotePr/>
      <w:type w:val="nextPage"/>
      <w:pgSz w:h="15840" w:orient="portrait" w:w="12240"/>
      <w:pgMar w:top="1418" w:right="1418" w:bottom="1276" w:left="1418" w:header="708"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8"/>
      <w:pBdr/>
      <w:tabs>
        <w:tab w:val="right" w:leader="none" w:pos="9404"/>
      </w:tabs>
      <w:spacing/>
      <w:ind/>
      <w:rPr/>
    </w:pPr>
    <w:r>
      <w:rPr>
        <w:color w:val="595959"/>
        <w:sz w:val="16"/>
        <w:szCs w:val="16"/>
      </w:rPr>
      <w:t xml:space="preserve">Liga Municipal de Fútbol Amateur de Morelia, A.C.</w:t>
    </w:r>
    <w:r>
      <w:rPr>
        <w:sz w:val="16"/>
        <w:szCs w:val="16"/>
      </w:rPr>
      <w:tab/>
    </w:r>
    <w:r>
      <w:rPr>
        <w:color w:val="595959"/>
        <w:sz w:val="16"/>
        <w:szCs w:val="16"/>
      </w:rPr>
      <w:t xml:space="preserve">Página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 xml:space="preserve">1</w:t>
    </w:r>
    <w:r>
      <w:rPr>
        <w:color w:val="595959"/>
        <w:sz w:val="16"/>
      </w:rPr>
      <w:fldChar w:fldCharType="end"/>
    </w:r>
    <w:r>
      <w:rPr>
        <w:color w:val="595959"/>
        <w:sz w:val="16"/>
        <w:szCs w:val="16"/>
      </w:rPr>
      <w:t xml:space="preserve"> de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 xml:space="preserve">1</w:t>
    </w:r>
    <w:r>
      <w:rPr>
        <w:color w:val="595959"/>
        <w:sz w:val="16"/>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7"/>
      <w:pBdr>
        <w:bottom w:val="single" w:color="bfbfbf" w:sz="4" w:space="4"/>
      </w:pBdr>
      <w:spacing/>
      <w:ind/>
      <w:jc w:val="right"/>
      <w:rPr/>
    </w:pPr>
    <w:r>
      <w:rPr>
        <w:color w:val="595959"/>
        <w:sz w:val="16"/>
        <w:szCs w:val="16"/>
      </w:rPr>
      <w:t xml:space="preserve">ERS · Sistema de Gestión de la Liga Municipal de Futbol Amateur Morelia</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283" w:left="567"/>
      </w:pPr>
      <w:rPr>
        <w:rFonts w:hint="default" w:ascii="Arial" w:hAnsi="Arial"/>
      </w:rPr>
      <w:start w:val="1"/>
      <w:suff w:val="tab"/>
    </w:lvl>
    <w:lvl w:ilvl="1">
      <w:isLgl w:val="false"/>
      <w:lvlJc w:val="left"/>
      <w:lvlText w:val="–"/>
      <w:numFmt w:val="bullet"/>
      <w:pPr>
        <w:pBdr/>
        <w:spacing/>
        <w:ind w:hanging="283" w:left="1004"/>
      </w:pPr>
      <w:rPr>
        <w:rFonts w:hint="default" w:ascii="Arial" w:hAnsi="Arial"/>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
      <w:numFmt w:val="bullet"/>
      <w:pPr>
        <w:pBdr/>
        <w:spacing/>
        <w:ind w:hanging="170" w:left="198"/>
      </w:pPr>
      <w:rPr>
        <w:rFonts w:hint="default" w:ascii="Arial" w:hAnsi="Aria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283" w:left="567"/>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1"/>
        <w:szCs w:val="21"/>
        <w:lang w:val="es-MX" w:eastAsia="es-MX" w:bidi="ar-SA"/>
      </w:rPr>
    </w:rPrDefault>
    <w:pPrDefault>
      <w:pPr>
        <w:pBdr/>
        <w:spacing w:after="120" w:afterAutospacing="0" w:before="0" w:beforeAutospacing="0" w:line="264"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722"/>
    <w:next w:val="72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22"/>
    <w:next w:val="72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22"/>
    <w:next w:val="72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2"/>
    <w:next w:val="72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2"/>
    <w:next w:val="72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6"/>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7"/>
    <w:uiPriority w:val="10"/>
    <w:pPr>
      <w:pBdr/>
      <w:spacing/>
      <w:ind/>
    </w:pPr>
    <w:rPr>
      <w:rFonts w:ascii="Arial" w:hAnsi="Arial" w:eastAsia="Arial" w:cs="Arial"/>
      <w:spacing w:val="-10"/>
      <w:sz w:val="56"/>
      <w:szCs w:val="56"/>
    </w:rPr>
  </w:style>
  <w:style w:type="character" w:styleId="162">
    <w:name w:val="Subtitle Char"/>
    <w:basedOn w:val="148"/>
    <w:link w:val="728"/>
    <w:uiPriority w:val="11"/>
    <w:pPr>
      <w:pBdr/>
      <w:spacing/>
      <w:ind/>
    </w:pPr>
    <w:rPr>
      <w:color w:val="595959" w:themeColor="text1" w:themeTint="A6"/>
      <w:spacing w:val="15"/>
      <w:sz w:val="28"/>
      <w:szCs w:val="28"/>
    </w:rPr>
  </w:style>
  <w:style w:type="paragraph" w:styleId="163">
    <w:name w:val="Quote"/>
    <w:basedOn w:val="722"/>
    <w:next w:val="722"/>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22"/>
    <w:next w:val="72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22"/>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character" w:styleId="177">
    <w:name w:val="Header Char"/>
    <w:basedOn w:val="148"/>
    <w:link w:val="737"/>
    <w:uiPriority w:val="99"/>
    <w:pPr>
      <w:pBdr/>
      <w:spacing/>
      <w:ind/>
    </w:pPr>
  </w:style>
  <w:style w:type="character" w:styleId="179">
    <w:name w:val="Footer Char"/>
    <w:basedOn w:val="148"/>
    <w:link w:val="738"/>
    <w:uiPriority w:val="99"/>
    <w:pPr>
      <w:pBdr/>
      <w:spacing/>
      <w:ind/>
    </w:pPr>
  </w:style>
  <w:style w:type="paragraph" w:styleId="181">
    <w:name w:val="footnote text"/>
    <w:basedOn w:val="722"/>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22"/>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92">
    <w:name w:val="toc 4"/>
    <w:basedOn w:val="722"/>
    <w:next w:val="722"/>
    <w:uiPriority w:val="39"/>
    <w:unhideWhenUsed/>
    <w:pPr>
      <w:pBdr/>
      <w:spacing w:after="100"/>
      <w:ind w:left="660"/>
    </w:pPr>
  </w:style>
  <w:style w:type="paragraph" w:styleId="193">
    <w:name w:val="toc 5"/>
    <w:basedOn w:val="722"/>
    <w:next w:val="722"/>
    <w:uiPriority w:val="39"/>
    <w:unhideWhenUsed/>
    <w:pPr>
      <w:pBdr/>
      <w:spacing w:after="100"/>
      <w:ind w:left="880"/>
    </w:pPr>
  </w:style>
  <w:style w:type="paragraph" w:styleId="194">
    <w:name w:val="toc 6"/>
    <w:basedOn w:val="722"/>
    <w:next w:val="722"/>
    <w:uiPriority w:val="39"/>
    <w:unhideWhenUsed/>
    <w:pPr>
      <w:pBdr/>
      <w:spacing w:after="100"/>
      <w:ind w:left="1100"/>
    </w:pPr>
  </w:style>
  <w:style w:type="paragraph" w:styleId="195">
    <w:name w:val="toc 7"/>
    <w:basedOn w:val="722"/>
    <w:next w:val="722"/>
    <w:uiPriority w:val="39"/>
    <w:unhideWhenUsed/>
    <w:pPr>
      <w:pBdr/>
      <w:spacing w:after="100"/>
      <w:ind w:left="1320"/>
    </w:pPr>
  </w:style>
  <w:style w:type="paragraph" w:styleId="196">
    <w:name w:val="toc 8"/>
    <w:basedOn w:val="722"/>
    <w:next w:val="722"/>
    <w:uiPriority w:val="39"/>
    <w:unhideWhenUsed/>
    <w:pPr>
      <w:pBdr/>
      <w:spacing w:after="100"/>
      <w:ind w:left="1540"/>
    </w:pPr>
  </w:style>
  <w:style w:type="paragraph" w:styleId="197">
    <w:name w:val="toc 9"/>
    <w:basedOn w:val="722"/>
    <w:next w:val="722"/>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2"/>
    <w:next w:val="722"/>
    <w:uiPriority w:val="99"/>
    <w:unhideWhenUsed/>
    <w:pPr>
      <w:pBdr/>
      <w:spacing w:after="0" w:afterAutospacing="0"/>
      <w:ind/>
    </w:pPr>
  </w:style>
  <w:style w:type="paragraph" w:styleId="722" w:default="1">
    <w:name w:val="Normal"/>
    <w:qFormat/>
    <w:pPr>
      <w:pBdr/>
      <w:spacing/>
      <w:ind/>
      <w:jc w:val="both"/>
    </w:pPr>
  </w:style>
  <w:style w:type="paragraph" w:styleId="723">
    <w:name w:val="Heading 1"/>
    <w:basedOn w:val="722"/>
    <w:next w:val="722"/>
    <w:qFormat/>
    <w:pPr>
      <w:keepNext w:val="true"/>
      <w:keepLines w:val="true"/>
      <w:pBdr/>
      <w:spacing w:after="200" w:before="360"/>
      <w:ind/>
      <w:jc w:val="left"/>
      <w:outlineLvl w:val="0"/>
    </w:pPr>
    <w:rPr>
      <w:b/>
      <w:bCs/>
      <w:color w:val="241a61"/>
      <w:sz w:val="34"/>
      <w:szCs w:val="34"/>
    </w:rPr>
  </w:style>
  <w:style w:type="paragraph" w:styleId="724">
    <w:name w:val="Heading 2"/>
    <w:basedOn w:val="722"/>
    <w:next w:val="722"/>
    <w:qFormat/>
    <w:pPr>
      <w:keepNext w:val="true"/>
      <w:keepLines w:val="true"/>
      <w:pBdr/>
      <w:spacing w:after="140" w:before="320"/>
      <w:ind/>
      <w:jc w:val="left"/>
      <w:outlineLvl w:val="1"/>
    </w:pPr>
    <w:rPr>
      <w:b/>
      <w:bCs/>
      <w:color w:val="241a61"/>
      <w:sz w:val="27"/>
      <w:szCs w:val="27"/>
    </w:rPr>
  </w:style>
  <w:style w:type="paragraph" w:styleId="725">
    <w:name w:val="Heading 3"/>
    <w:basedOn w:val="722"/>
    <w:next w:val="722"/>
    <w:qFormat/>
    <w:pPr>
      <w:keepNext w:val="true"/>
      <w:keepLines w:val="true"/>
      <w:pBdr/>
      <w:spacing w:after="100" w:before="240"/>
      <w:ind/>
      <w:jc w:val="left"/>
      <w:outlineLvl w:val="2"/>
    </w:pPr>
    <w:rPr>
      <w:b/>
      <w:bCs/>
      <w:color w:val="241a61"/>
      <w:sz w:val="23"/>
      <w:szCs w:val="23"/>
    </w:rPr>
  </w:style>
  <w:style w:type="paragraph" w:styleId="726">
    <w:name w:val="Heading 4"/>
    <w:basedOn w:val="722"/>
    <w:next w:val="722"/>
    <w:qFormat/>
    <w:pPr>
      <w:keepNext w:val="true"/>
      <w:keepLines w:val="true"/>
      <w:pBdr/>
      <w:spacing w:after="80" w:before="200"/>
      <w:ind/>
      <w:jc w:val="left"/>
      <w:outlineLvl w:val="3"/>
    </w:pPr>
    <w:rPr>
      <w:b/>
      <w:bCs/>
      <w:i/>
      <w:color w:val="333333"/>
      <w:sz w:val="21"/>
      <w:szCs w:val="21"/>
    </w:rPr>
  </w:style>
  <w:style w:type="paragraph" w:styleId="727">
    <w:name w:val="Title"/>
    <w:basedOn w:val="722"/>
    <w:qFormat/>
    <w:pPr>
      <w:pBdr/>
      <w:spacing w:after="160"/>
      <w:ind/>
      <w:jc w:val="left"/>
    </w:pPr>
    <w:rPr>
      <w:b/>
      <w:bCs/>
      <w:color w:val="241a61"/>
      <w:sz w:val="56"/>
      <w:szCs w:val="56"/>
    </w:rPr>
  </w:style>
  <w:style w:type="paragraph" w:styleId="728">
    <w:name w:val="Subtitle"/>
    <w:basedOn w:val="722"/>
    <w:qFormat/>
    <w:pPr>
      <w:pBdr/>
      <w:spacing w:after="120"/>
      <w:ind/>
      <w:jc w:val="left"/>
    </w:pPr>
    <w:rPr>
      <w:color w:val="333333"/>
      <w:sz w:val="32"/>
      <w:szCs w:val="32"/>
    </w:rPr>
  </w:style>
  <w:style w:type="paragraph" w:styleId="729">
    <w:name w:val="Encabezado sin numeración"/>
    <w:basedOn w:val="722"/>
    <w:next w:val="722"/>
    <w:pPr>
      <w:keepNext w:val="true"/>
      <w:pBdr/>
      <w:spacing w:after="200" w:before="0"/>
      <w:ind/>
      <w:jc w:val="left"/>
    </w:pPr>
    <w:rPr>
      <w:b/>
      <w:bCs/>
      <w:color w:val="241a61"/>
      <w:sz w:val="30"/>
      <w:szCs w:val="30"/>
    </w:rPr>
  </w:style>
  <w:style w:type="paragraph" w:styleId="730">
    <w:name w:val="List Paragraph"/>
    <w:basedOn w:val="722"/>
    <w:qFormat/>
    <w:pPr>
      <w:pBdr/>
      <w:spacing w:after="60"/>
      <w:ind w:left="720"/>
      <w:contextualSpacing w:val="true"/>
    </w:pPr>
  </w:style>
  <w:style w:type="paragraph" w:styleId="731">
    <w:name w:val="Texto de tabla"/>
    <w:basedOn w:val="722"/>
    <w:pPr>
      <w:pBdr/>
      <w:spacing w:after="20" w:before="0" w:line="240" w:lineRule="auto"/>
      <w:ind/>
      <w:jc w:val="left"/>
    </w:pPr>
    <w:rPr>
      <w:sz w:val="17"/>
      <w:szCs w:val="17"/>
    </w:rPr>
  </w:style>
  <w:style w:type="paragraph" w:styleId="732">
    <w:name w:val="Caption"/>
    <w:basedOn w:val="722"/>
    <w:next w:val="722"/>
    <w:qFormat/>
    <w:pPr>
      <w:pBdr/>
      <w:spacing w:after="160" w:before="60"/>
      <w:ind/>
      <w:jc w:val="center"/>
    </w:pPr>
    <w:rPr>
      <w:color w:val="404040"/>
      <w:sz w:val="18"/>
      <w:szCs w:val="18"/>
    </w:rPr>
  </w:style>
  <w:style w:type="paragraph" w:styleId="733">
    <w:name w:val="Nota"/>
    <w:basedOn w:val="722"/>
    <w:pPr>
      <w:pBdr/>
      <w:shd w:val="clear" w:color="auto" w:fill="f2f2f2"/>
      <w:spacing w:after="160" w:before="80" w:line="252" w:lineRule="auto"/>
      <w:ind w:right="113" w:left="113"/>
    </w:pPr>
    <w:rPr>
      <w:sz w:val="19"/>
      <w:szCs w:val="19"/>
    </w:rPr>
  </w:style>
  <w:style w:type="paragraph" w:styleId="734">
    <w:name w:val="toc 1"/>
    <w:basedOn w:val="722"/>
    <w:next w:val="722"/>
    <w:pPr>
      <w:pBdr/>
      <w:tabs>
        <w:tab w:val="right" w:leader="dot" w:pos="9404"/>
      </w:tabs>
      <w:spacing w:after="20" w:before="80" w:line="240" w:lineRule="auto"/>
      <w:ind/>
      <w:jc w:val="left"/>
    </w:pPr>
    <w:rPr>
      <w:b/>
      <w:bCs/>
    </w:rPr>
  </w:style>
  <w:style w:type="paragraph" w:styleId="735">
    <w:name w:val="toc 2"/>
    <w:basedOn w:val="722"/>
    <w:next w:val="722"/>
    <w:pPr>
      <w:pBdr/>
      <w:tabs>
        <w:tab w:val="right" w:leader="dot" w:pos="9404"/>
      </w:tabs>
      <w:spacing w:after="10" w:before="0" w:line="240" w:lineRule="auto"/>
      <w:ind w:left="284"/>
      <w:jc w:val="left"/>
    </w:pPr>
  </w:style>
  <w:style w:type="paragraph" w:styleId="736">
    <w:name w:val="toc 3"/>
    <w:basedOn w:val="722"/>
    <w:next w:val="722"/>
    <w:pPr>
      <w:pBdr/>
      <w:tabs>
        <w:tab w:val="right" w:leader="dot" w:pos="9404"/>
      </w:tabs>
      <w:spacing w:after="0" w:before="0" w:line="240" w:lineRule="auto"/>
      <w:ind w:left="567"/>
      <w:jc w:val="left"/>
    </w:pPr>
    <w:rPr>
      <w:sz w:val="19"/>
      <w:szCs w:val="19"/>
    </w:rPr>
  </w:style>
  <w:style w:type="paragraph" w:styleId="737">
    <w:name w:val="Header"/>
    <w:basedOn w:val="722"/>
    <w:pPr>
      <w:pBdr/>
      <w:spacing w:after="0"/>
      <w:ind/>
    </w:pPr>
  </w:style>
  <w:style w:type="paragraph" w:styleId="738">
    <w:name w:val="Footer"/>
    <w:basedOn w:val="722"/>
    <w:pPr>
      <w:pBdr/>
      <w:spacing w:after="0"/>
      <w:ind/>
    </w:pPr>
  </w:style>
  <w:style w:type="character" w:styleId="739">
    <w:name w:val="Hyperlink"/>
    <w:pPr>
      <w:pBdr/>
      <w:spacing/>
      <w:ind/>
    </w:pPr>
    <w:rPr>
      <w:color w:val="1f4e9a"/>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yperlink" Target="https://www.iso.org/standard/72089.html" TargetMode="External"/><Relationship Id="rId14" Type="http://schemas.openxmlformats.org/officeDocument/2006/relationships/hyperlink" Target="https://www.diputados.gob.mx/LeyesBiblio/pdf/LFPDPPP.pdf" TargetMode="External"/><Relationship Id="rId15" Type="http://schemas.openxmlformats.org/officeDocument/2006/relationships/hyperlink" Target="https://imcufide.org/nosotros/" TargetMode="External"/><Relationship Id="rId16" Type="http://schemas.openxmlformats.org/officeDocument/2006/relationships/hyperlink" Target="https://www.contramuro.com/convocatoria-para-liga-municipal-de-futbol-morelia-2025-2026/" TargetMode="External"/><Relationship Id="rId17" Type="http://schemas.openxmlformats.org/officeDocument/2006/relationships/hyperlink" Target="https://www.contramuro.com/liga-municipal-futbol-morelia-regresa-2025-2026/" TargetMode="External"/><Relationship Id="rId18" Type="http://schemas.openxmlformats.org/officeDocument/2006/relationships/hyperlink" Target="https://www.contramuro.com/liga-municipal-futbol-amateur-morelia-2025-26/" TargetMode="External"/><Relationship Id="rId19" Type="http://schemas.openxmlformats.org/officeDocument/2006/relationships/hyperlink" Target="https://www.respuesta.com.mx/deportes-secciones/programacion-oficial-de-la-liga-municipal-de-fut-bol-amateur-morelia-a-c-2/"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 Sistema de Gestión de la Liga Municipal de Futbol Amateur Morelia</dc:title>
  <dc:language>es-MX</dc:language>
  <cp:revision>1</cp:revision>
  <dcterms:created xsi:type="dcterms:W3CDTF">2026-10-05T00:00:00Z</dcterms:created>
  <dcterms:modified xsi:type="dcterms:W3CDTF">2026-10-05T18:51:22Z</dcterms:modified>
</cp:coreProperties>
</file>