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3"/>
        <w:pBdr/>
        <w:spacing/>
        <w:ind/>
        <w:rPr/>
      </w:pPr>
      <w:r/>
      <w:bookmarkStart w:id="1" w:name="_Toc100001"/>
      <w:r>
        <w:t xml:space="preserve">1. Introducción</w:t>
      </w:r>
      <w:bookmarkEnd w:id="1"/>
      <w:r/>
      <w:r/>
    </w:p>
    <w:p>
      <w:pPr>
        <w:pBdr/>
        <w:spacing/>
        <w:ind/>
        <w:rPr/>
      </w:pPr>
      <w:r>
        <w:t xml:space="preserve">Este documento es la Especificación de Requisitos de Software (ERS) del Sistema de Gestión de la Liga Municip</w:t>
      </w:r>
      <w:r>
        <w:t xml:space="preserve">al de Futbol Amateur Morelia (en adelante, «el Sistema»). Se elabora conforme a ISO/IEC/IEEE 29148:2018 [REF-09]; IEEE Std 830-1998 [REF-10] se usa solo como antecedente de la plantilla de referencia [REF-08].</w:t>
      </w:r>
      <w:r/>
    </w:p>
    <w:p>
      <w:pPr>
        <w:pBdr/>
        <w:spacing/>
        <w:ind/>
        <w:rPr/>
      </w:pPr>
      <w:r>
        <w:t xml:space="preserve">Cada afirmación indica su fuente [REF-xx] (ver 1.5) y, cuando hace falta, su tipo: </w:t>
      </w:r>
      <w:r>
        <w:rPr>
          <w:b/>
          <w:bCs/>
        </w:rPr>
        <w:t xml:space="preserve">hecho</w:t>
      </w:r>
      <w:r>
        <w:t xml:space="preserve"> (dato observado o informado), </w:t>
      </w:r>
      <w:r>
        <w:rPr>
          <w:b/>
          <w:bCs/>
        </w:rPr>
        <w:t xml:space="preserve">norma</w:t>
      </w:r>
      <w:r>
        <w:t xml:space="preserve"> (disposición de un documento normativo) o </w:t>
      </w:r>
      <w:r>
        <w:rPr>
          <w:b/>
          <w:bCs/>
        </w:rPr>
        <w:t xml:space="preserve">propuesta</w:t>
      </w:r>
      <w:r>
        <w:t xml:space="preserve"> (recomendación del análisis). Los datos que aún no se conocen se marcan como </w:t>
      </w:r>
      <w:r>
        <w:rPr>
          <w:b/>
          <w:bCs/>
          <w:color w:val="9c4a00"/>
          <w:shd w:val="clear" w:color="auto" w:fill="fff2cc"/>
        </w:rPr>
        <w:t xml:space="preserve">[POR DEFINIR]</w:t>
      </w:r>
      <w:r>
        <w:t xml:space="preserve">.</w:t>
      </w:r>
      <w:r/>
    </w:p>
    <w:p>
      <w:pPr>
        <w:pStyle w:val="704"/>
        <w:pBdr/>
        <w:spacing/>
        <w:ind/>
        <w:rPr/>
      </w:pPr>
      <w:r/>
      <w:bookmarkStart w:id="2" w:name="_Toc100002"/>
      <w:r>
        <w:t xml:space="preserve">1.1 Propósito</w:t>
      </w:r>
      <w:bookmarkEnd w:id="2"/>
      <w:r/>
      <w:r/>
    </w:p>
    <w:p>
      <w:pPr>
        <w:pBdr/>
        <w:spacing/>
        <w:ind/>
        <w:rPr/>
      </w:pPr>
      <w:r>
        <w:t xml:space="preserve">Este ERS define de f</w:t>
      </w:r>
      <w:r>
        <w:t xml:space="preserve">orma verificable qué debe hacer el Sistema y qué queda fuera de su alcance. Es la base para el diseño, la construcción, las pruebas y el mantenimiento, y mantiene la trazabilidad entre las necesidades de la Liga, sus documentos normativos y los requisitos.</w:t>
      </w:r>
      <w:r/>
    </w:p>
    <w:p>
      <w:pPr>
        <w:pBdr/>
        <w:spacing/>
        <w:ind/>
        <w:rPr/>
      </w:pPr>
      <w:r>
        <w:t xml:space="preserve">El Sistema reemplazará el manejo manual de la información deportiva y administrativa de la Liga, que hoy se lleva en papel, en hojas de cálculo de Excel exportadas a imágenes y en p</w:t>
      </w:r>
      <w:r>
        <w:t xml:space="preserve">ublicaciones de Facebook [REF-07, P11]. Concentrará en una aplicación web la gestión de clubes, equipos, jugadores, programación, resultados, tablas, disciplina y aportaciones económicas, y publicará la información oficial en un portal de consulta pública.</w:t>
      </w:r>
      <w:r/>
    </w:p>
    <w:p>
      <w:pPr>
        <w:pBdr/>
        <w:spacing/>
        <w:ind/>
        <w:rPr/>
      </w:pPr>
      <w:r>
        <w:t xml:space="preserve">Sus lectores son el equ</w:t>
      </w:r>
      <w:r>
        <w:t xml:space="preserve">ipo de desarrollo y pruebas, el revisor académico del proyecto, los directivos de la Liga como fuente de validación de la información y quienes mantengan el Sistema en el futuro. El documento no requiere aprobación formal de la Liga [REF-07, aclaraciones].</w:t>
      </w:r>
      <w:r/>
    </w:p>
    <w:p>
      <w:pPr>
        <w:pStyle w:val="704"/>
        <w:pBdr/>
        <w:spacing/>
        <w:ind/>
        <w:rPr/>
      </w:pPr>
      <w:r/>
      <w:bookmarkStart w:id="3" w:name="_Toc100003"/>
      <w:r>
        <w:t xml:space="preserve">1.2 Alcance</w:t>
      </w:r>
      <w:bookmarkEnd w:id="3"/>
      <w:r/>
      <w:r/>
    </w:p>
    <w:p>
      <w:pPr>
        <w:pBdr/>
        <w:spacing/>
        <w:ind/>
        <w:rPr/>
      </w:pPr>
      <w:r>
        <w:t xml:space="preserve">El producto es el Sistema de Gestión de la Liga Municipal de Futbol Amateur Morelia</w:t>
      </w:r>
      <w:r>
        <w:t xml:space="preserve">, para la Liga Municipal de Fútbol Amateur de Morelia, Asociación Civil (también conocida como Liga Municipal de Futbol Amateur Morelia A.C.) [REF-07, P8]. Es un producto nuevo: no reemplaza otro sistema, sino procesos manuales [REF-07, P17]. Será una apli</w:t>
      </w:r>
      <w:r>
        <w:t xml:space="preserve">cación web que depende totalmente de la conexión a Internet. Tendrán cuenta propia los integrantes de la Liga, los clubes (presidentes y delegados), los árbitros y los jugadores; el público consultará la información sin cuenta [REF-07, P20 y aclaraciones].</w:t>
      </w:r>
      <w:r/>
    </w:p>
    <w:p>
      <w:pPr>
        <w:pBdr/>
        <w:spacing/>
        <w:ind/>
        <w:rPr/>
      </w:pPr>
      <w:r>
        <w:rPr>
          <w:b/>
          <w:bCs/>
          <w:color w:val="241a61"/>
        </w:rPr>
        <w:t xml:space="preserve">Situación actual. </w:t>
      </w:r>
      <w:r>
        <w:t xml:space="preserve">Todo se lleva a mano, incluida la programación [REF-07, P11]. Elaborar la programación toma algunas horas y publicarla otras tantas [REF-07, aclaraciones]. Cada partido se documenta en una cédula de papel que viaja de la cancha al colegio de árbitros y </w:t>
      </w:r>
      <w:r>
        <w:t xml:space="preserve">de ahí a las oficinas de la Liga los lunes o martes, donde se captura en Excel y se dictaminan las suspensiones; el boletín de castigados se publica en Facebook [REF-07, P19]. La programación se difunde como imagen o PDF en portales locales [REF-07, P18]. </w:t>
      </w:r>
      <w:r>
        <w:rPr>
          <w:b/>
          <w:bCs/>
        </w:rPr>
        <w:t xml:space="preserve">Hecho.</w:t>
      </w:r>
      <w:r/>
    </w:p>
    <w:p>
      <w:pPr>
        <w:keepNext w:val="true"/>
        <w:pBdr/>
        <w:spacing/>
        <w:ind/>
        <w:rPr/>
      </w:pPr>
      <w:r>
        <w:t xml:space="preserve">La Tabla 1 resume los problemas actuales y el objetivo del Sistema para cada uno.</w:t>
      </w:r>
      <w:r/>
    </w:p>
    <w:p>
      <w:pPr>
        <w:pStyle w:val="707"/>
        <w:keepNext w:val="true"/>
        <w:pBdr/>
        <w:spacing/>
        <w:ind/>
        <w:rPr/>
      </w:pPr>
      <w:r>
        <w:rPr>
          <w:b/>
          <w:bCs/>
          <w:color w:val="241a61"/>
          <w:sz w:val="18"/>
          <w:szCs w:val="18"/>
        </w:rPr>
        <w:t xml:space="preserve">Tabla 1. </w:t>
      </w:r>
      <w:r>
        <w:rPr>
          <w:sz w:val="18"/>
          <w:szCs w:val="18"/>
        </w:rPr>
        <w:t xml:space="preserve">Problemas actuales y objetivos del Sistema.</w:t>
      </w:r>
      <w:r/>
    </w:p>
    <w:tbl>
      <w:tblPr>
        <w:tblW w:w="9404" w:type="dxa"/>
        <w:tblCellMar>
          <w:left w:w="90" w:type="dxa"/>
          <w:top w:w="45" w:type="dxa"/>
          <w:right w:w="90" w:type="dxa"/>
          <w:bottom w:w="45" w:type="dxa"/>
        </w:tblCellMar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3900"/>
        <w:gridCol w:w="4654"/>
      </w:tblGrid>
      <w:tr>
        <w:trPr>
          <w:cantSplit/>
          <w:tblHeader/>
        </w:trPr>
        <w:tc>
          <w:tcPr>
            <w:shd w:val="clear" w:color="auto" w:fill="241a61"/>
            <w:tcBorders/>
            <w:tcW w:w="850" w:type="dxa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ID</w:t>
            </w:r>
            <w:r/>
          </w:p>
        </w:tc>
        <w:tc>
          <w:tcPr>
            <w:shd w:val="clear" w:color="auto" w:fill="241a61"/>
            <w:tcBorders/>
            <w:tcW w:w="3900" w:type="dxa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Problema actual (hecho)</w:t>
            </w:r>
            <w:r/>
          </w:p>
        </w:tc>
        <w:tc>
          <w:tcPr>
            <w:shd w:val="clear" w:color="auto" w:fill="241a61"/>
            <w:tcBorders/>
            <w:tcW w:w="4654" w:type="dxa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Objetivo del Sistema (propuesta)</w:t>
            </w:r>
            <w:r/>
          </w:p>
        </w:tc>
      </w:tr>
      <w:tr>
        <w:trPr>
          <w:cantSplit/>
        </w:trPr>
        <w:tc>
          <w:tcPr>
            <w:tcBorders/>
            <w:tcW w:w="85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OBJ-01</w:t>
            </w:r>
            <w:r/>
          </w:p>
        </w:tc>
        <w:tc>
          <w:tcPr>
            <w:tcBorders/>
            <w:tcW w:w="3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Toda la operación es manual: programación, resultados, tablas y sanciones [REF-07].</w:t>
            </w:r>
            <w:r/>
          </w:p>
        </w:tc>
        <w:tc>
          <w:tcPr>
            <w:tcBorders/>
            <w:tcW w:w="465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Centralizar en un solo sistema clubes, equipos, jugadores, programación, resultados, sanciones y pagos.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/>
            <w:tcW w:w="85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OBJ-02</w:t>
            </w:r>
            <w:r/>
          </w:p>
        </w:tc>
        <w:tc>
          <w:tcPr>
            <w:shd w:val="clear" w:color="auto" w:fill="fafafc"/>
            <w:tcBorders/>
            <w:tcW w:w="3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Elaborar y publicar la programación toma varias horas [REF-07, aclaraciones].</w:t>
            </w:r>
            <w:r/>
          </w:p>
        </w:tc>
        <w:tc>
          <w:tcPr>
            <w:shd w:val="clear" w:color="auto" w:fill="fafafc"/>
            <w:tcBorders/>
            <w:tcW w:w="465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Reducir ese tiempo con programación asistida, detección de conflictos y publicación directa en el portal.</w:t>
            </w:r>
            <w:r/>
            <w:r/>
          </w:p>
        </w:tc>
      </w:tr>
      <w:tr>
        <w:trPr>
          <w:cantSplit/>
        </w:trPr>
        <w:tc>
          <w:tcPr>
            <w:tcBorders/>
            <w:tcW w:w="85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OBJ-03</w:t>
            </w:r>
            <w:r/>
          </w:p>
        </w:tc>
        <w:tc>
          <w:tcPr>
            <w:tcBorders/>
            <w:tcW w:w="3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Los datos de cada partido se escriben dos veces: en la cédula de papel y en Excel [REF-07].</w:t>
            </w:r>
            <w:r/>
          </w:p>
        </w:tc>
        <w:tc>
          <w:tcPr>
            <w:tcBorders/>
            <w:tcW w:w="465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Capturar una sola vez resultados e incidencias y calcular automáticamente tablas y estadísticas.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/>
            <w:tcW w:w="85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OBJ-04</w:t>
            </w:r>
            <w:r/>
          </w:p>
        </w:tc>
        <w:tc>
          <w:tcPr>
            <w:shd w:val="clear" w:color="auto" w:fill="fafafc"/>
            <w:tcBorders/>
            <w:tcW w:w="3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Las cédulas llegan a la Liga de 1 a 3 días después del partido, lo que retrasa tablas y castigados [REF-07].</w:t>
            </w:r>
            <w:r/>
          </w:p>
        </w:tc>
        <w:tc>
          <w:tcPr>
            <w:shd w:val="clear" w:color="auto" w:fill="fafafc"/>
            <w:tcBorders/>
            <w:tcW w:w="465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Acortar el tiempo entre el partido y la publicación del boletín de castigados. </w:t>
            </w:r>
            <w:r/>
            <w:r/>
          </w:p>
        </w:tc>
      </w:tr>
      <w:tr>
        <w:trPr>
          <w:cantSplit/>
        </w:trPr>
        <w:tc>
          <w:tcPr>
            <w:tcBorders/>
            <w:tcW w:w="85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OBJ-05</w:t>
            </w:r>
            <w:r/>
          </w:p>
        </w:tc>
        <w:tc>
          <w:tcPr>
            <w:tcBorders/>
            <w:tcW w:w="3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La información oficial solo existe como imágenes o PDF en Facebook y portales de terceros [REF-07].</w:t>
            </w:r>
            <w:r/>
          </w:p>
        </w:tc>
        <w:tc>
          <w:tcPr>
            <w:tcBorders/>
            <w:tcW w:w="465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Publicar toda la información oficial en un portal web consultable sin cuenta, y conservar el historial de cada temporada.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keepNext w:val="true"/>
        <w:pBdr/>
        <w:spacing/>
        <w:ind/>
        <w:rPr/>
      </w:pPr>
      <w:r>
        <w:t xml:space="preserve">El ERS especifica el Sistema c</w:t>
      </w:r>
      <w:r>
        <w:t xml:space="preserve">ompleto y prioriza lo que cabe en la primera versión, de 10 semanas [REF-07, P9]. La Tabla 2 agrupa las funciones en áreas funcionales (AF), que se detallarán como requisitos en versiones posteriores. La prioridad usa MoSCoW (Must, Should, Could) y es una </w:t>
      </w:r>
      <w:r>
        <w:rPr>
          <w:b/>
          <w:bCs/>
        </w:rPr>
        <w:t xml:space="preserve">propuesta</w:t>
      </w:r>
      <w:r>
        <w:t xml:space="preserve"> basada en el plan sugerido del documento base [REF-06].</w:t>
      </w:r>
      <w:r/>
    </w:p>
    <w:p>
      <w:pPr>
        <w:pStyle w:val="707"/>
        <w:keepNext w:val="true"/>
        <w:pBdr/>
        <w:spacing/>
        <w:ind/>
        <w:rPr/>
      </w:pPr>
      <w:r>
        <w:rPr>
          <w:b/>
          <w:bCs/>
          <w:color w:val="241a61"/>
          <w:sz w:val="18"/>
          <w:szCs w:val="18"/>
        </w:rPr>
        <w:t xml:space="preserve">Tabla 2. </w:t>
      </w:r>
      <w:r>
        <w:rPr>
          <w:sz w:val="18"/>
          <w:szCs w:val="18"/>
        </w:rPr>
        <w:t xml:space="preserve">Áreas funcionales y prioridad propuesta para la primera versión.</w:t>
      </w:r>
      <w:r/>
    </w:p>
    <w:tbl>
      <w:tblPr>
        <w:tblW w:w="9404" w:type="dxa"/>
        <w:tblCellMar>
          <w:left w:w="90" w:type="dxa"/>
          <w:top w:w="45" w:type="dxa"/>
          <w:right w:w="90" w:type="dxa"/>
          <w:bottom w:w="45" w:type="dxa"/>
        </w:tblCellMar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00"/>
        <w:gridCol w:w="4904"/>
        <w:gridCol w:w="1400"/>
      </w:tblGrid>
      <w:tr>
        <w:trPr>
          <w:cantSplit/>
          <w:tblHeader/>
        </w:trPr>
        <w:tc>
          <w:tcPr>
            <w:shd w:val="clear" w:color="auto" w:fill="241a61"/>
            <w:tcBorders/>
            <w:tcW w:w="800" w:type="dxa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ID</w:t>
            </w:r>
            <w:r/>
          </w:p>
        </w:tc>
        <w:tc>
          <w:tcPr>
            <w:shd w:val="clear" w:color="auto" w:fill="241a61"/>
            <w:tcBorders/>
            <w:tcW w:w="2300" w:type="dxa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Área funcional</w:t>
            </w:r>
            <w:r/>
          </w:p>
        </w:tc>
        <w:tc>
          <w:tcPr>
            <w:shd w:val="clear" w:color="auto" w:fill="241a61"/>
            <w:tcBorders/>
            <w:tcW w:w="4904" w:type="dxa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Alcance resumido</w:t>
            </w:r>
            <w:r/>
          </w:p>
        </w:tc>
        <w:tc>
          <w:tcPr>
            <w:shd w:val="clear" w:color="auto" w:fill="241a61"/>
            <w:tcBorders/>
            <w:tcW w:w="1400" w:type="dxa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Prioridad</w:t>
            </w:r>
            <w:r/>
          </w:p>
        </w:tc>
      </w:tr>
      <w:tr>
        <w:trPr>
          <w:cantSplit/>
        </w:trPr>
        <w:tc>
          <w:tcPr>
            <w:tcBorders/>
            <w:tcW w:w="8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AF-01</w:t>
            </w:r>
            <w:r/>
          </w:p>
        </w:tc>
        <w:tc>
          <w:tcPr>
            <w:tcBorders/>
            <w:tcW w:w="23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Organización, usuarios y permisos</w:t>
            </w:r>
            <w:r/>
          </w:p>
        </w:tc>
        <w:tc>
          <w:tcPr>
            <w:tcBorders/>
            <w:tcW w:w="49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Cuentas y permisos por rol para la Liga, clubes, árbitros y jugadores; consulta pública sin cuenta.</w:t>
            </w:r>
            <w:r/>
          </w:p>
        </w:tc>
        <w:tc>
          <w:tcPr>
            <w:tcBorders/>
            <w:tcW w:w="14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Must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/>
            <w:tcW w:w="8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AF-02</w:t>
            </w:r>
            <w:r/>
          </w:p>
        </w:tc>
        <w:tc>
          <w:tcPr>
            <w:shd w:val="clear" w:color="auto" w:fill="fafafc"/>
            <w:tcBorders/>
            <w:tcW w:w="23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Temporadas, torneos y categorías</w:t>
            </w:r>
            <w:r/>
          </w:p>
        </w:tc>
        <w:tc>
          <w:tcPr>
            <w:shd w:val="clear" w:color="auto" w:fill="fafafc"/>
            <w:tcBorders/>
            <w:tcW w:w="49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Temporada anual, torneos (liga, copa, liguilla, campeón de campeones, goleo y especiales), ramas, categorías y grupos según la convocatoria.</w:t>
            </w:r>
            <w:r/>
          </w:p>
        </w:tc>
        <w:tc>
          <w:tcPr>
            <w:shd w:val="clear" w:color="auto" w:fill="fafafc"/>
            <w:tcBorders/>
            <w:tcW w:w="14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Must (copa y torneos especiales: Could)</w:t>
            </w:r>
            <w:r/>
          </w:p>
        </w:tc>
      </w:tr>
      <w:tr>
        <w:trPr>
          <w:cantSplit/>
        </w:trPr>
        <w:tc>
          <w:tcPr>
            <w:tcBorders/>
            <w:tcW w:w="8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AF-03</w:t>
            </w:r>
            <w:r/>
          </w:p>
        </w:tc>
        <w:tc>
          <w:tcPr>
            <w:tcBorders/>
            <w:tcW w:w="23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Clubes, equipos y personas</w:t>
            </w:r>
            <w:r/>
          </w:p>
        </w:tc>
        <w:tc>
          <w:tcPr>
            <w:tcBorders/>
            <w:tcW w:w="49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Clubes, franquicias y equipos; registro de jugadores, delegados y árbitros; credenciales.</w:t>
            </w:r>
            <w:r/>
          </w:p>
        </w:tc>
        <w:tc>
          <w:tcPr>
            <w:tcBorders/>
            <w:tcW w:w="14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Must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/>
            <w:tcW w:w="8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AF-04</w:t>
            </w:r>
            <w:r/>
          </w:p>
        </w:tc>
        <w:tc>
          <w:tcPr>
            <w:shd w:val="clear" w:color="auto" w:fill="fafafc"/>
            <w:tcBorders/>
            <w:tcW w:w="23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Canchas y sedes</w:t>
            </w:r>
            <w:r/>
          </w:p>
        </w:tc>
        <w:tc>
          <w:tcPr>
            <w:shd w:val="clear" w:color="auto" w:fill="fafafc"/>
            <w:tcBorders/>
            <w:tcW w:w="49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Catálogo de canchas, disponibilidad y bloqueos (por ejemplo, por lluvia).</w:t>
            </w:r>
            <w:r/>
          </w:p>
        </w:tc>
        <w:tc>
          <w:tcPr>
            <w:shd w:val="clear" w:color="auto" w:fill="fafafc"/>
            <w:tcBorders/>
            <w:tcW w:w="14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Must</w:t>
            </w:r>
            <w:r/>
          </w:p>
        </w:tc>
      </w:tr>
      <w:tr>
        <w:trPr>
          <w:cantSplit/>
        </w:trPr>
        <w:tc>
          <w:tcPr>
            <w:tcBorders/>
            <w:tcW w:w="8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AF-05</w:t>
            </w:r>
            <w:r/>
          </w:p>
        </w:tc>
        <w:tc>
          <w:tcPr>
            <w:tcBorders/>
            <w:tcW w:w="23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Programación de partidos</w:t>
            </w:r>
            <w:r/>
          </w:p>
        </w:tc>
        <w:tc>
          <w:tcPr>
            <w:tcBorders/>
            <w:tcW w:w="49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Elaboración, ajuste y publicación por jornada; descansos; reprogramaciones; conflictos.</w:t>
            </w:r>
            <w:r/>
          </w:p>
        </w:tc>
        <w:tc>
          <w:tcPr>
            <w:tcBorders/>
            <w:tcW w:w="14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Must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/>
            <w:tcW w:w="8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AF-06</w:t>
            </w:r>
            <w:r/>
          </w:p>
        </w:tc>
        <w:tc>
          <w:tcPr>
            <w:shd w:val="clear" w:color="auto" w:fill="fafafc"/>
            <w:tcBorders/>
            <w:tcW w:w="23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Generación automática de la programación</w:t>
            </w:r>
            <w:r/>
          </w:p>
        </w:tc>
        <w:tc>
          <w:tcPr>
            <w:shd w:val="clear" w:color="auto" w:fill="fafafc"/>
            <w:tcBorders/>
            <w:tcW w:w="49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Propuesta automática de enfrentamientos, horarios y canchas, con ajuste manual.</w:t>
            </w:r>
            <w:r/>
          </w:p>
        </w:tc>
        <w:tc>
          <w:tcPr>
            <w:shd w:val="clear" w:color="auto" w:fill="fafafc"/>
            <w:tcBorders/>
            <w:tcW w:w="14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Should</w:t>
            </w:r>
            <w:r/>
          </w:p>
        </w:tc>
      </w:tr>
      <w:tr>
        <w:trPr>
          <w:cantSplit/>
        </w:trPr>
        <w:tc>
          <w:tcPr>
            <w:tcBorders/>
            <w:tcW w:w="8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AF-07</w:t>
            </w:r>
            <w:r/>
          </w:p>
        </w:tc>
        <w:tc>
          <w:tcPr>
            <w:tcBorders/>
            <w:tcW w:w="23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Partidos, cédulas y estadísticas</w:t>
            </w:r>
            <w:r/>
          </w:p>
        </w:tc>
        <w:tc>
          <w:tcPr>
            <w:tcBorders/>
            <w:tcW w:w="49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Cédula digital, resultados (incluidos los resultados por default), tablas, goleo y estadísticas.</w:t>
            </w:r>
            <w:r/>
          </w:p>
        </w:tc>
        <w:tc>
          <w:tcPr>
            <w:tcBorders/>
            <w:tcW w:w="14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Must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/>
            <w:tcW w:w="8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AF-08</w:t>
            </w:r>
            <w:r/>
          </w:p>
        </w:tc>
        <w:tc>
          <w:tcPr>
            <w:shd w:val="clear" w:color="auto" w:fill="fafafc"/>
            <w:tcBorders/>
            <w:tcW w:w="23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Disciplina</w:t>
            </w:r>
            <w:r/>
          </w:p>
        </w:tc>
        <w:tc>
          <w:tcPr>
            <w:shd w:val="clear" w:color="auto" w:fill="fafafc"/>
            <w:tcBorders/>
            <w:tcW w:w="49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Incidencias, dictamen de la Comisión Disciplinaria, suspensiones, boletín de castigados, inconformidades y recursos.</w:t>
            </w:r>
            <w:r/>
          </w:p>
        </w:tc>
        <w:tc>
          <w:tcPr>
            <w:shd w:val="clear" w:color="auto" w:fill="fafafc"/>
            <w:tcBorders/>
            <w:tcW w:w="14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Must (inconformidades y recursos: Could)</w:t>
            </w:r>
            <w:r/>
          </w:p>
        </w:tc>
      </w:tr>
      <w:tr>
        <w:trPr>
          <w:cantSplit/>
        </w:trPr>
        <w:tc>
          <w:tcPr>
            <w:tcBorders/>
            <w:tcW w:w="8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AF-09</w:t>
            </w:r>
            <w:r/>
          </w:p>
        </w:tc>
        <w:tc>
          <w:tcPr>
            <w:tcBorders/>
            <w:tcW w:w="23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Fases finales</w:t>
            </w:r>
            <w:r/>
          </w:p>
        </w:tc>
        <w:tc>
          <w:tcPr>
            <w:tcBorders/>
            <w:tcW w:w="49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Liguilla, liguilla de consolación (campeón alterno), campeón de campeones, ascensos y descensos.</w:t>
            </w:r>
            <w:r/>
          </w:p>
        </w:tc>
        <w:tc>
          <w:tcPr>
            <w:tcBorders/>
            <w:tcW w:w="14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Could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/>
            <w:tcW w:w="8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AF-10</w:t>
            </w:r>
            <w:r/>
          </w:p>
        </w:tc>
        <w:tc>
          <w:tcPr>
            <w:shd w:val="clear" w:color="auto" w:fill="fafafc"/>
            <w:tcBorders/>
            <w:tcW w:w="23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Gestión económica</w:t>
            </w:r>
            <w:r/>
          </w:p>
        </w:tc>
        <w:tc>
          <w:tcPr>
            <w:shd w:val="clear" w:color="auto" w:fill="fafafc"/>
            <w:tcBorders/>
            <w:tcW w:w="49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Cuotas, registros, arbitrajes, aportaciones y trofeos por club.</w:t>
            </w:r>
            <w:r/>
          </w:p>
        </w:tc>
        <w:tc>
          <w:tcPr>
            <w:shd w:val="clear" w:color="auto" w:fill="fafafc"/>
            <w:tcBorders/>
            <w:tcW w:w="14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Should</w:t>
            </w:r>
            <w:r/>
          </w:p>
        </w:tc>
      </w:tr>
      <w:tr>
        <w:trPr>
          <w:cantSplit/>
        </w:trPr>
        <w:tc>
          <w:tcPr>
            <w:tcBorders/>
            <w:tcW w:w="8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AF-11</w:t>
            </w:r>
            <w:r/>
          </w:p>
        </w:tc>
        <w:tc>
          <w:tcPr>
            <w:tcBorders/>
            <w:tcW w:w="23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Portal público</w:t>
            </w:r>
            <w:r/>
          </w:p>
        </w:tc>
        <w:tc>
          <w:tcPr>
            <w:tcBorders/>
            <w:tcW w:w="49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Programación, resultados, tablas, goleo, castigados y comunicados; búsqueda por fecha, categoría y equipo.</w:t>
            </w:r>
            <w:r/>
          </w:p>
        </w:tc>
        <w:tc>
          <w:tcPr>
            <w:tcBorders/>
            <w:tcW w:w="14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Must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/>
            <w:tcW w:w="8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AF-12</w:t>
            </w:r>
            <w:r/>
          </w:p>
        </w:tc>
        <w:tc>
          <w:tcPr>
            <w:shd w:val="clear" w:color="auto" w:fill="fafafc"/>
            <w:tcBorders/>
            <w:tcW w:w="23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Reportes y difusión</w:t>
            </w:r>
            <w:r/>
          </w:p>
        </w:tc>
        <w:tc>
          <w:tcPr>
            <w:shd w:val="clear" w:color="auto" w:fill="fafafc"/>
            <w:tcBorders/>
            <w:tcW w:w="49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Exportación de programación, tablas y castigados en imagen o PDF.</w:t>
            </w:r>
            <w:r/>
          </w:p>
        </w:tc>
        <w:tc>
          <w:tcPr>
            <w:shd w:val="clear" w:color="auto" w:fill="fafafc"/>
            <w:tcBorders/>
            <w:tcW w:w="14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Should</w:t>
            </w:r>
            <w:r/>
          </w:p>
        </w:tc>
      </w:tr>
      <w:tr>
        <w:trPr/>
        <w:tc>
          <w:tcPr>
            <w:shd w:val="clear" w:color="ffffff" w:fill="fafafc"/>
            <w:tcBorders/>
            <w:tcW w:w="800" w:type="dxa"/>
            <w:vMerge w:val="restart"/>
          </w:tcPr>
          <w:p w14:paraId="3DFD22AC">
            <w:pPr>
              <w:pStyle w:val="706"/>
              <w:pBdr/>
              <w:spacing/>
              <w:ind/>
              <w:rPr/>
            </w:pPr>
            <w:r>
              <w:rPr>
                <w:lang w:val="en-US"/>
              </w:rPr>
              <w:t xml:space="preserve">AF-13</w:t>
            </w:r>
            <w:r/>
          </w:p>
        </w:tc>
        <w:tc>
          <w:tcPr>
            <w:shd w:val="clear" w:color="ffffff" w:fill="fafafc"/>
            <w:tcBorders/>
            <w:tcW w:w="2300" w:type="dxa"/>
            <w:vMerge w:val="restart"/>
          </w:tcPr>
          <w:p w14:paraId="7CBE18BF">
            <w:pPr>
              <w:pStyle w:val="706"/>
              <w:pBdr/>
              <w:spacing/>
              <w:ind/>
              <w:rPr/>
            </w:pPr>
            <w:r>
              <w:rPr>
                <w:lang w:val="en-US"/>
              </w:rPr>
              <w:t xml:space="preserve">Integraci</w:t>
            </w:r>
            <w:r>
              <w:rPr>
                <w:lang w:val="en-US"/>
              </w:rPr>
              <w:t xml:space="preserve">ó</w:t>
            </w:r>
            <w:r>
              <w:rPr>
                <w:lang w:val="es-ES"/>
              </w:rPr>
              <w:t xml:space="preserve">n con correo </w:t>
            </w:r>
            <w:r/>
          </w:p>
        </w:tc>
        <w:tc>
          <w:tcPr>
            <w:shd w:val="clear" w:color="ffffff" w:fill="fafafc"/>
            <w:tcBorders/>
            <w:tcW w:w="4904" w:type="dxa"/>
            <w:vMerge w:val="restart"/>
          </w:tcPr>
          <w:p w14:paraId="1E26B4BE">
            <w:pPr>
              <w:pStyle w:val="706"/>
              <w:pBdr/>
              <w:spacing/>
              <w:ind/>
              <w:rPr/>
            </w:pPr>
            <w:r>
              <w:rPr>
                <w:lang w:val="es-ES"/>
              </w:rPr>
              <w:t xml:space="preserve">Env</w:t>
            </w:r>
            <w:r>
              <w:rPr>
                <w:lang w:val="es-ES"/>
              </w:rPr>
              <w:t xml:space="preserve">ío de avisos (para partidos, avisos importantes, pagos, etc) por correo</w:t>
            </w:r>
            <w:r/>
          </w:p>
        </w:tc>
        <w:tc>
          <w:tcPr>
            <w:shd w:val="clear" w:color="ffffff" w:fill="fafafc"/>
            <w:tcBorders/>
            <w:tcW w:w="1400" w:type="dxa"/>
            <w:vMerge w:val="restart"/>
          </w:tcPr>
          <w:p w14:paraId="4A24D251">
            <w:pPr>
              <w:pStyle w:val="706"/>
              <w:pBdr/>
              <w:spacing/>
              <w:ind/>
              <w:rPr/>
            </w:pPr>
            <w:r>
              <w:rPr>
                <w:lang w:val="es-ES"/>
              </w:rPr>
              <w:t xml:space="preserve">Should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keepNext w:val="true"/>
        <w:pBdr/>
        <w:spacing/>
        <w:ind/>
        <w:rPr/>
      </w:pPr>
      <w:r>
        <w:rPr>
          <w:b/>
          <w:bCs/>
          <w:color w:val="241a61"/>
        </w:rPr>
        <w:t xml:space="preserve">Fuera del alcance. </w:t>
      </w:r>
      <w:r>
        <w:t xml:space="preserve">No forman parte de esta versión:</w:t>
      </w:r>
      <w:r/>
    </w:p>
    <w:p>
      <w:pPr>
        <w:pStyle w:val="705"/>
        <w:numPr>
          <w:ilvl w:val="0"/>
          <w:numId w:val="1"/>
        </w:numPr>
        <w:pBdr/>
        <w:spacing/>
        <w:ind/>
        <w:rPr/>
      </w:pPr>
      <w:r>
        <w:t xml:space="preserve">Aplicación móvil instalable: el Sistema es solo web [REF-07].</w:t>
      </w:r>
      <w:r/>
    </w:p>
    <w:p>
      <w:pPr>
        <w:pStyle w:val="705"/>
        <w:numPr>
          <w:ilvl w:val="0"/>
          <w:numId w:val="1"/>
        </w:numPr>
        <w:pBdr/>
        <w:spacing/>
        <w:ind/>
        <w:rPr/>
      </w:pPr>
      <w:r>
        <w:t xml:space="preserve">Operación sin conexión: el Sistema requiere Internet [REF-07].</w:t>
      </w:r>
      <w:r/>
    </w:p>
    <w:p>
      <w:pPr>
        <w:pStyle w:val="705"/>
        <w:numPr>
          <w:ilvl w:val="0"/>
          <w:numId w:val="1"/>
        </w:numPr>
        <w:pBdr/>
        <w:spacing/>
        <w:ind/>
        <w:rPr/>
      </w:pPr>
      <w:r>
        <w:t xml:space="preserve">Migración de datos de temporadas anteriores: no prevista [REF-07].</w:t>
      </w:r>
      <w:r/>
    </w:p>
    <w:p>
      <w:pPr>
        <w:pStyle w:val="705"/>
        <w:numPr>
          <w:ilvl w:val="0"/>
          <w:numId w:val="1"/>
        </w:numPr>
        <w:pBdr/>
        <w:spacing/>
        <w:ind/>
        <w:rPr/>
      </w:pPr>
      <w:r>
        <w:t xml:space="preserve">Integraciones distintas de </w:t>
      </w:r>
      <w:r>
        <w:rPr>
          <w:lang w:val="es-ES"/>
        </w:rPr>
        <w:t xml:space="preserve">correo</w:t>
      </w:r>
      <w:r>
        <w:rPr>
          <w:lang w:val="es-ES"/>
        </w:rPr>
        <w:t xml:space="preserve"> </w:t>
      </w:r>
      <w:r>
        <w:t xml:space="preserve">(</w:t>
      </w:r>
      <w:r>
        <w:rPr>
          <w:lang w:val="es-ES"/>
        </w:rPr>
        <w:t xml:space="preserve">WhatsApp</w:t>
      </w:r>
      <w:r>
        <w:t xml:space="preserve">, SMS, mapas, API pública, autenticación externa, CSV/Excel): no incluidas [REF-07,].</w:t>
      </w:r>
      <w:r/>
    </w:p>
    <w:p>
      <w:pPr>
        <w:pStyle w:val="705"/>
        <w:numPr>
          <w:ilvl w:val="0"/>
          <w:numId w:val="1"/>
        </w:numPr>
        <w:pBdr/>
        <w:spacing/>
        <w:ind/>
        <w:rPr/>
      </w:pPr>
      <w:r>
        <w:t xml:space="preserve">Intercambio electrónico con entidades externas (IMCUFIDE, colegios de árbitros, UMSNH, sindicato del Ayuntamiento, portales de noticias): sigue por los medios actuales; el Sistema solo genera exportables (AF-12). </w:t>
      </w:r>
      <w:r>
        <w:rPr>
          <w:b/>
          <w:bCs/>
        </w:rPr>
        <w:t xml:space="preserve">Propuesta.</w:t>
      </w:r>
      <w:r/>
    </w:p>
    <w:p>
      <w:pPr>
        <w:pStyle w:val="705"/>
        <w:numPr>
          <w:ilvl w:val="0"/>
          <w:numId w:val="1"/>
        </w:numPr>
        <w:pBdr/>
        <w:spacing/>
        <w:ind/>
        <w:rPr/>
      </w:pPr>
      <w:r>
        <w:t xml:space="preserve">Trámites legales y notariales de la asociación civil. </w:t>
      </w:r>
      <w:r>
        <w:rPr>
          <w:b/>
          <w:bCs/>
        </w:rPr>
        <w:t xml:space="preserve">Propuesta.</w:t>
      </w:r>
      <w:r/>
    </w:p>
    <w:p>
      <w:pPr>
        <w:pStyle w:val="705"/>
        <w:numPr>
          <w:ilvl w:val="0"/>
          <w:numId w:val="1"/>
        </w:numPr>
        <w:pBdr/>
        <w:spacing/>
        <w:ind/>
        <w:rPr/>
      </w:pPr>
      <w:r>
        <w:t xml:space="preserve">Cobro en línea: los pagos se siguen haciendo en las oficinas de la Liga y el Sistema solo los registra. </w:t>
      </w:r>
      <w:r>
        <w:rPr>
          <w:b/>
          <w:bCs/>
        </w:rPr>
        <w:t xml:space="preserve">Propuesta.</w:t>
      </w:r>
      <w:r/>
    </w:p>
    <w:p>
      <w:pPr>
        <w:pBdr/>
        <w:spacing/>
        <w:ind/>
        <w:rPr/>
      </w:pPr>
      <w:r>
        <w:rPr>
          <w:b/>
          <w:bCs/>
          <w:color w:val="241a61"/>
        </w:rPr>
        <w:t xml:space="preserve">Restricciones y condiciones. </w:t>
      </w:r>
      <w:r/>
    </w:p>
    <w:p>
      <w:pPr>
        <w:pStyle w:val="705"/>
        <w:numPr>
          <w:ilvl w:val="0"/>
          <w:numId w:val="1"/>
        </w:numPr>
        <w:pBdr/>
        <w:spacing/>
        <w:ind/>
        <w:rPr/>
      </w:pPr>
      <w:r>
        <w:t xml:space="preserve">Durante el desarrollo, el Sistema se alojará sin costo en equipos del propio equipo de desarrollo; el hospedaje de producción se definirá cuando se planee su puesta en marcha [REF-07].</w:t>
      </w:r>
      <w:r/>
    </w:p>
    <w:p>
      <w:pPr>
        <w:pStyle w:val="705"/>
        <w:numPr>
          <w:ilvl w:val="0"/>
          <w:numId w:val="1"/>
        </w:numPr>
        <w:pBdr/>
        <w:spacing/>
        <w:ind/>
        <w:rPr/>
      </w:pPr>
      <w:r>
        <w:t xml:space="preserve">La Liga trata datos personales, incluidos los de menores de edad, por lo que aplica la LFPDPPP [REF-12; REF-07].</w:t>
      </w:r>
      <w:r/>
    </w:p>
    <w:p>
      <w:pPr>
        <w:pStyle w:val="705"/>
        <w:numPr>
          <w:ilvl w:val="0"/>
          <w:numId w:val="1"/>
        </w:numPr>
        <w:pBdr/>
        <w:spacing/>
        <w:ind/>
        <w:rPr/>
      </w:pPr>
      <w:r>
        <w:t xml:space="preserve">Las reglas cambian cada temporada (categorías, cuotas, ascensos y descensos) y deben poder actualizarse sin modificar el software. </w:t>
      </w:r>
      <w:r>
        <w:rPr>
          <w:b/>
          <w:bCs/>
        </w:rPr>
        <w:t xml:space="preserve">Propuesta</w:t>
      </w:r>
      <w:r>
        <w:t xml:space="preserve"> [REF-06].</w:t>
      </w:r>
      <w:r/>
    </w:p>
    <w:p>
      <w:pPr>
        <w:pStyle w:val="705"/>
        <w:numPr>
          <w:ilvl w:val="0"/>
          <w:numId w:val="1"/>
        </w:numPr>
        <w:pBdr/>
        <w:spacing/>
        <w:ind/>
        <w:rPr/>
      </w:pPr>
      <w:r>
        <w:t xml:space="preserve">El r</w:t>
      </w:r>
      <w:r>
        <w:t xml:space="preserve">eglamento interno de la Liga no está disponible. Como referencia se usan las Reglas de Juego de la IFAB [REF-04] y el Reglamento de Sanciones del Sector Amateur de la FMF [REF-05]; las convocatorias de la Liga prevalecen sobre ellos [REF-07, aclaraciones].</w:t>
      </w:r>
      <w:r/>
    </w:p>
    <w:p>
      <w:pPr>
        <w:pStyle w:val="704"/>
        <w:pBdr/>
        <w:spacing/>
        <w:ind/>
        <w:rPr/>
      </w:pPr>
      <w:r/>
      <w:bookmarkStart w:id="4" w:name="_Toc100004"/>
      <w:r>
        <w:t xml:space="preserve">1.3 Personal involucrado</w:t>
      </w:r>
      <w:bookmarkEnd w:id="4"/>
      <w:r/>
      <w:r/>
    </w:p>
    <w:tbl>
      <w:tblPr>
        <w:tblW w:w="9404" w:type="dxa"/>
        <w:tblCellMar>
          <w:left w:w="90" w:type="dxa"/>
          <w:top w:w="45" w:type="dxa"/>
          <w:right w:w="90" w:type="dxa"/>
          <w:bottom w:w="45" w:type="dxa"/>
        </w:tblCellMar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1400"/>
        <w:gridCol w:w="1500"/>
        <w:gridCol w:w="2000"/>
        <w:gridCol w:w="1604"/>
        <w:gridCol w:w="1200"/>
      </w:tblGrid>
      <w:tr>
        <w:trPr>
          <w:cantSplit/>
          <w:tblHeader/>
        </w:trPr>
        <w:tc>
          <w:tcPr>
            <w:shd w:val="clear" w:color="auto" w:fill="241a61"/>
            <w:tcBorders/>
            <w:tcW w:w="1700" w:type="dxa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Nombre</w:t>
            </w:r>
            <w:r/>
          </w:p>
        </w:tc>
        <w:tc>
          <w:tcPr>
            <w:shd w:val="clear" w:color="auto" w:fill="241a61"/>
            <w:tcBorders/>
            <w:tcW w:w="1400" w:type="dxa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Rol</w:t>
            </w:r>
            <w:r/>
          </w:p>
        </w:tc>
        <w:tc>
          <w:tcPr>
            <w:shd w:val="clear" w:color="auto" w:fill="241a61"/>
            <w:tcBorders/>
            <w:tcW w:w="1500" w:type="dxa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Categoría profesional</w:t>
            </w:r>
            <w:r/>
          </w:p>
        </w:tc>
        <w:tc>
          <w:tcPr>
            <w:shd w:val="clear" w:color="auto" w:fill="241a61"/>
            <w:tcBorders/>
            <w:tcW w:w="2000" w:type="dxa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Responsabilidades</w:t>
            </w:r>
            <w:r/>
          </w:p>
        </w:tc>
        <w:tc>
          <w:tcPr>
            <w:shd w:val="clear" w:color="auto" w:fill="241a61"/>
            <w:tcBorders/>
            <w:tcW w:w="1604" w:type="dxa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Información de contacto</w:t>
            </w:r>
            <w:r/>
          </w:p>
        </w:tc>
        <w:tc>
          <w:tcPr>
            <w:shd w:val="clear" w:color="auto" w:fill="241a61"/>
            <w:tcBorders/>
            <w:tcW w:w="1200" w:type="dxa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Aprobación</w:t>
            </w:r>
            <w:r/>
          </w:p>
        </w:tc>
      </w:tr>
      <w:tr>
        <w:trPr>
          <w:cantSplit/>
          <w:trHeight w:val="480"/>
        </w:trPr>
        <w:tc>
          <w:tcPr>
            <w:tcBorders/>
            <w:tcW w:w="1700" w:type="dxa"/>
          </w:tcPr>
          <w:p>
            <w:pPr>
              <w:pStyle w:val="706"/>
              <w:pBdr/>
              <w:spacing/>
              <w:ind/>
              <w:rPr/>
            </w:pPr>
            <w:r/>
            <w:r/>
          </w:p>
        </w:tc>
        <w:tc>
          <w:tcPr>
            <w:tcBorders/>
            <w:tcW w:w="1400" w:type="dxa"/>
          </w:tcPr>
          <w:p>
            <w:pPr>
              <w:pStyle w:val="706"/>
              <w:pBdr/>
              <w:spacing/>
              <w:ind/>
              <w:rPr/>
            </w:pPr>
            <w:r/>
            <w:r/>
          </w:p>
        </w:tc>
        <w:tc>
          <w:tcPr>
            <w:tcBorders/>
            <w:tcW w:w="1500" w:type="dxa"/>
          </w:tcPr>
          <w:p>
            <w:pPr>
              <w:pStyle w:val="706"/>
              <w:pBdr/>
              <w:spacing/>
              <w:ind/>
              <w:rPr/>
            </w:pPr>
            <w:r/>
            <w:r/>
          </w:p>
        </w:tc>
        <w:tc>
          <w:tcPr>
            <w:tcBorders/>
            <w:tcW w:w="2000" w:type="dxa"/>
          </w:tcPr>
          <w:p>
            <w:pPr>
              <w:pStyle w:val="706"/>
              <w:pBdr/>
              <w:spacing/>
              <w:ind/>
              <w:rPr/>
            </w:pPr>
            <w:r/>
            <w:r/>
          </w:p>
        </w:tc>
        <w:tc>
          <w:tcPr>
            <w:tcBorders/>
            <w:tcW w:w="1604" w:type="dxa"/>
          </w:tcPr>
          <w:p>
            <w:pPr>
              <w:pStyle w:val="706"/>
              <w:pBdr/>
              <w:spacing/>
              <w:ind/>
              <w:rPr/>
            </w:pPr>
            <w:r/>
            <w:r/>
          </w:p>
        </w:tc>
        <w:tc>
          <w:tcPr>
            <w:tcBorders/>
            <w:tcW w:w="1200" w:type="dxa"/>
          </w:tcPr>
          <w:p>
            <w:pPr>
              <w:pStyle w:val="706"/>
              <w:pBdr/>
              <w:spacing/>
              <w:ind/>
              <w:rPr/>
            </w:pPr>
            <w:r/>
            <w:r/>
          </w:p>
        </w:tc>
      </w:tr>
      <w:tr>
        <w:trPr>
          <w:cantSplit/>
          <w:trHeight w:val="480"/>
        </w:trPr>
        <w:tc>
          <w:tcPr>
            <w:tcBorders/>
            <w:tcW w:w="1700" w:type="dxa"/>
          </w:tcPr>
          <w:p>
            <w:pPr>
              <w:pStyle w:val="706"/>
              <w:pBdr/>
              <w:spacing/>
              <w:ind/>
              <w:rPr/>
            </w:pPr>
            <w:r/>
            <w:r/>
          </w:p>
        </w:tc>
        <w:tc>
          <w:tcPr>
            <w:tcBorders/>
            <w:tcW w:w="1400" w:type="dxa"/>
          </w:tcPr>
          <w:p>
            <w:pPr>
              <w:pStyle w:val="706"/>
              <w:pBdr/>
              <w:spacing/>
              <w:ind/>
              <w:rPr/>
            </w:pPr>
            <w:r/>
            <w:r/>
          </w:p>
        </w:tc>
        <w:tc>
          <w:tcPr>
            <w:tcBorders/>
            <w:tcW w:w="1500" w:type="dxa"/>
          </w:tcPr>
          <w:p>
            <w:pPr>
              <w:pStyle w:val="706"/>
              <w:pBdr/>
              <w:spacing/>
              <w:ind/>
              <w:rPr/>
            </w:pPr>
            <w:r/>
            <w:r/>
          </w:p>
        </w:tc>
        <w:tc>
          <w:tcPr>
            <w:tcBorders/>
            <w:tcW w:w="2000" w:type="dxa"/>
          </w:tcPr>
          <w:p>
            <w:pPr>
              <w:pStyle w:val="706"/>
              <w:pBdr/>
              <w:spacing/>
              <w:ind/>
              <w:rPr/>
            </w:pPr>
            <w:r/>
            <w:r/>
          </w:p>
        </w:tc>
        <w:tc>
          <w:tcPr>
            <w:tcBorders/>
            <w:tcW w:w="1604" w:type="dxa"/>
          </w:tcPr>
          <w:p>
            <w:pPr>
              <w:pStyle w:val="706"/>
              <w:pBdr/>
              <w:spacing/>
              <w:ind/>
              <w:rPr/>
            </w:pPr>
            <w:r/>
            <w:r/>
          </w:p>
        </w:tc>
        <w:tc>
          <w:tcPr>
            <w:tcBorders/>
            <w:tcW w:w="1200" w:type="dxa"/>
          </w:tcPr>
          <w:p>
            <w:pPr>
              <w:pStyle w:val="706"/>
              <w:pBdr/>
              <w:spacing/>
              <w:ind/>
              <w:rPr/>
            </w:pPr>
            <w:r/>
            <w:r/>
          </w:p>
        </w:tc>
      </w:tr>
      <w:tr>
        <w:trPr>
          <w:cantSplit/>
          <w:trHeight w:val="480"/>
        </w:trPr>
        <w:tc>
          <w:tcPr>
            <w:tcBorders/>
            <w:tcW w:w="1700" w:type="dxa"/>
          </w:tcPr>
          <w:p>
            <w:pPr>
              <w:pStyle w:val="706"/>
              <w:pBdr/>
              <w:spacing/>
              <w:ind/>
              <w:rPr/>
            </w:pPr>
            <w:r/>
            <w:r/>
          </w:p>
        </w:tc>
        <w:tc>
          <w:tcPr>
            <w:tcBorders/>
            <w:tcW w:w="1400" w:type="dxa"/>
          </w:tcPr>
          <w:p>
            <w:pPr>
              <w:pStyle w:val="706"/>
              <w:pBdr/>
              <w:spacing/>
              <w:ind/>
              <w:rPr/>
            </w:pPr>
            <w:r/>
            <w:r/>
          </w:p>
        </w:tc>
        <w:tc>
          <w:tcPr>
            <w:tcBorders/>
            <w:tcW w:w="1500" w:type="dxa"/>
          </w:tcPr>
          <w:p>
            <w:pPr>
              <w:pStyle w:val="706"/>
              <w:pBdr/>
              <w:spacing/>
              <w:ind/>
              <w:rPr/>
            </w:pPr>
            <w:r/>
            <w:r/>
          </w:p>
        </w:tc>
        <w:tc>
          <w:tcPr>
            <w:tcBorders/>
            <w:tcW w:w="2000" w:type="dxa"/>
          </w:tcPr>
          <w:p>
            <w:pPr>
              <w:pStyle w:val="706"/>
              <w:pBdr/>
              <w:spacing/>
              <w:ind/>
              <w:rPr/>
            </w:pPr>
            <w:r/>
            <w:r/>
          </w:p>
        </w:tc>
        <w:tc>
          <w:tcPr>
            <w:tcBorders/>
            <w:tcW w:w="1604" w:type="dxa"/>
          </w:tcPr>
          <w:p>
            <w:pPr>
              <w:pStyle w:val="706"/>
              <w:pBdr/>
              <w:spacing/>
              <w:ind/>
              <w:rPr/>
            </w:pPr>
            <w:r/>
            <w:r/>
          </w:p>
        </w:tc>
        <w:tc>
          <w:tcPr>
            <w:tcBorders/>
            <w:tcW w:w="1200" w:type="dxa"/>
          </w:tcPr>
          <w:p>
            <w:pPr>
              <w:pStyle w:val="706"/>
              <w:pBdr/>
              <w:spacing/>
              <w:ind/>
              <w:rPr/>
            </w:pPr>
            <w:r/>
            <w:r/>
          </w:p>
        </w:tc>
      </w:tr>
      <w:tr>
        <w:trPr>
          <w:cantSplit/>
          <w:trHeight w:val="480"/>
        </w:trPr>
        <w:tc>
          <w:tcPr>
            <w:tcBorders/>
            <w:tcW w:w="1700" w:type="dxa"/>
          </w:tcPr>
          <w:p>
            <w:pPr>
              <w:pStyle w:val="706"/>
              <w:pBdr/>
              <w:spacing/>
              <w:ind/>
              <w:rPr/>
            </w:pPr>
            <w:r/>
            <w:r/>
          </w:p>
        </w:tc>
        <w:tc>
          <w:tcPr>
            <w:tcBorders/>
            <w:tcW w:w="1400" w:type="dxa"/>
          </w:tcPr>
          <w:p>
            <w:pPr>
              <w:pStyle w:val="706"/>
              <w:pBdr/>
              <w:spacing/>
              <w:ind/>
              <w:rPr/>
            </w:pPr>
            <w:r/>
            <w:r/>
          </w:p>
        </w:tc>
        <w:tc>
          <w:tcPr>
            <w:tcBorders/>
            <w:tcW w:w="1500" w:type="dxa"/>
          </w:tcPr>
          <w:p>
            <w:pPr>
              <w:pStyle w:val="706"/>
              <w:pBdr/>
              <w:spacing/>
              <w:ind/>
              <w:rPr/>
            </w:pPr>
            <w:r/>
            <w:r/>
          </w:p>
        </w:tc>
        <w:tc>
          <w:tcPr>
            <w:tcBorders/>
            <w:tcW w:w="2000" w:type="dxa"/>
          </w:tcPr>
          <w:p>
            <w:pPr>
              <w:pStyle w:val="706"/>
              <w:pBdr/>
              <w:spacing/>
              <w:ind/>
              <w:rPr/>
            </w:pPr>
            <w:r/>
            <w:r/>
          </w:p>
        </w:tc>
        <w:tc>
          <w:tcPr>
            <w:tcBorders/>
            <w:tcW w:w="1604" w:type="dxa"/>
          </w:tcPr>
          <w:p>
            <w:pPr>
              <w:pStyle w:val="706"/>
              <w:pBdr/>
              <w:spacing/>
              <w:ind/>
              <w:rPr/>
            </w:pPr>
            <w:r/>
            <w:r/>
          </w:p>
        </w:tc>
        <w:tc>
          <w:tcPr>
            <w:tcBorders/>
            <w:tcW w:w="1200" w:type="dxa"/>
          </w:tcPr>
          <w:p>
            <w:pPr>
              <w:pStyle w:val="706"/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Style w:val="704"/>
        <w:pBdr/>
        <w:spacing/>
        <w:ind/>
        <w:rPr/>
      </w:pPr>
      <w:r/>
      <w:bookmarkStart w:id="5" w:name="_Toc100005"/>
      <w:r>
        <w:t xml:space="preserve">1.4 Definiciones, acrónimos y abreviaturas</w:t>
      </w:r>
      <w:bookmarkEnd w:id="5"/>
      <w:r/>
      <w:r/>
    </w:p>
    <w:p>
      <w:pPr>
        <w:keepNext w:val="true"/>
        <w:pBdr/>
        <w:spacing/>
        <w:ind/>
        <w:rPr/>
      </w:pPr>
      <w:r>
        <w:t xml:space="preserve">La Liga no tiene un glosario oficial [REF-07, P12]. Las definiciones provienen de sus convocatorias, de la programación oficial, del levantamiento de información y de los reglamentos de referencia.</w:t>
      </w:r>
      <w:r/>
    </w:p>
    <w:p>
      <w:pPr>
        <w:pStyle w:val="707"/>
        <w:keepNext w:val="true"/>
        <w:pBdr/>
        <w:spacing/>
        <w:ind/>
        <w:rPr/>
      </w:pPr>
      <w:r>
        <w:rPr>
          <w:b/>
          <w:bCs/>
          <w:color w:val="241a61"/>
          <w:sz w:val="18"/>
          <w:szCs w:val="18"/>
        </w:rPr>
        <w:t xml:space="preserve">Tabla 3. </w:t>
      </w:r>
      <w:r>
        <w:rPr>
          <w:sz w:val="18"/>
          <w:szCs w:val="18"/>
        </w:rPr>
        <w:t xml:space="preserve">Términos del dominio.</w:t>
      </w:r>
      <w:r/>
    </w:p>
    <w:tbl>
      <w:tblPr>
        <w:tblW w:w="9404" w:type="dxa"/>
        <w:tblCellMar>
          <w:left w:w="90" w:type="dxa"/>
          <w:top w:w="45" w:type="dxa"/>
          <w:right w:w="90" w:type="dxa"/>
          <w:bottom w:w="45" w:type="dxa"/>
        </w:tblCellMar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5404"/>
        <w:gridCol w:w="1900"/>
      </w:tblGrid>
      <w:tr>
        <w:trPr>
          <w:cantSplit/>
          <w:tblHeader/>
        </w:trPr>
        <w:tc>
          <w:tcPr>
            <w:shd w:val="clear" w:color="auto" w:fill="241a61"/>
            <w:tcBorders/>
            <w:tcW w:w="2100" w:type="dxa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Término</w:t>
            </w:r>
            <w:r/>
          </w:p>
        </w:tc>
        <w:tc>
          <w:tcPr>
            <w:shd w:val="clear" w:color="auto" w:fill="241a61"/>
            <w:tcBorders/>
            <w:tcW w:w="5404" w:type="dxa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Definición</w:t>
            </w:r>
            <w:r/>
          </w:p>
        </w:tc>
        <w:tc>
          <w:tcPr>
            <w:shd w:val="clear" w:color="auto" w:fill="241a61"/>
            <w:tcBorders/>
            <w:tcW w:w="1900" w:type="dxa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Fuente</w:t>
            </w:r>
            <w:r/>
          </w:p>
        </w:tc>
      </w:tr>
      <w:tr>
        <w:trPr>
          <w:cantSplit/>
        </w:trPr>
        <w:tc>
          <w:tcPr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Liga</w:t>
            </w:r>
            <w:r/>
          </w:p>
        </w:tc>
        <w:tc>
          <w:tcPr>
            <w:tcBorders/>
            <w:tcW w:w="54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Liga Municipal de Fútbol Amateur de Morelia, A.C.; cliente del Sistema.</w:t>
            </w:r>
            <w:r/>
          </w:p>
        </w:tc>
        <w:tc>
          <w:tcPr>
            <w:tcBorders/>
            <w:tcW w:w="1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REF-07, P8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Consejo Directivo / Comité Ejecutivo</w:t>
            </w:r>
            <w:r/>
          </w:p>
        </w:tc>
        <w:tc>
          <w:tcPr>
            <w:shd w:val="clear" w:color="auto" w:fill="fafafc"/>
            <w:tcBorders/>
            <w:tcW w:w="54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Órganos de gobierno de la Liga. El Consejo Directivo emite las convocatorias; el Comité Ejecutivo resuelve los casos no previstos (en la rama infantil, el «Comité Directivo»).</w:t>
            </w:r>
            <w:r/>
          </w:p>
        </w:tc>
        <w:tc>
          <w:tcPr>
            <w:shd w:val="clear" w:color="auto" w:fill="fafafc"/>
            <w:tcBorders/>
            <w:tcW w:w="1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REF-01; REF-02</w:t>
            </w:r>
            <w:r/>
          </w:p>
        </w:tc>
      </w:tr>
      <w:tr>
        <w:trPr>
          <w:cantSplit/>
        </w:trPr>
        <w:tc>
          <w:tcPr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Mesa directiva</w:t>
            </w:r>
            <w:r/>
          </w:p>
        </w:tc>
        <w:tc>
          <w:tcPr>
            <w:tcBorders/>
            <w:tcW w:w="54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Dirigencia de la Liga: define el formato del campeonato, reprograma partidos y resuelve recursos.</w:t>
            </w:r>
            <w:r/>
          </w:p>
        </w:tc>
        <w:tc>
          <w:tcPr>
            <w:tcBorders/>
            <w:tcW w:w="1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REF-07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Comisión Disciplinaria (Tribunal de Penas)</w:t>
            </w:r>
            <w:r/>
          </w:p>
        </w:tc>
        <w:tc>
          <w:tcPr>
            <w:shd w:val="clear" w:color="auto" w:fill="fafafc"/>
            <w:tcBorders/>
            <w:tcW w:w="54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Órgano que revisa las cédulas, dictamina suspensiones, resuelve inconformidades y emite el boletín de castigados.</w:t>
            </w:r>
            <w:r/>
          </w:p>
        </w:tc>
        <w:tc>
          <w:tcPr>
            <w:shd w:val="clear" w:color="auto" w:fill="fafafc"/>
            <w:tcBorders/>
            <w:tcW w:w="1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REF-07</w:t>
            </w:r>
            <w:r/>
          </w:p>
        </w:tc>
      </w:tr>
      <w:tr>
        <w:trPr>
          <w:cantSplit/>
        </w:trPr>
        <w:tc>
          <w:tcPr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Club</w:t>
            </w:r>
            <w:r/>
          </w:p>
        </w:tc>
        <w:tc>
          <w:tcPr>
            <w:tcBorders/>
            <w:tcW w:w="54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Entidad afiliada que puede inscribir equipos en varias categorías.</w:t>
            </w:r>
            <w:r/>
          </w:p>
        </w:tc>
        <w:tc>
          <w:tcPr>
            <w:tcBorders/>
            <w:tcW w:w="1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REF-07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Presidente del club</w:t>
            </w:r>
            <w:r/>
          </w:p>
        </w:tc>
        <w:tc>
          <w:tcPr>
            <w:shd w:val="clear" w:color="auto" w:fill="fafafc"/>
            <w:tcBorders/>
            <w:tcW w:w="54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Máxima autoridad legal del club; asiste a las asambleas de presidentes.</w:t>
            </w:r>
            <w:r/>
          </w:p>
        </w:tc>
        <w:tc>
          <w:tcPr>
            <w:shd w:val="clear" w:color="auto" w:fill="fafafc"/>
            <w:tcBorders/>
            <w:tcW w:w="1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REF-07</w:t>
            </w:r>
            <w:r/>
          </w:p>
        </w:tc>
      </w:tr>
      <w:tr>
        <w:trPr>
          <w:cantSplit/>
        </w:trPr>
        <w:tc>
          <w:tcPr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Delegado</w:t>
            </w:r>
            <w:r/>
          </w:p>
        </w:tc>
        <w:tc>
          <w:tcPr>
            <w:tcBorders/>
            <w:tcW w:w="54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Vínculo operativo entre el club y la Liga: asiste a las reuniones semanales, paga arbitrajes, recoge credenciales y notifica sanciones.</w:t>
            </w:r>
            <w:r/>
          </w:p>
        </w:tc>
        <w:tc>
          <w:tcPr>
            <w:tcBorders/>
            <w:tcW w:w="1900" w:type="dxa"/>
          </w:tcPr>
          <w:p>
            <w:pPr>
              <w:pStyle w:val="706"/>
              <w:pBdr/>
              <w:spacing/>
              <w:ind/>
              <w:rPr>
                <w:highlight w:val="none"/>
              </w:rPr>
            </w:pPr>
            <w:r>
              <w:t xml:space="preserve">REF-07</w:t>
            </w:r>
            <w:r/>
          </w:p>
          <w:p w14:paraId="39BABACE">
            <w:pPr>
              <w:pStyle w:val="706"/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cantSplit/>
        </w:trPr>
        <w:tc>
          <w:tcPr>
            <w:shd w:val="clear" w:color="auto" w:fill="fafafc"/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Fuerza / franquicia</w:t>
            </w:r>
            <w:r/>
          </w:p>
        </w:tc>
        <w:tc>
          <w:tcPr>
            <w:shd w:val="clear" w:color="auto" w:fill="fafafc"/>
            <w:tcBorders/>
            <w:tcW w:w="54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Fuerza: categoría inscrita por un club. Franquicia: derecho del club a participar en ella.</w:t>
            </w:r>
            <w:r/>
          </w:p>
        </w:tc>
        <w:tc>
          <w:tcPr>
            <w:shd w:val="clear" w:color="auto" w:fill="fafafc"/>
            <w:tcBorders/>
            <w:tcW w:w="1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REF-01</w:t>
            </w:r>
            <w:r/>
          </w:p>
        </w:tc>
      </w:tr>
      <w:tr>
        <w:trPr>
          <w:cantSplit/>
        </w:trPr>
        <w:tc>
          <w:tcPr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Temporada</w:t>
            </w:r>
            <w:r/>
          </w:p>
        </w:tc>
        <w:tc>
          <w:tcPr>
            <w:tcBorders/>
            <w:tcW w:w="54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Ciclo anual de competencia (por ejemplo, 2026–2027); la oficial incluye torneo de liga, liguilla, campeón de campeones y goleo.</w:t>
            </w:r>
            <w:r/>
          </w:p>
        </w:tc>
        <w:tc>
          <w:tcPr>
            <w:tcBorders/>
            <w:tcW w:w="1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REF-01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Convocatoria</w:t>
            </w:r>
            <w:r/>
          </w:p>
        </w:tc>
        <w:tc>
          <w:tcPr>
            <w:shd w:val="clear" w:color="auto" w:fill="fafafc"/>
            <w:tcBorders/>
            <w:tcW w:w="54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Documento normativo anual de cada rama: fechas, categorías, requisitos, cuotas, ascensos, descensos y premios.</w:t>
            </w:r>
            <w:r/>
          </w:p>
        </w:tc>
        <w:tc>
          <w:tcPr>
            <w:shd w:val="clear" w:color="auto" w:fill="fafafc"/>
            <w:tcBorders/>
            <w:tcW w:w="1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REF-01; REF-02</w:t>
            </w:r>
            <w:r/>
          </w:p>
        </w:tc>
      </w:tr>
      <w:tr>
        <w:trPr>
          <w:cantSplit/>
        </w:trPr>
        <w:tc>
          <w:tcPr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Torneo de Liga</w:t>
            </w:r>
            <w:r/>
          </w:p>
        </w:tc>
        <w:tc>
          <w:tcPr>
            <w:tcBorders/>
            <w:tcW w:w="54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Competencia de la temporada, todos contra todos, por puntos acumulados.</w:t>
            </w:r>
            <w:r/>
          </w:p>
        </w:tc>
        <w:tc>
          <w:tcPr>
            <w:tcBorders/>
            <w:tcW w:w="1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REF-07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Torneo de Copa</w:t>
            </w:r>
            <w:r/>
          </w:p>
        </w:tc>
        <w:tc>
          <w:tcPr>
            <w:shd w:val="clear" w:color="auto" w:fill="fafafc"/>
            <w:tcBorders/>
            <w:tcW w:w="54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Certamen complementario simultáneo a la temporada regular.</w:t>
            </w:r>
            <w:r/>
          </w:p>
        </w:tc>
        <w:tc>
          <w:tcPr>
            <w:shd w:val="clear" w:color="auto" w:fill="fafafc"/>
            <w:tcBorders/>
            <w:tcW w:w="1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REF-07</w:t>
            </w:r>
            <w:r/>
          </w:p>
        </w:tc>
      </w:tr>
      <w:tr>
        <w:trPr>
          <w:cantSplit/>
        </w:trPr>
        <w:tc>
          <w:tcPr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Liguilla</w:t>
            </w:r>
            <w:r/>
          </w:p>
        </w:tc>
        <w:tc>
          <w:tcPr>
            <w:tcBorders/>
            <w:tcW w:w="54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Fase final: califican los 8 primeros de cada grupo (1.° vs. 8.°, 2.° vs. 7.°, 3.° vs. 6.°, 4.° vs. 5.°) hasta la final.</w:t>
            </w:r>
            <w:r/>
          </w:p>
        </w:tc>
        <w:tc>
          <w:tcPr>
            <w:tcBorders/>
            <w:tcW w:w="1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REF-01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Campeón alterno</w:t>
            </w:r>
            <w:r/>
          </w:p>
        </w:tc>
        <w:tc>
          <w:tcPr>
            <w:shd w:val="clear" w:color="auto" w:fill="fafafc"/>
            <w:tcBorders/>
            <w:tcW w:w="54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Campeón de la liguilla secundaria o de consolación, que juegan los equipos de media tabla (por ejemplo, del 9.° al 16.° lugar).</w:t>
            </w:r>
            <w:r/>
          </w:p>
        </w:tc>
        <w:tc>
          <w:tcPr>
            <w:shd w:val="clear" w:color="auto" w:fill="fafafc"/>
            <w:tcBorders/>
            <w:tcW w:w="1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REF-07REF-02</w:t>
            </w:r>
            <w:r/>
          </w:p>
        </w:tc>
      </w:tr>
      <w:tr>
        <w:trPr>
          <w:cantSplit/>
        </w:trPr>
        <w:tc>
          <w:tcPr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Campeón de Campeones</w:t>
            </w:r>
            <w:r/>
          </w:p>
        </w:tc>
        <w:tc>
          <w:tcPr>
            <w:tcBorders/>
            <w:tcW w:w="54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Partido final entre el campeón de liga y el campeón de liguilla.</w:t>
            </w:r>
            <w:r/>
          </w:p>
        </w:tc>
        <w:tc>
          <w:tcPr>
            <w:tcBorders/>
            <w:tcW w:w="1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REF-01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Rama / categoría / grupo</w:t>
            </w:r>
            <w:r/>
          </w:p>
        </w:tc>
        <w:tc>
          <w:tcPr>
            <w:shd w:val="clear" w:color="auto" w:fill="fafafc"/>
            <w:tcBorders/>
            <w:tcW w:w="54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Rama: libre, veteranos, femenil o infantil. Categoría: división por nivel o año de nacimiento (Tabla 4). Grupo: subdivisión de una categoría.</w:t>
            </w:r>
            <w:r/>
          </w:p>
        </w:tc>
        <w:tc>
          <w:tcPr>
            <w:shd w:val="clear" w:color="auto" w:fill="fafafc"/>
            <w:tcBorders/>
            <w:tcW w:w="1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REF-01; REF-02</w:t>
            </w:r>
            <w:r/>
          </w:p>
        </w:tc>
      </w:tr>
      <w:tr>
        <w:trPr>
          <w:cantSplit/>
        </w:trPr>
        <w:tc>
          <w:tcPr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Ascenso / descenso</w:t>
            </w:r>
            <w:r/>
          </w:p>
        </w:tc>
        <w:tc>
          <w:tcPr>
            <w:tcBorders/>
            <w:tcW w:w="54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Paso de un equipo a la categoría superior (campeón y subcampeón de liguilla) o inferior (últimos lugares de cada grupo).</w:t>
            </w:r>
            <w:r/>
          </w:p>
        </w:tc>
        <w:tc>
          <w:tcPr>
            <w:tcBorders/>
            <w:tcW w:w="1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REF-01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Jornada / fecha</w:t>
            </w:r>
            <w:r/>
          </w:p>
        </w:tc>
        <w:tc>
          <w:tcPr>
            <w:shd w:val="clear" w:color="auto" w:fill="fafafc"/>
            <w:tcBorders/>
            <w:tcW w:w="54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Jornada: número de ronda del torneo. Fecha: día exacto en que se juega un partido.</w:t>
            </w:r>
            <w:r/>
          </w:p>
        </w:tc>
        <w:tc>
          <w:tcPr>
            <w:shd w:val="clear" w:color="auto" w:fill="fafafc"/>
            <w:tcBorders/>
            <w:tcW w:w="1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REF-07</w:t>
            </w:r>
            <w:r/>
          </w:p>
        </w:tc>
      </w:tr>
      <w:tr>
        <w:trPr>
          <w:cantSplit/>
        </w:trPr>
        <w:tc>
          <w:tcPr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Programación oficial</w:t>
            </w:r>
            <w:r/>
          </w:p>
        </w:tc>
        <w:tc>
          <w:tcPr>
            <w:tcBorders/>
            <w:tcW w:w="54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Publicación por día, categoría y jornada con número de partido, equipos, cancha, horario y árbitro; incluye descansos y resultados por default.</w:t>
            </w:r>
            <w:r/>
          </w:p>
        </w:tc>
        <w:tc>
          <w:tcPr>
            <w:tcBorders/>
            <w:tcW w:w="1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REF-03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Resultado por default</w:t>
            </w:r>
            <w:r/>
          </w:p>
        </w:tc>
        <w:tc>
          <w:tcPr>
            <w:shd w:val="clear" w:color="auto" w:fill="fafafc"/>
            <w:tcBorders/>
            <w:tcW w:w="54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Victoria sin disputar el partido; el ganador recibe los tres puntos y paga su arbitraje.</w:t>
            </w:r>
            <w:r/>
          </w:p>
        </w:tc>
        <w:tc>
          <w:tcPr>
            <w:shd w:val="clear" w:color="auto" w:fill="fafafc"/>
            <w:tcBorders/>
            <w:tcW w:w="1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REF-01; REF-03</w:t>
            </w:r>
            <w:r/>
          </w:p>
        </w:tc>
      </w:tr>
      <w:tr>
        <w:trPr>
          <w:cantSplit/>
        </w:trPr>
        <w:tc>
          <w:tcPr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«Ya terminó» / «Descansa»</w:t>
            </w:r>
            <w:r/>
          </w:p>
        </w:tc>
        <w:tc>
          <w:tcPr>
            <w:tcBorders/>
            <w:tcW w:w="54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El partido ya se jugó y finalizó / el equipo no juega en esa jornada.</w:t>
            </w:r>
            <w:r/>
          </w:p>
        </w:tc>
        <w:tc>
          <w:tcPr>
            <w:tcBorders/>
            <w:tcW w:w="1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REF-07; REF-03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U.D.C.</w:t>
            </w:r>
            <w:r/>
          </w:p>
        </w:tc>
        <w:tc>
          <w:tcPr>
            <w:shd w:val="clear" w:color="auto" w:fill="fafafc"/>
            <w:tcBorders/>
            <w:tcW w:w="54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Unidad Deportiva Cuauhtémoc, sede principal, con 40 canchas.</w:t>
            </w:r>
            <w:r/>
          </w:p>
        </w:tc>
        <w:tc>
          <w:tcPr>
            <w:shd w:val="clear" w:color="auto" w:fill="fafafc"/>
            <w:tcBorders/>
            <w:tcW w:w="1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REF-07; REF-15</w:t>
            </w:r>
            <w:r/>
          </w:p>
        </w:tc>
      </w:tr>
      <w:tr>
        <w:trPr>
          <w:cantSplit/>
        </w:trPr>
        <w:tc>
          <w:tcPr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Árbitro y colegio de árbitros</w:t>
            </w:r>
            <w:r/>
          </w:p>
        </w:tc>
        <w:tc>
          <w:tcPr>
            <w:tcBorders/>
            <w:tcW w:w="54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La Liga contrata colegios de arbitraje independientes que proveen a los árbitros.</w:t>
            </w:r>
            <w:r/>
          </w:p>
        </w:tc>
        <w:tc>
          <w:tcPr>
            <w:tcBorders/>
            <w:tcW w:w="1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REF-07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Cédula arbitral</w:t>
            </w:r>
            <w:r/>
          </w:p>
        </w:tc>
        <w:tc>
          <w:tcPr>
            <w:shd w:val="clear" w:color="auto" w:fill="fafafc"/>
            <w:tcBorders/>
            <w:tcW w:w="54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Formato donde se registran alineaciones (nombre, número y credencial), goles, tarjetas, motivos de expulsión y observaciones; la firman árbitro y capitanes.</w:t>
            </w:r>
            <w:r/>
          </w:p>
        </w:tc>
        <w:tc>
          <w:tcPr>
            <w:shd w:val="clear" w:color="auto" w:fill="fafafc"/>
            <w:tcBorders/>
            <w:tcW w:w="1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REF-07</w:t>
            </w:r>
            <w:r/>
          </w:p>
        </w:tc>
      </w:tr>
      <w:tr>
        <w:trPr>
          <w:cantSplit/>
        </w:trPr>
        <w:tc>
          <w:tcPr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Credencial y registro de jugador</w:t>
            </w:r>
            <w:r/>
          </w:p>
        </w:tc>
        <w:tc>
          <w:tcPr>
            <w:tcBorders/>
            <w:tcW w:w="54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Registro: inscripción del jugador en una categoría para la temporada ($40.00). Credencial: identificación oficial que coteja el árbitro</w:t>
            </w:r>
            <w:r>
              <w:t xml:space="preserve">.</w:t>
            </w:r>
            <w:r/>
          </w:p>
        </w:tc>
        <w:tc>
          <w:tcPr>
            <w:tcBorders/>
            <w:tcW w:w="1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REF-01, II; REF-07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Incidencia / suspensión</w:t>
            </w:r>
            <w:r/>
          </w:p>
        </w:tc>
        <w:tc>
          <w:tcPr>
            <w:shd w:val="clear" w:color="auto" w:fill="fafafc"/>
            <w:tcBorders/>
            <w:tcW w:w="54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Incidencia: gol, tarjeta u observación en la cédula. Suspensión: partidos que un jugador no puede jugar por sanción.</w:t>
            </w:r>
            <w:r/>
          </w:p>
        </w:tc>
        <w:tc>
          <w:tcPr>
            <w:shd w:val="clear" w:color="auto" w:fill="fafafc"/>
            <w:tcBorders/>
            <w:tcW w:w="1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REF-07; REF-05</w:t>
            </w:r>
            <w:r/>
          </w:p>
        </w:tc>
      </w:tr>
      <w:tr>
        <w:trPr>
          <w:cantSplit/>
        </w:trPr>
        <w:tc>
          <w:tcPr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Boletín de castigados</w:t>
            </w:r>
            <w:r/>
          </w:p>
        </w:tc>
        <w:tc>
          <w:tcPr>
            <w:tcBorders/>
            <w:tcW w:w="54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Lista oficial semanal de jugadores suspendidos.</w:t>
            </w:r>
            <w:r/>
          </w:p>
        </w:tc>
        <w:tc>
          <w:tcPr>
            <w:tcBorders/>
            <w:tcW w:w="1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REF-07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Inconformidad</w:t>
            </w:r>
            <w:r/>
          </w:p>
        </w:tc>
        <w:tc>
          <w:tcPr>
            <w:shd w:val="clear" w:color="auto" w:fill="fafafc"/>
            <w:tcBorders/>
            <w:tcW w:w="54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Queja formal inicial que presenta un delegado o capitán, por escrito y con fianza, ante la Comisión Disciplinaria por un reporte arbitral, una alineación indebida o un resultado.</w:t>
            </w:r>
            <w:r/>
          </w:p>
        </w:tc>
        <w:tc>
          <w:tcPr>
            <w:shd w:val="clear" w:color="auto" w:fill="fafafc"/>
            <w:tcBorders/>
            <w:tcW w:w="1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REF-07</w:t>
            </w:r>
            <w:r/>
          </w:p>
        </w:tc>
      </w:tr>
      <w:tr>
        <w:trPr>
          <w:cantSplit/>
        </w:trPr>
        <w:tc>
          <w:tcPr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Recurso (apelación o revisión)</w:t>
            </w:r>
            <w:r/>
          </w:p>
        </w:tc>
        <w:tc>
          <w:tcPr>
            <w:tcBorders/>
            <w:tcW w:w="54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Segunda instancia: si la Comisión Disciplinaria falla en contra, el equipo recurre ante la Mesa Directiva o la Asamblea de Presidentes.</w:t>
            </w:r>
            <w:r/>
          </w:p>
        </w:tc>
        <w:tc>
          <w:tcPr>
            <w:tcBorders/>
            <w:tcW w:w="1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REF-07, aclaraciones; REF-05, art. 51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Aportaciones</w:t>
            </w:r>
            <w:r/>
          </w:p>
        </w:tc>
        <w:tc>
          <w:tcPr>
            <w:shd w:val="clear" w:color="auto" w:fill="fafafc"/>
            <w:tcBorders/>
            <w:tcW w:w="54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Pagos de los clubes a la Liga: inscripción por categoría, registros, arbitraje semanal ($125.00 por categoría), mantenimiento de canchas, trofeos y cal.</w:t>
            </w:r>
            <w:r/>
          </w:p>
        </w:tc>
        <w:tc>
          <w:tcPr>
            <w:shd w:val="clear" w:color="auto" w:fill="fafafc"/>
            <w:tcBorders/>
            <w:tcW w:w="1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REF-01, IX; REF-02, V</w:t>
            </w:r>
            <w:r/>
          </w:p>
        </w:tc>
      </w:tr>
      <w:tr>
        <w:trPr>
          <w:cantSplit/>
        </w:trPr>
        <w:tc>
          <w:tcPr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Usuario con cuenta / usuario público</w:t>
            </w:r>
            <w:r/>
          </w:p>
        </w:tc>
        <w:tc>
          <w:tcPr>
            <w:tcBorders/>
            <w:tcW w:w="54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Usuario con cuenta: integrante de la Liga, club, árbitro o jugador. Usuario público: consulta sin cuenta.</w:t>
            </w:r>
            <w:r/>
          </w:p>
        </w:tc>
        <w:tc>
          <w:tcPr>
            <w:tcBorders/>
            <w:tcW w:w="1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REF-07, P20 y aclaraciones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Style w:val="707"/>
        <w:keepNext w:val="true"/>
        <w:pBdr/>
        <w:spacing/>
        <w:ind/>
        <w:rPr/>
      </w:pPr>
      <w:r>
        <w:rPr>
          <w:b/>
          <w:bCs/>
          <w:color w:val="241a61"/>
          <w:sz w:val="18"/>
          <w:szCs w:val="18"/>
        </w:rPr>
        <w:t xml:space="preserve">Tabla 4. </w:t>
      </w:r>
      <w:r>
        <w:rPr>
          <w:sz w:val="18"/>
          <w:szCs w:val="18"/>
        </w:rPr>
        <w:t xml:space="preserve">Categorías de la temporada 2026–2027.</w:t>
      </w:r>
      <w:r/>
    </w:p>
    <w:tbl>
      <w:tblPr>
        <w:tblW w:w="9404" w:type="dxa"/>
        <w:tblCellMar>
          <w:left w:w="90" w:type="dxa"/>
          <w:top w:w="45" w:type="dxa"/>
          <w:right w:w="90" w:type="dxa"/>
          <w:bottom w:w="45" w:type="dxa"/>
        </w:tblCellMar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5404"/>
        <w:gridCol w:w="2500"/>
      </w:tblGrid>
      <w:tr>
        <w:trPr>
          <w:cantSplit/>
          <w:tblHeader/>
        </w:trPr>
        <w:tc>
          <w:tcPr>
            <w:shd w:val="clear" w:color="auto" w:fill="241a61"/>
            <w:tcBorders/>
            <w:tcW w:w="1500" w:type="dxa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Rama</w:t>
            </w:r>
            <w:r/>
          </w:p>
        </w:tc>
        <w:tc>
          <w:tcPr>
            <w:shd w:val="clear" w:color="auto" w:fill="241a61"/>
            <w:tcBorders/>
            <w:tcW w:w="5404" w:type="dxa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Categorías</w:t>
            </w:r>
            <w:r/>
          </w:p>
        </w:tc>
        <w:tc>
          <w:tcPr>
            <w:shd w:val="clear" w:color="auto" w:fill="241a61"/>
            <w:tcBorders/>
            <w:tcW w:w="2500" w:type="dxa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Criterio de edad</w:t>
            </w:r>
            <w:r/>
          </w:p>
        </w:tc>
      </w:tr>
      <w:tr>
        <w:trPr>
          <w:cantSplit/>
        </w:trPr>
        <w:tc>
          <w:tcPr>
            <w:tcBorders/>
            <w:tcW w:w="15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Libre</w:t>
            </w:r>
            <w:r/>
          </w:p>
        </w:tc>
        <w:tc>
          <w:tcPr>
            <w:tcBorders/>
            <w:tcW w:w="54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Primera Especial, Primera Fuerza, Reserva, Intermedia, Segunda Fuerza, Tercera Fuerza, Cuarta Fuerza Domingo, Cuarta Sábado, Juvenil.</w:t>
            </w:r>
            <w:r/>
          </w:p>
        </w:tc>
        <w:tc>
          <w:tcPr>
            <w:tcBorders/>
            <w:tcW w:w="25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Mayores de 18 años; Juvenil: 2009–2010.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/>
            <w:tcW w:w="15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Veteranos</w:t>
            </w:r>
            <w:r/>
          </w:p>
        </w:tc>
        <w:tc>
          <w:tcPr>
            <w:shd w:val="clear" w:color="auto" w:fill="fafafc"/>
            <w:tcBorders/>
            <w:tcW w:w="54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Veteranos Libre (1990 o antes), Veteranos Especiales (1984), Masters (1978), Premier (1972), Diamante (1967), Dorado (1963), Platino (1959).</w:t>
            </w:r>
            <w:r/>
          </w:p>
        </w:tc>
        <w:tc>
          <w:tcPr>
            <w:shd w:val="clear" w:color="auto" w:fill="fafafc"/>
            <w:tcBorders/>
            <w:tcW w:w="25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Año de nacimiento indicado o anterior.</w:t>
            </w:r>
            <w:r/>
          </w:p>
        </w:tc>
      </w:tr>
      <w:tr>
        <w:trPr>
          <w:cantSplit/>
        </w:trPr>
        <w:tc>
          <w:tcPr>
            <w:tcBorders/>
            <w:tcW w:w="15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Infantil</w:t>
            </w:r>
            <w:r/>
          </w:p>
        </w:tc>
        <w:tc>
          <w:tcPr>
            <w:tcBorders/>
            <w:tcW w:w="54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Miniponys Especiales (2021 o menores), Miniponys (2019–2020), Ponys (2017–2018), Pre infantil (2015–2016), Infantil (2013–2014), Pre juvenil (2011–2012), Juvenil (2009–2010).</w:t>
            </w:r>
            <w:r/>
          </w:p>
        </w:tc>
        <w:tc>
          <w:tcPr>
            <w:tcBorders/>
            <w:tcW w:w="25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Año de nacimiento indicado.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/>
            <w:tcW w:w="15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Femenil</w:t>
            </w:r>
            <w:r/>
          </w:p>
        </w:tc>
        <w:tc>
          <w:tcPr>
            <w:shd w:val="clear" w:color="auto" w:fill="fafafc"/>
            <w:tcBorders/>
            <w:tcW w:w="54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Femenil Libre; Femenil 2012 o menores.</w:t>
            </w:r>
            <w:r/>
          </w:p>
        </w:tc>
        <w:tc>
          <w:tcPr>
            <w:shd w:val="clear" w:color="auto" w:fill="fafafc"/>
            <w:tcBorders/>
            <w:tcW w:w="25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Según la convocatoria.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Style w:val="707"/>
        <w:keepNext w:val="true"/>
        <w:pBdr/>
        <w:spacing/>
        <w:ind/>
        <w:rPr/>
      </w:pPr>
      <w:r>
        <w:rPr>
          <w:b/>
          <w:bCs/>
          <w:color w:val="241a61"/>
          <w:sz w:val="18"/>
          <w:szCs w:val="18"/>
        </w:rPr>
        <w:t xml:space="preserve">Tabla 5. </w:t>
      </w:r>
      <w:r>
        <w:rPr>
          <w:sz w:val="18"/>
          <w:szCs w:val="18"/>
        </w:rPr>
        <w:t xml:space="preserve">Acrónimos y abreviaturas.</w:t>
      </w:r>
      <w:r/>
    </w:p>
    <w:tbl>
      <w:tblPr>
        <w:tblW w:w="9404" w:type="dxa"/>
        <w:tblCellMar>
          <w:left w:w="90" w:type="dxa"/>
          <w:top w:w="45" w:type="dxa"/>
          <w:right w:w="90" w:type="dxa"/>
          <w:bottom w:w="45" w:type="dxa"/>
        </w:tblCellMar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7904"/>
      </w:tblGrid>
      <w:tr>
        <w:trPr>
          <w:cantSplit/>
          <w:tblHeader/>
        </w:trPr>
        <w:tc>
          <w:tcPr>
            <w:shd w:val="clear" w:color="auto" w:fill="241a61"/>
            <w:tcBorders/>
            <w:tcW w:w="1500" w:type="dxa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Sigla</w:t>
            </w:r>
            <w:r/>
          </w:p>
        </w:tc>
        <w:tc>
          <w:tcPr>
            <w:shd w:val="clear" w:color="auto" w:fill="241a61"/>
            <w:tcBorders/>
            <w:tcW w:w="7904" w:type="dxa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Significado</w:t>
            </w:r>
            <w:r/>
          </w:p>
        </w:tc>
      </w:tr>
      <w:tr>
        <w:trPr>
          <w:cantSplit/>
        </w:trPr>
        <w:tc>
          <w:tcPr>
            <w:tcBorders/>
            <w:tcW w:w="15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A.C.</w:t>
            </w:r>
            <w:r/>
          </w:p>
        </w:tc>
        <w:tc>
          <w:tcPr>
            <w:tcBorders/>
            <w:tcW w:w="79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Asociación Civil.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/>
            <w:tcW w:w="15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AF</w:t>
            </w:r>
            <w:r/>
          </w:p>
        </w:tc>
        <w:tc>
          <w:tcPr>
            <w:shd w:val="clear" w:color="auto" w:fill="fafafc"/>
            <w:tcBorders/>
            <w:tcW w:w="79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Área funcional (convención de este ERS).</w:t>
            </w:r>
            <w:r/>
          </w:p>
        </w:tc>
      </w:tr>
      <w:tr>
        <w:trPr>
          <w:cantSplit/>
        </w:trPr>
        <w:tc>
          <w:tcPr>
            <w:tcBorders/>
            <w:tcW w:w="15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CURP / INE</w:t>
            </w:r>
            <w:r/>
          </w:p>
        </w:tc>
        <w:tc>
          <w:tcPr>
            <w:tcBorders/>
            <w:tcW w:w="79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Clave Única de Registro de Población / Instituto Nacional Electoral (credencial usada como identificación).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/>
            <w:tcW w:w="15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ERS (SRS)</w:t>
            </w:r>
            <w:r/>
          </w:p>
        </w:tc>
        <w:tc>
          <w:tcPr>
            <w:shd w:val="clear" w:color="auto" w:fill="fafafc"/>
            <w:tcBorders/>
            <w:tcW w:w="79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Especificación de Requisitos de Software (Software Requirements Specification).</w:t>
            </w:r>
            <w:r/>
          </w:p>
        </w:tc>
      </w:tr>
      <w:tr>
        <w:trPr>
          <w:cantSplit/>
        </w:trPr>
        <w:tc>
          <w:tcPr>
            <w:tcBorders/>
            <w:tcW w:w="15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FMF / IFAB</w:t>
            </w:r>
            <w:r/>
          </w:p>
        </w:tc>
        <w:tc>
          <w:tcPr>
            <w:tcBorders/>
            <w:tcW w:w="79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Federación Mexicana de Futbol Asociación / International Football Association Board.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/>
            <w:tcW w:w="15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IMCUFIDE</w:t>
            </w:r>
            <w:r/>
          </w:p>
        </w:tc>
        <w:tc>
          <w:tcPr>
            <w:shd w:val="clear" w:color="auto" w:fill="fafafc"/>
            <w:tcBorders/>
            <w:tcW w:w="79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Instituto Municipal de Cultura Física y Deporte de Morelia (llamado «IMDE» en el levantamiento) [REF-13].</w:t>
            </w:r>
            <w:r/>
          </w:p>
        </w:tc>
      </w:tr>
      <w:tr>
        <w:trPr>
          <w:cantSplit/>
        </w:trPr>
        <w:tc>
          <w:tcPr>
            <w:tcBorders/>
            <w:tcW w:w="15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ISO / IEC / IEEE</w:t>
            </w:r>
            <w:r/>
          </w:p>
        </w:tc>
        <w:tc>
          <w:tcPr>
            <w:tcBorders/>
            <w:tcW w:w="79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Organismos de normalización que emiten las normas técnicas citadas.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/>
            <w:tcW w:w="15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LFPDPPP</w:t>
            </w:r>
            <w:r/>
          </w:p>
        </w:tc>
        <w:tc>
          <w:tcPr>
            <w:shd w:val="clear" w:color="auto" w:fill="fafafc"/>
            <w:tcBorders/>
            <w:tcW w:w="79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Ley Federal de Protección de Datos Personales en Posesión de los Particulares.</w:t>
            </w:r>
            <w:r/>
          </w:p>
        </w:tc>
      </w:tr>
      <w:tr>
        <w:trPr>
          <w:cantSplit/>
        </w:trPr>
        <w:tc>
          <w:tcPr>
            <w:tcBorders/>
            <w:tcW w:w="15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MoSCoW</w:t>
            </w:r>
            <w:r/>
          </w:p>
        </w:tc>
        <w:tc>
          <w:tcPr>
            <w:tcBorders/>
            <w:tcW w:w="79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Técnica de priorización: Must (debe), Should (debería), Could (podría), Won't (no en esta versión).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/>
            <w:tcW w:w="15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PJ, PG, PE, PP</w:t>
            </w:r>
            <w:r/>
          </w:p>
        </w:tc>
        <w:tc>
          <w:tcPr>
            <w:shd w:val="clear" w:color="auto" w:fill="fafafc"/>
            <w:tcBorders/>
            <w:tcW w:w="79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Partidos jugados, ganados, empatados y perdidos.</w:t>
            </w:r>
            <w:r/>
          </w:p>
        </w:tc>
      </w:tr>
      <w:tr>
        <w:trPr>
          <w:cantSplit/>
        </w:trPr>
        <w:tc>
          <w:tcPr>
            <w:tcBorders/>
            <w:tcW w:w="15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GF, GC, DG, Pts.</w:t>
            </w:r>
            <w:r/>
          </w:p>
        </w:tc>
        <w:tc>
          <w:tcPr>
            <w:tcBorders/>
            <w:tcW w:w="79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Goles a favor, goles en contra, diferencia de goles y puntos.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/>
            <w:tcW w:w="15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PPP</w:t>
            </w:r>
            <w:r/>
          </w:p>
        </w:tc>
        <w:tc>
          <w:tcPr>
            <w:shd w:val="clear" w:color="auto" w:fill="fafafc"/>
            <w:tcBorders/>
            <w:tcW w:w="79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Promedio de puntos por partido: puntos acumulados entre partidos jugados; mide la efectividad cuando hay jornadas pendientes [REF-07, aclaraciones].</w:t>
            </w:r>
            <w:r/>
          </w:p>
        </w:tc>
      </w:tr>
      <w:tr>
        <w:trPr>
          <w:cantSplit/>
        </w:trPr>
        <w:tc>
          <w:tcPr>
            <w:tcBorders/>
            <w:tcW w:w="15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RF / RNF</w:t>
            </w:r>
            <w:r/>
          </w:p>
        </w:tc>
        <w:tc>
          <w:tcPr>
            <w:tcBorders/>
            <w:tcW w:w="79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Requisito funcional / requisito no funcional.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/>
            <w:tcW w:w="15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UMSNH</w:t>
            </w:r>
            <w:r/>
          </w:p>
        </w:tc>
        <w:tc>
          <w:tcPr>
            <w:shd w:val="clear" w:color="auto" w:fill="fafafc"/>
            <w:tcBorders/>
            <w:tcW w:w="79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Universidad Michoacana de San Nicolás de Hidalgo.</w:t>
            </w:r>
            <w:r/>
          </w:p>
        </w:tc>
      </w:tr>
      <w:tr>
        <w:trPr>
          <w:cantSplit/>
        </w:trPr>
        <w:tc>
          <w:tcPr>
            <w:tcBorders/>
            <w:tcW w:w="1500" w:type="dxa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</w:rPr>
              <w:t xml:space="preserve">U.D.C.</w:t>
            </w:r>
            <w:r/>
          </w:p>
        </w:tc>
        <w:tc>
          <w:tcPr>
            <w:tcBorders/>
            <w:tcW w:w="79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Unidad Deportiva Cuauhtémoc.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Style w:val="704"/>
        <w:pBdr/>
        <w:spacing/>
        <w:ind/>
        <w:rPr/>
      </w:pPr>
      <w:r/>
      <w:bookmarkStart w:id="6" w:name="_Toc100006"/>
      <w:r>
        <w:t xml:space="preserve">1.5 Referencias</w:t>
      </w:r>
      <w:bookmarkEnd w:id="6"/>
      <w:r/>
      <w:r/>
    </w:p>
    <w:p>
      <w:pPr>
        <w:keepNext w:val="true"/>
        <w:pBdr/>
        <w:spacing/>
        <w:ind/>
        <w:rPr/>
      </w:pPr>
      <w:r>
        <w:t xml:space="preserve">Los documentos de la Liga son públicos [REF-07, P15]; las copias usadas están en la carpeta «contexto» del repositorio.</w:t>
      </w:r>
      <w:r/>
    </w:p>
    <w:p>
      <w:pPr>
        <w:pStyle w:val="707"/>
        <w:keepNext w:val="true"/>
        <w:pBdr/>
        <w:spacing/>
        <w:ind/>
        <w:rPr/>
      </w:pPr>
      <w:r>
        <w:rPr>
          <w:b/>
          <w:bCs/>
          <w:color w:val="241a61"/>
          <w:sz w:val="18"/>
          <w:szCs w:val="18"/>
        </w:rPr>
        <w:t xml:space="preserve">Tabla 6. </w:t>
      </w:r>
      <w:r>
        <w:rPr>
          <w:sz w:val="18"/>
          <w:szCs w:val="18"/>
        </w:rPr>
        <w:t xml:space="preserve">Documentos citados.</w:t>
      </w:r>
      <w:r/>
    </w:p>
    <w:tbl>
      <w:tblPr>
        <w:tblW w:w="9404" w:type="dxa"/>
        <w:tblCellMar>
          <w:left w:w="90" w:type="dxa"/>
          <w:top w:w="45" w:type="dxa"/>
          <w:right w:w="90" w:type="dxa"/>
          <w:bottom w:w="45" w:type="dxa"/>
        </w:tblCellMar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4000"/>
        <w:gridCol w:w="2100"/>
        <w:gridCol w:w="2404"/>
      </w:tblGrid>
      <w:tr>
        <w:trPr>
          <w:cantSplit/>
          <w:tblHeader/>
        </w:trPr>
        <w:tc>
          <w:tcPr>
            <w:shd w:val="clear" w:color="auto" w:fill="241a61"/>
            <w:tcBorders/>
            <w:tcW w:w="900" w:type="dxa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ID</w:t>
            </w:r>
            <w:r/>
          </w:p>
        </w:tc>
        <w:tc>
          <w:tcPr>
            <w:shd w:val="clear" w:color="auto" w:fill="241a61"/>
            <w:tcBorders/>
            <w:tcW w:w="4000" w:type="dxa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Documento</w:t>
            </w:r>
            <w:r/>
          </w:p>
        </w:tc>
        <w:tc>
          <w:tcPr>
            <w:shd w:val="clear" w:color="auto" w:fill="241a61"/>
            <w:tcBorders/>
            <w:tcW w:w="2100" w:type="dxa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Emisor y fecha</w:t>
            </w:r>
            <w:r/>
          </w:p>
        </w:tc>
        <w:tc>
          <w:tcPr>
            <w:shd w:val="clear" w:color="auto" w:fill="241a61"/>
            <w:tcBorders/>
            <w:tcW w:w="2404" w:type="dxa"/>
            <w:vAlign w:val="center"/>
          </w:tcPr>
          <w:p>
            <w:pPr>
              <w:pStyle w:val="706"/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Ubicación</w:t>
            </w:r>
            <w:r/>
          </w:p>
        </w:tc>
      </w:tr>
      <w:tr>
        <w:trPr>
          <w:cantSplit/>
        </w:trPr>
        <w:tc>
          <w:tcPr>
            <w:tcBorders/>
            <w:tcW w:w="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REF-01</w:t>
            </w:r>
            <w:r/>
          </w:p>
        </w:tc>
        <w:tc>
          <w:tcPr>
            <w:tcBorders/>
            <w:tcW w:w="40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Convocatoria Temporada 2026–2027, ramas libre y de veteranos. </w:t>
            </w:r>
            <w:r>
              <w:rPr>
                <w:i/>
                <w:iCs/>
              </w:rPr>
              <w:t xml:space="preserve">Norma de la Liga.</w:t>
            </w:r>
            <w:r/>
          </w:p>
        </w:tc>
        <w:tc>
          <w:tcPr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Consejo Directivo de la Liga, 03/08/2026.</w:t>
            </w:r>
            <w:r/>
          </w:p>
        </w:tc>
        <w:tc>
          <w:tcPr>
            <w:tcBorders/>
            <w:tcW w:w="24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contexto/convocatoria.jpg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/>
            <w:tcW w:w="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REF-02</w:t>
            </w:r>
            <w:r/>
          </w:p>
        </w:tc>
        <w:tc>
          <w:tcPr>
            <w:shd w:val="clear" w:color="auto" w:fill="fafafc"/>
            <w:tcBorders/>
            <w:tcW w:w="40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Convocatoria Temporada 2026–2027, Rama Infantil. </w:t>
            </w:r>
            <w:r>
              <w:rPr>
                <w:i/>
                <w:iCs/>
              </w:rPr>
              <w:t xml:space="preserve">Norma de la Liga.</w:t>
            </w:r>
            <w:r/>
          </w:p>
        </w:tc>
        <w:tc>
          <w:tcPr>
            <w:shd w:val="clear" w:color="auto" w:fill="fafafc"/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Consejo Directivo y Comisión de la Rama Infantil, 03/08/2026.</w:t>
            </w:r>
            <w:r/>
          </w:p>
        </w:tc>
        <w:tc>
          <w:tcPr>
            <w:shd w:val="clear" w:color="auto" w:fill="fafafc"/>
            <w:tcBorders/>
            <w:tcW w:w="24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contexto/convocatorio_infantil.jpg</w:t>
            </w:r>
            <w:r/>
          </w:p>
        </w:tc>
      </w:tr>
      <w:tr>
        <w:trPr>
          <w:cantSplit/>
        </w:trPr>
        <w:tc>
          <w:tcPr>
            <w:tcBorders/>
            <w:tcW w:w="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REF-03</w:t>
            </w:r>
            <w:r/>
          </w:p>
        </w:tc>
        <w:tc>
          <w:tcPr>
            <w:tcBorders/>
            <w:tcW w:w="40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Programación oficial, Rama Infantil, 5.º Torneo de Verano 2026, jornada 11. </w:t>
            </w:r>
            <w:r>
              <w:rPr>
                <w:i/>
                <w:iCs/>
              </w:rPr>
              <w:t xml:space="preserve">Documento operativo.</w:t>
            </w:r>
            <w:r/>
          </w:p>
        </w:tc>
        <w:tc>
          <w:tcPr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Liga, 03/10/2026.</w:t>
            </w:r>
            <w:r/>
          </w:p>
        </w:tc>
        <w:tc>
          <w:tcPr>
            <w:tcBorders/>
            <w:tcW w:w="24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contexto/calendario.jpg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/>
            <w:tcW w:w="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REF-04</w:t>
            </w:r>
            <w:r/>
          </w:p>
        </w:tc>
        <w:tc>
          <w:tcPr>
            <w:shd w:val="clear" w:color="auto" w:fill="fafafc"/>
            <w:tcBorders/>
            <w:tcW w:w="40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Reglas de Juego 2026/27. </w:t>
            </w:r>
            <w:r>
              <w:rPr>
                <w:i/>
                <w:iCs/>
              </w:rPr>
              <w:t xml:space="preserve">Norma de referencia (reglas del juego).</w:t>
            </w:r>
            <w:r/>
          </w:p>
        </w:tc>
        <w:tc>
          <w:tcPr>
            <w:shd w:val="clear" w:color="auto" w:fill="fafafc"/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IFAB; en vigor desde el 01/07/2026.</w:t>
            </w:r>
            <w:r/>
          </w:p>
        </w:tc>
        <w:tc>
          <w:tcPr>
            <w:shd w:val="clear" w:color="auto" w:fill="fafafc"/>
            <w:tcBorders/>
            <w:tcW w:w="2404" w:type="dxa"/>
          </w:tcPr>
          <w:p>
            <w:pPr>
              <w:pStyle w:val="706"/>
              <w:pBdr/>
              <w:spacing/>
              <w:ind/>
              <w:rPr/>
            </w:pPr>
            <w:r/>
            <w:hyperlink r:id="rId11" w:tooltip="https://www.theifab.com/es/laws-of-the-game-documents/" w:history="1">
              <w:r>
                <w:rPr>
                  <w:rStyle w:val="711"/>
                </w:rPr>
                <w:t xml:space="preserve">https://www.theifab.com/es/laws-of-the-game-documents/</w:t>
              </w:r>
            </w:hyperlink>
            <w:r/>
            <w:r/>
          </w:p>
        </w:tc>
      </w:tr>
      <w:tr>
        <w:trPr>
          <w:cantSplit/>
        </w:trPr>
        <w:tc>
          <w:tcPr>
            <w:tcBorders/>
            <w:tcW w:w="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REF-05</w:t>
            </w:r>
            <w:r/>
          </w:p>
        </w:tc>
        <w:tc>
          <w:tcPr>
            <w:tcBorders/>
            <w:tcW w:w="40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Reglamento de Sanciones del Sector Amateur. </w:t>
            </w:r>
            <w:r>
              <w:rPr>
                <w:i/>
                <w:iCs/>
              </w:rPr>
              <w:t xml:space="preserve">Norma de referencia (disciplina).</w:t>
            </w:r>
            <w:r/>
          </w:p>
        </w:tc>
        <w:tc>
          <w:tcPr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FMF, Comité Directivo del Sector Amateur; 07/12/2018.</w:t>
            </w:r>
            <w:r/>
          </w:p>
        </w:tc>
        <w:tc>
          <w:tcPr>
            <w:tcBorders/>
            <w:tcW w:w="2404" w:type="dxa"/>
          </w:tcPr>
          <w:p>
            <w:pPr>
              <w:pStyle w:val="706"/>
              <w:pBdr/>
              <w:spacing/>
              <w:ind/>
              <w:rPr/>
            </w:pPr>
            <w:r/>
            <w:hyperlink r:id="rId12" w:tooltip="https://amateur.fmf.mx/assets/Docs/Reglamentos/Sanciones.pdf" w:history="1">
              <w:r>
                <w:rPr>
                  <w:rStyle w:val="711"/>
                </w:rPr>
                <w:t xml:space="preserve">https://amateur.fmf.mx/assets/Docs/Reglamentos/Sanciones.pdf</w:t>
              </w:r>
            </w:hyperlink>
            <w:r/>
            <w:r/>
          </w:p>
        </w:tc>
      </w:tr>
      <w:tr>
        <w:trPr>
          <w:cantSplit/>
        </w:trPr>
        <w:tc>
          <w:tcPr>
            <w:shd w:val="clear" w:color="auto" w:fill="fafafc"/>
            <w:tcBorders/>
            <w:tcW w:w="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REF-06</w:t>
            </w:r>
            <w:r/>
          </w:p>
        </w:tc>
        <w:tc>
          <w:tcPr>
            <w:shd w:val="clear" w:color="auto" w:fill="fafafc"/>
            <w:tcBorders/>
            <w:tcW w:w="40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Sistema de Gestión de la Liga Municipal de Futbol Amateur Morelia: documento de visión, alcance y requerimientos preliminares (presentación). </w:t>
            </w:r>
            <w:r>
              <w:rPr>
                <w:i/>
                <w:iCs/>
              </w:rPr>
              <w:t xml:space="preserve">Fuente secundaria.</w:t>
            </w:r>
            <w:r/>
          </w:p>
        </w:tc>
        <w:tc>
          <w:tcPr>
            <w:shd w:val="clear" w:color="auto" w:fill="fafafc"/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afafc"/>
            <w:tcBorders/>
            <w:tcW w:w="24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contexto/Sistema_Gestion_Liga_Municipal_Morelia_Base_Ingenieria_Software.pptx</w:t>
            </w:r>
            <w:r/>
          </w:p>
        </w:tc>
      </w:tr>
      <w:tr>
        <w:trPr>
          <w:cantSplit/>
        </w:trPr>
        <w:tc>
          <w:tcPr>
            <w:tcBorders/>
            <w:tcW w:w="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REF-07</w:t>
            </w:r>
            <w:r/>
          </w:p>
        </w:tc>
        <w:tc>
          <w:tcPr>
            <w:tcBorders/>
            <w:tcW w:w="40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Respuestas al cuestionario de levantamiento (P1 a P23) y aclaraciones posteriores. </w:t>
            </w:r>
            <w:r>
              <w:rPr>
                <w:i/>
                <w:iCs/>
              </w:rPr>
              <w:t xml:space="preserve">Información del cliente.</w:t>
            </w:r>
            <w:r/>
          </w:p>
        </w:tc>
        <w:tc>
          <w:tcPr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Equipo del proyecto, octubre de 2026.</w:t>
            </w:r>
            <w:r/>
          </w:p>
        </w:tc>
        <w:tc>
          <w:tcPr>
            <w:tcBorders/>
            <w:tcW w:w="24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contexto/respuestas.docx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/>
            <w:tcW w:w="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REF-08</w:t>
            </w:r>
            <w:r/>
          </w:p>
        </w:tc>
        <w:tc>
          <w:tcPr>
            <w:shd w:val="clear" w:color="auto" w:fill="fafafc"/>
            <w:tcBorders/>
            <w:tcW w:w="40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Plantilla «Especificación de requisitos de software» (ERS simplificado), basada en IEEE Std 830-1998.</w:t>
            </w:r>
            <w:r/>
          </w:p>
        </w:tc>
        <w:tc>
          <w:tcPr>
            <w:shd w:val="clear" w:color="auto" w:fill="fafafc"/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27/02/2023.</w:t>
            </w:r>
            <w:r/>
          </w:p>
        </w:tc>
        <w:tc>
          <w:tcPr>
            <w:shd w:val="clear" w:color="auto" w:fill="fafafc"/>
            <w:tcBorders/>
            <w:tcW w:w="24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contexto/ERS simplificado.docx</w:t>
            </w:r>
            <w:r/>
          </w:p>
        </w:tc>
      </w:tr>
      <w:tr>
        <w:trPr>
          <w:cantSplit/>
        </w:trPr>
        <w:tc>
          <w:tcPr>
            <w:tcBorders/>
            <w:tcW w:w="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REF-09</w:t>
            </w:r>
            <w:r/>
          </w:p>
        </w:tc>
        <w:tc>
          <w:tcPr>
            <w:tcBorders/>
            <w:tcW w:w="40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ISO/IEC/IEEE 29148:2018, Requirements engineering. </w:t>
            </w:r>
            <w:r>
              <w:rPr>
                <w:i/>
                <w:iCs/>
              </w:rPr>
              <w:t xml:space="preserve">Norma técnica.</w:t>
            </w:r>
            <w:r/>
          </w:p>
        </w:tc>
        <w:tc>
          <w:tcPr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ISO, IEC e IEEE, noviembre de 2018.</w:t>
            </w:r>
            <w:r/>
          </w:p>
        </w:tc>
        <w:tc>
          <w:tcPr>
            <w:tcBorders/>
            <w:tcW w:w="2404" w:type="dxa"/>
          </w:tcPr>
          <w:p>
            <w:pPr>
              <w:pStyle w:val="706"/>
              <w:pBdr/>
              <w:spacing/>
              <w:ind/>
              <w:rPr/>
            </w:pPr>
            <w:r/>
            <w:hyperlink r:id="rId13" w:tooltip="https://www.iso.org/standard/72089.html" w:history="1">
              <w:r>
                <w:rPr>
                  <w:rStyle w:val="711"/>
                </w:rPr>
                <w:t xml:space="preserve">https://www.iso.org/standard/72089.html</w:t>
              </w:r>
            </w:hyperlink>
            <w:r/>
            <w:r/>
          </w:p>
        </w:tc>
      </w:tr>
      <w:tr>
        <w:trPr>
          <w:cantSplit/>
        </w:trPr>
        <w:tc>
          <w:tcPr>
            <w:shd w:val="clear" w:color="auto" w:fill="fafafc"/>
            <w:tcBorders/>
            <w:tcW w:w="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REF-10</w:t>
            </w:r>
            <w:r/>
          </w:p>
        </w:tc>
        <w:tc>
          <w:tcPr>
            <w:shd w:val="clear" w:color="auto" w:fill="fafafc"/>
            <w:tcBorders/>
            <w:tcW w:w="40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IEEE Std 830-1998, Recommended Practice for Software Requirements Specifications. </w:t>
            </w:r>
            <w:r>
              <w:rPr>
                <w:i/>
                <w:iCs/>
              </w:rPr>
              <w:t xml:space="preserve">Referencia histórica.</w:t>
            </w:r>
            <w:r/>
          </w:p>
        </w:tc>
        <w:tc>
          <w:tcPr>
            <w:shd w:val="clear" w:color="auto" w:fill="fafafc"/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IEEE, 1998.</w:t>
            </w:r>
            <w:r/>
          </w:p>
        </w:tc>
        <w:tc>
          <w:tcPr>
            <w:shd w:val="clear" w:color="auto" w:fill="fafafc"/>
            <w:tcBorders/>
            <w:tcW w:w="24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Antecedente de REF-08.</w:t>
            </w:r>
            <w:r/>
          </w:p>
        </w:tc>
      </w:tr>
      <w:tr>
        <w:trPr>
          <w:cantSplit/>
        </w:trPr>
        <w:tc>
          <w:tcPr>
            <w:tcBorders/>
            <w:tcW w:w="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REF-11</w:t>
            </w:r>
            <w:r/>
          </w:p>
        </w:tc>
        <w:tc>
          <w:tcPr>
            <w:tcBorders/>
            <w:tcW w:w="40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ISO/IEC 25010, modelo de calidad del producto. </w:t>
            </w:r>
            <w:r>
              <w:rPr>
                <w:i/>
                <w:iCs/>
              </w:rPr>
              <w:t xml:space="preserve">Norma técnica para los RNF.</w:t>
            </w:r>
            <w:r/>
          </w:p>
        </w:tc>
        <w:tc>
          <w:tcPr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ISO e IEC. Edición (2011 o 2023)</w:t>
            </w:r>
            <w:r/>
          </w:p>
        </w:tc>
        <w:tc>
          <w:tcPr>
            <w:tcBorders/>
            <w:tcW w:w="2404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Se usará en las secciones de requisitos no funcionales.</w:t>
            </w:r>
            <w:r/>
          </w:p>
        </w:tc>
      </w:tr>
      <w:tr>
        <w:trPr>
          <w:cantSplit/>
        </w:trPr>
        <w:tc>
          <w:tcPr>
            <w:shd w:val="clear" w:color="auto" w:fill="fafafc"/>
            <w:tcBorders/>
            <w:tcW w:w="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REF-12</w:t>
            </w:r>
            <w:r/>
          </w:p>
        </w:tc>
        <w:tc>
          <w:tcPr>
            <w:shd w:val="clear" w:color="auto" w:fill="fafafc"/>
            <w:tcBorders/>
            <w:tcW w:w="40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Ley Federal de Protección de Datos Personales en Posesión de los Particulares. </w:t>
            </w:r>
            <w:r>
              <w:rPr>
                <w:i/>
                <w:iCs/>
              </w:rPr>
              <w:t xml:space="preserve">Norma legal.</w:t>
            </w:r>
            <w:r/>
          </w:p>
        </w:tc>
        <w:tc>
          <w:tcPr>
            <w:shd w:val="clear" w:color="auto" w:fill="fafafc"/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DOF 20/03/2025; vigente desde el 21/03/2025.</w:t>
            </w:r>
            <w:r/>
          </w:p>
        </w:tc>
        <w:tc>
          <w:tcPr>
            <w:shd w:val="clear" w:color="auto" w:fill="fafafc"/>
            <w:tcBorders/>
            <w:tcW w:w="2404" w:type="dxa"/>
          </w:tcPr>
          <w:p>
            <w:pPr>
              <w:pStyle w:val="706"/>
              <w:pBdr/>
              <w:spacing/>
              <w:ind/>
              <w:rPr/>
            </w:pPr>
            <w:r/>
            <w:hyperlink r:id="rId14" w:tooltip="https://www.diputados.gob.mx/LeyesBiblio/pdf/LFPDPPP.pdf" w:history="1">
              <w:r>
                <w:rPr>
                  <w:rStyle w:val="711"/>
                </w:rPr>
                <w:t xml:space="preserve">https://www.diputados.gob.mx/LeyesBiblio/pdf/LFPDPPP.pdf</w:t>
              </w:r>
            </w:hyperlink>
            <w:r/>
            <w:r/>
          </w:p>
        </w:tc>
      </w:tr>
      <w:tr>
        <w:trPr>
          <w:cantSplit/>
        </w:trPr>
        <w:tc>
          <w:tcPr>
            <w:tcBorders/>
            <w:tcW w:w="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REF-13</w:t>
            </w:r>
            <w:r/>
          </w:p>
        </w:tc>
        <w:tc>
          <w:tcPr>
            <w:tcBorders/>
            <w:tcW w:w="40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«Nosotros», sitio oficial del IMCUFIDE. </w:t>
            </w:r>
            <w:r>
              <w:rPr>
                <w:i/>
                <w:iCs/>
              </w:rPr>
              <w:t xml:space="preserve">Fuente secundaria.</w:t>
            </w:r>
            <w:r/>
          </w:p>
        </w:tc>
        <w:tc>
          <w:tcPr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IMCUFIDE, consulta de octubre de 2026.</w:t>
            </w:r>
            <w:r/>
          </w:p>
        </w:tc>
        <w:tc>
          <w:tcPr>
            <w:tcBorders/>
            <w:tcW w:w="2404" w:type="dxa"/>
          </w:tcPr>
          <w:p>
            <w:pPr>
              <w:pStyle w:val="706"/>
              <w:pBdr/>
              <w:spacing/>
              <w:ind/>
              <w:rPr/>
            </w:pPr>
            <w:r/>
            <w:hyperlink r:id="rId15" w:tooltip="https://imcufide.org/nosotros/" w:history="1">
              <w:r>
                <w:rPr>
                  <w:rStyle w:val="711"/>
                </w:rPr>
                <w:t xml:space="preserve">https://imcufide.org/nosotros/</w:t>
              </w:r>
            </w:hyperlink>
            <w:r/>
            <w:r/>
          </w:p>
        </w:tc>
      </w:tr>
      <w:tr>
        <w:trPr>
          <w:cantSplit/>
        </w:trPr>
        <w:tc>
          <w:tcPr>
            <w:shd w:val="clear" w:color="auto" w:fill="fafafc"/>
            <w:tcBorders/>
            <w:tcW w:w="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REF-14</w:t>
            </w:r>
            <w:r/>
          </w:p>
        </w:tc>
        <w:tc>
          <w:tcPr>
            <w:shd w:val="clear" w:color="auto" w:fill="fafafc"/>
            <w:tcBorders/>
            <w:tcW w:w="40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«Abre convocatoria la Liga Municipal de Futbol Amateur Morelia para la nueva temporada 2025-2026». </w:t>
            </w:r>
            <w:r>
              <w:rPr>
                <w:i/>
                <w:iCs/>
              </w:rPr>
              <w:t xml:space="preserve">Prensa.</w:t>
            </w:r>
            <w:r/>
          </w:p>
        </w:tc>
        <w:tc>
          <w:tcPr>
            <w:shd w:val="clear" w:color="auto" w:fill="fafafc"/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Contramuro, 27/08/2025.</w:t>
            </w:r>
            <w:r/>
          </w:p>
        </w:tc>
        <w:tc>
          <w:tcPr>
            <w:shd w:val="clear" w:color="auto" w:fill="fafafc"/>
            <w:tcBorders/>
            <w:tcW w:w="2404" w:type="dxa"/>
          </w:tcPr>
          <w:p>
            <w:pPr>
              <w:pStyle w:val="706"/>
              <w:pBdr/>
              <w:spacing/>
              <w:ind/>
              <w:rPr/>
            </w:pPr>
            <w:r/>
            <w:hyperlink r:id="rId16" w:tooltip="https://www.contramuro.com/convocatoria-para-liga-municipal-de-futbol-morelia-2025-2026/" w:history="1">
              <w:r>
                <w:rPr>
                  <w:rStyle w:val="711"/>
                </w:rPr>
                <w:t xml:space="preserve">https://www.contramuro.com/convocatoria-para-liga-municipal-de-futbol-morelia-2025-2026/</w:t>
              </w:r>
            </w:hyperlink>
            <w:r/>
            <w:r/>
          </w:p>
        </w:tc>
      </w:tr>
      <w:tr>
        <w:trPr>
          <w:cantSplit/>
        </w:trPr>
        <w:tc>
          <w:tcPr>
            <w:tcBorders/>
            <w:tcW w:w="9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REF-15</w:t>
            </w:r>
            <w:r/>
          </w:p>
        </w:tc>
        <w:tc>
          <w:tcPr>
            <w:tcBorders/>
            <w:tcW w:w="40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«Regresa la Liga Municipal de Futbol Amateur Morelia». </w:t>
            </w:r>
            <w:r>
              <w:rPr>
                <w:i/>
                <w:iCs/>
              </w:rPr>
              <w:t xml:space="preserve">Prensa.</w:t>
            </w:r>
            <w:r/>
          </w:p>
        </w:tc>
        <w:tc>
          <w:tcPr>
            <w:tcBorders/>
            <w:tcW w:w="2100" w:type="dxa"/>
          </w:tcPr>
          <w:p>
            <w:pPr>
              <w:pStyle w:val="706"/>
              <w:pBdr/>
              <w:spacing/>
              <w:ind/>
              <w:rPr/>
            </w:pPr>
            <w:r>
              <w:t xml:space="preserve">Contramuro, 03/11/2025.</w:t>
            </w:r>
            <w:r/>
          </w:p>
        </w:tc>
        <w:tc>
          <w:tcPr>
            <w:tcBorders/>
            <w:tcW w:w="2404" w:type="dxa"/>
          </w:tcPr>
          <w:p>
            <w:pPr>
              <w:pStyle w:val="706"/>
              <w:pBdr/>
              <w:spacing/>
              <w:ind/>
              <w:rPr/>
            </w:pPr>
            <w:r/>
            <w:hyperlink r:id="rId17" w:tooltip="https://www.contramuro.com/liga-municipal-futbol-morelia-regresa-2025-2026/" w:history="1">
              <w:r>
                <w:rPr>
                  <w:rStyle w:val="711"/>
                </w:rPr>
                <w:t xml:space="preserve">https://www.contramuro.com/liga-municipal-futbol-morelia-regresa-2025-2026/</w:t>
              </w:r>
            </w:hyperlink>
            <w:r/>
            <w:r/>
          </w:p>
        </w:tc>
      </w:tr>
    </w:tbl>
    <w:p>
      <w:pPr>
        <w:pBdr/>
        <w:spacing w:after="60" w:before="0"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18" w:right="1418" w:bottom="1276" w:left="1418" w:header="708" w:footer="567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0"/>
      <w:pBdr/>
      <w:tabs>
        <w:tab w:val="right" w:leader="none" w:pos="9404"/>
      </w:tabs>
      <w:spacing/>
      <w:ind/>
      <w:rPr/>
    </w:pPr>
    <w:r>
      <w:rPr>
        <w:color w:val="595959"/>
        <w:sz w:val="16"/>
        <w:szCs w:val="16"/>
      </w:rPr>
      <w:t xml:space="preserve">Liga Municipal de Fútbol Amateur de Morelia, A.C.</w:t>
    </w:r>
    <w:r>
      <w:rPr>
        <w:sz w:val="16"/>
        <w:szCs w:val="16"/>
      </w:rPr>
      <w:tab/>
    </w: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PAGE </w:instrText>
    </w:r>
    <w:r>
      <w:rPr>
        <w:color w:val="595959"/>
        <w:sz w:val="16"/>
      </w:rPr>
      <w:fldChar w:fldCharType="separate"/>
    </w:r>
    <w:r>
      <w:rPr>
        <w:color w:val="595959"/>
        <w:sz w:val="16"/>
      </w:rPr>
      <w:t xml:space="preserve">1</w:t>
    </w:r>
    <w:r>
      <w:rPr>
        <w:color w:val="595959"/>
        <w:sz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NUMPAGES </w:instrText>
    </w:r>
    <w:r>
      <w:rPr>
        <w:color w:val="595959"/>
        <w:sz w:val="16"/>
      </w:rPr>
      <w:fldChar w:fldCharType="separate"/>
    </w:r>
    <w:r>
      <w:rPr>
        <w:color w:val="595959"/>
        <w:sz w:val="16"/>
      </w:rPr>
      <w:t xml:space="preserve">1</w:t>
    </w:r>
    <w:r>
      <w:rPr>
        <w:color w:val="595959"/>
        <w:sz w:val="16"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9"/>
      <w:pBdr>
        <w:bottom w:val="single" w:color="bfbfbf" w:sz="4" w:space="4"/>
      </w:pBdr>
      <w:spacing/>
      <w:ind/>
      <w:jc w:val="right"/>
      <w:rPr/>
    </w:pPr>
    <w:r>
      <w:rPr>
        <w:color w:val="595959"/>
        <w:sz w:val="16"/>
        <w:szCs w:val="16"/>
      </w:rPr>
      <w:t xml:space="preserve">ERS · Sistema de Gestión de la Liga Municipal de Futbol Amateur Morelia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•"/>
      <w:numFmt w:val="bullet"/>
      <w:pPr>
        <w:pBdr/>
        <w:spacing/>
        <w:ind w:hanging="283" w:left="567"/>
      </w:pPr>
      <w:rPr>
        <w:rFonts w:hint="default" w:ascii="Arial" w:hAnsi="Aria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170" w:left="198"/>
      </w:pPr>
      <w:rPr>
        <w:rFonts w:hint="default" w:ascii="Arial" w:hAnsi="Aria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283" w:left="567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1"/>
        <w:szCs w:val="21"/>
        <w:lang w:val="es-MX" w:eastAsia="es-MX" w:bidi="ar-SA"/>
      </w:rPr>
    </w:rPrDefault>
    <w:pPrDefault>
      <w:pPr>
        <w:pBdr/>
        <w:spacing w:after="120" w:afterAutospacing="0" w:before="0" w:beforeAutospacing="0" w:line="264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702"/>
    <w:next w:val="702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02"/>
    <w:next w:val="70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02"/>
    <w:next w:val="70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02"/>
    <w:next w:val="70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02"/>
    <w:next w:val="70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02"/>
    <w:next w:val="70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02"/>
    <w:next w:val="70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02"/>
    <w:next w:val="70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02"/>
    <w:next w:val="70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02"/>
    <w:next w:val="70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2"/>
    <w:next w:val="70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148"/>
    <w:link w:val="709"/>
    <w:uiPriority w:val="99"/>
    <w:pPr>
      <w:pBdr/>
      <w:spacing/>
      <w:ind/>
    </w:pPr>
  </w:style>
  <w:style w:type="character" w:styleId="179">
    <w:name w:val="Footer Char"/>
    <w:basedOn w:val="148"/>
    <w:link w:val="710"/>
    <w:uiPriority w:val="99"/>
    <w:pPr>
      <w:pBdr/>
      <w:spacing/>
      <w:ind/>
    </w:pPr>
  </w:style>
  <w:style w:type="paragraph" w:styleId="181">
    <w:name w:val="footnote text"/>
    <w:basedOn w:val="70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2"/>
    <w:next w:val="702"/>
    <w:uiPriority w:val="39"/>
    <w:unhideWhenUsed/>
    <w:pPr>
      <w:pBdr/>
      <w:spacing w:after="100"/>
      <w:ind/>
    </w:pPr>
  </w:style>
  <w:style w:type="paragraph" w:styleId="190">
    <w:name w:val="toc 2"/>
    <w:basedOn w:val="702"/>
    <w:next w:val="702"/>
    <w:uiPriority w:val="39"/>
    <w:unhideWhenUsed/>
    <w:pPr>
      <w:pBdr/>
      <w:spacing w:after="100"/>
      <w:ind w:left="220"/>
    </w:pPr>
  </w:style>
  <w:style w:type="paragraph" w:styleId="191">
    <w:name w:val="toc 3"/>
    <w:basedOn w:val="702"/>
    <w:next w:val="702"/>
    <w:uiPriority w:val="39"/>
    <w:unhideWhenUsed/>
    <w:pPr>
      <w:pBdr/>
      <w:spacing w:after="100"/>
      <w:ind w:left="440"/>
    </w:pPr>
  </w:style>
  <w:style w:type="paragraph" w:styleId="192">
    <w:name w:val="toc 4"/>
    <w:basedOn w:val="702"/>
    <w:next w:val="702"/>
    <w:uiPriority w:val="39"/>
    <w:unhideWhenUsed/>
    <w:pPr>
      <w:pBdr/>
      <w:spacing w:after="100"/>
      <w:ind w:left="660"/>
    </w:pPr>
  </w:style>
  <w:style w:type="paragraph" w:styleId="193">
    <w:name w:val="toc 5"/>
    <w:basedOn w:val="702"/>
    <w:next w:val="702"/>
    <w:uiPriority w:val="39"/>
    <w:unhideWhenUsed/>
    <w:pPr>
      <w:pBdr/>
      <w:spacing w:after="100"/>
      <w:ind w:left="880"/>
    </w:pPr>
  </w:style>
  <w:style w:type="paragraph" w:styleId="194">
    <w:name w:val="toc 6"/>
    <w:basedOn w:val="702"/>
    <w:next w:val="702"/>
    <w:uiPriority w:val="39"/>
    <w:unhideWhenUsed/>
    <w:pPr>
      <w:pBdr/>
      <w:spacing w:after="100"/>
      <w:ind w:left="1100"/>
    </w:pPr>
  </w:style>
  <w:style w:type="paragraph" w:styleId="195">
    <w:name w:val="toc 7"/>
    <w:basedOn w:val="702"/>
    <w:next w:val="702"/>
    <w:uiPriority w:val="39"/>
    <w:unhideWhenUsed/>
    <w:pPr>
      <w:pBdr/>
      <w:spacing w:after="100"/>
      <w:ind w:left="1320"/>
    </w:pPr>
  </w:style>
  <w:style w:type="paragraph" w:styleId="196">
    <w:name w:val="toc 8"/>
    <w:basedOn w:val="702"/>
    <w:next w:val="702"/>
    <w:uiPriority w:val="39"/>
    <w:unhideWhenUsed/>
    <w:pPr>
      <w:pBdr/>
      <w:spacing w:after="100"/>
      <w:ind w:left="1540"/>
    </w:pPr>
  </w:style>
  <w:style w:type="paragraph" w:styleId="197">
    <w:name w:val="toc 9"/>
    <w:basedOn w:val="702"/>
    <w:next w:val="70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2"/>
    <w:next w:val="702"/>
    <w:uiPriority w:val="99"/>
    <w:unhideWhenUsed/>
    <w:pPr>
      <w:pBdr/>
      <w:spacing w:after="0" w:afterAutospacing="0"/>
      <w:ind/>
    </w:pPr>
  </w:style>
  <w:style w:type="paragraph" w:styleId="702" w:default="1">
    <w:name w:val="Normal"/>
    <w:qFormat/>
    <w:pPr>
      <w:pBdr/>
      <w:spacing/>
      <w:ind/>
      <w:jc w:val="both"/>
    </w:pPr>
  </w:style>
  <w:style w:type="paragraph" w:styleId="703">
    <w:name w:val="Heading 1"/>
    <w:basedOn w:val="702"/>
    <w:next w:val="702"/>
    <w:qFormat/>
    <w:pPr>
      <w:keepNext w:val="true"/>
      <w:keepLines w:val="true"/>
      <w:pBdr/>
      <w:spacing w:after="200" w:before="120"/>
      <w:ind/>
      <w:jc w:val="left"/>
      <w:outlineLvl w:val="0"/>
    </w:pPr>
    <w:rPr>
      <w:b/>
      <w:bCs/>
      <w:color w:val="241a61"/>
      <w:sz w:val="34"/>
      <w:szCs w:val="34"/>
    </w:rPr>
  </w:style>
  <w:style w:type="paragraph" w:styleId="704">
    <w:name w:val="Heading 2"/>
    <w:basedOn w:val="702"/>
    <w:next w:val="702"/>
    <w:qFormat/>
    <w:pPr>
      <w:keepNext w:val="true"/>
      <w:keepLines w:val="true"/>
      <w:pBdr/>
      <w:spacing w:after="140" w:before="320"/>
      <w:ind/>
      <w:jc w:val="left"/>
      <w:outlineLvl w:val="1"/>
    </w:pPr>
    <w:rPr>
      <w:b/>
      <w:bCs/>
      <w:color w:val="241a61"/>
      <w:sz w:val="27"/>
      <w:szCs w:val="27"/>
    </w:rPr>
  </w:style>
  <w:style w:type="paragraph" w:styleId="705">
    <w:name w:val="List Paragraph"/>
    <w:basedOn w:val="702"/>
    <w:qFormat/>
    <w:pPr>
      <w:pBdr/>
      <w:spacing w:after="60"/>
      <w:ind w:left="720"/>
      <w:contextualSpacing w:val="true"/>
    </w:pPr>
  </w:style>
  <w:style w:type="paragraph" w:styleId="706">
    <w:name w:val="Texto de tabla"/>
    <w:basedOn w:val="702"/>
    <w:pPr>
      <w:pBdr/>
      <w:spacing w:after="20" w:before="0" w:line="240" w:lineRule="auto"/>
      <w:ind/>
      <w:jc w:val="left"/>
    </w:pPr>
    <w:rPr>
      <w:sz w:val="17"/>
      <w:szCs w:val="17"/>
    </w:rPr>
  </w:style>
  <w:style w:type="paragraph" w:styleId="707">
    <w:name w:val="Caption"/>
    <w:basedOn w:val="702"/>
    <w:next w:val="702"/>
    <w:qFormat/>
    <w:pPr>
      <w:pBdr/>
      <w:spacing w:after="160" w:before="60"/>
      <w:ind/>
      <w:jc w:val="center"/>
    </w:pPr>
    <w:rPr>
      <w:color w:val="404040"/>
      <w:sz w:val="18"/>
      <w:szCs w:val="18"/>
    </w:rPr>
  </w:style>
  <w:style w:type="paragraph" w:styleId="708">
    <w:name w:val="Nota"/>
    <w:basedOn w:val="702"/>
    <w:pPr>
      <w:pBdr/>
      <w:shd w:val="clear" w:color="auto" w:fill="f2f2f2"/>
      <w:spacing w:after="160" w:before="80"/>
      <w:ind w:right="113" w:left="113"/>
    </w:pPr>
    <w:rPr>
      <w:sz w:val="19"/>
      <w:szCs w:val="19"/>
    </w:rPr>
  </w:style>
  <w:style w:type="paragraph" w:styleId="709">
    <w:name w:val="Header"/>
    <w:basedOn w:val="702"/>
    <w:pPr>
      <w:pBdr/>
      <w:spacing w:after="0"/>
      <w:ind/>
    </w:pPr>
  </w:style>
  <w:style w:type="paragraph" w:styleId="710">
    <w:name w:val="Footer"/>
    <w:basedOn w:val="702"/>
    <w:pPr>
      <w:pBdr/>
      <w:spacing w:after="0"/>
      <w:ind/>
    </w:pPr>
  </w:style>
  <w:style w:type="character" w:styleId="711">
    <w:name w:val="Hyperlink"/>
    <w:pPr>
      <w:pBdr/>
      <w:spacing/>
      <w:ind/>
    </w:pPr>
    <w:rPr>
      <w:color w:val="1f4e9a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hyperlink" Target="https://www.theifab.com/es/laws-of-the-game-documents/" TargetMode="External"/><Relationship Id="rId12" Type="http://schemas.openxmlformats.org/officeDocument/2006/relationships/hyperlink" Target="https://amateur.fmf.mx/assets/Docs/Reglamentos/Sanciones.pdf" TargetMode="External"/><Relationship Id="rId13" Type="http://schemas.openxmlformats.org/officeDocument/2006/relationships/hyperlink" Target="https://www.iso.org/standard/72089.html" TargetMode="External"/><Relationship Id="rId14" Type="http://schemas.openxmlformats.org/officeDocument/2006/relationships/hyperlink" Target="https://www.diputados.gob.mx/LeyesBiblio/pdf/LFPDPPP.pdf" TargetMode="External"/><Relationship Id="rId15" Type="http://schemas.openxmlformats.org/officeDocument/2006/relationships/hyperlink" Target="https://imcufide.org/nosotros/" TargetMode="External"/><Relationship Id="rId16" Type="http://schemas.openxmlformats.org/officeDocument/2006/relationships/hyperlink" Target="https://www.contramuro.com/convocatoria-para-liga-municipal-de-futbol-morelia-2025-2026/" TargetMode="External"/><Relationship Id="rId17" Type="http://schemas.openxmlformats.org/officeDocument/2006/relationships/hyperlink" Target="https://www.contramuro.com/liga-municipal-futbol-morelia-regresa-2025-2026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ERS — Sistema de Gestión de la Liga Municipal de Futbol Amateur Morelia</dc:title>
  <dc:language>es-MX</dc:language>
  <cp:revision>1</cp:revision>
  <dcterms:created xsi:type="dcterms:W3CDTF">2026-10-05T00:00:00Z</dcterms:created>
  <dcterms:modified xsi:type="dcterms:W3CDTF">2026-10-06T02:21:31Z</dcterms:modified>
</cp:coreProperties>
</file>