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9"/>
        <w:pBdr/>
        <w:spacing/>
        <w:ind/>
        <w:rPr/>
      </w:pPr>
      <w:r>
        <w:t xml:space="preserve">Contenido</w:t>
      </w:r>
      <w:r/>
    </w:p>
    <w:p>
      <w:pPr>
        <w:pStyle w:val="924"/>
        <w:pBdr/>
        <w:spacing/>
        <w:ind/>
        <w:rPr/>
      </w:pPr>
      <w:r>
        <w:fldChar w:fldCharType="begin"/>
      </w:r>
      <w:r>
        <w:instrText xml:space="preserve"> TOC \o "1-3" \h \z \u </w:instrText>
      </w:r>
      <w:r>
        <w:fldChar w:fldCharType="separate"/>
      </w:r>
      <w:hyperlink w:tooltip="#_Toc100001" w:anchor="_Toc100001" w:history="1">
        <w:r>
          <w:t xml:space="preserve">1. Introducción</w:t>
        </w:r>
        <w:r>
          <w:tab/>
        </w:r>
        <w:r>
          <w:t xml:space="preserve">2</w:t>
        </w:r>
      </w:hyperlink>
      <w:r/>
      <w:r/>
    </w:p>
    <w:p>
      <w:pPr>
        <w:pStyle w:val="925"/>
        <w:pBdr/>
        <w:spacing/>
        <w:ind/>
        <w:rPr/>
      </w:pPr>
      <w:r/>
      <w:hyperlink w:tooltip="#_Toc100002" w:anchor="_Toc100002" w:history="1">
        <w:r>
          <w:t xml:space="preserve">1.1 Propósito</w:t>
        </w:r>
        <w:r>
          <w:tab/>
        </w:r>
        <w:r>
          <w:t xml:space="preserve">2</w:t>
        </w:r>
      </w:hyperlink>
      <w:r/>
      <w:r/>
    </w:p>
    <w:p>
      <w:pPr>
        <w:pStyle w:val="925"/>
        <w:pBdr/>
        <w:spacing/>
        <w:ind/>
        <w:rPr/>
      </w:pPr>
      <w:r/>
      <w:hyperlink w:tooltip="#_Toc100003" w:anchor="_Toc100003" w:history="1">
        <w:r>
          <w:t xml:space="preserve">1.2 Alcance</w:t>
        </w:r>
        <w:r>
          <w:tab/>
        </w:r>
        <w:r>
          <w:t xml:space="preserve">2</w:t>
        </w:r>
      </w:hyperlink>
      <w:r/>
      <w:r/>
    </w:p>
    <w:p>
      <w:pPr>
        <w:pStyle w:val="925"/>
        <w:pBdr/>
        <w:spacing/>
        <w:ind/>
        <w:rPr/>
      </w:pPr>
      <w:r/>
      <w:hyperlink w:tooltip="#_Toc100004" w:anchor="_Toc100004" w:history="1">
        <w:r>
          <w:t xml:space="preserve">1.3 Personal involucrado</w:t>
        </w:r>
        <w:r>
          <w:tab/>
        </w:r>
        <w:r>
          <w:t xml:space="preserve">4</w:t>
        </w:r>
      </w:hyperlink>
      <w:r/>
      <w:r/>
    </w:p>
    <w:p>
      <w:pPr>
        <w:pStyle w:val="925"/>
        <w:pBdr/>
        <w:spacing/>
        <w:ind/>
        <w:rPr/>
      </w:pPr>
      <w:r/>
      <w:hyperlink w:tooltip="#_Toc100005" w:anchor="_Toc100005" w:history="1">
        <w:r>
          <w:t xml:space="preserve">1.4 Definiciones, acrónimos y abreviaturas</w:t>
        </w:r>
        <w:r>
          <w:tab/>
        </w:r>
        <w:r>
          <w:t xml:space="preserve">5</w:t>
        </w:r>
      </w:hyperlink>
      <w:r/>
      <w:r/>
    </w:p>
    <w:p>
      <w:pPr>
        <w:pStyle w:val="925"/>
        <w:pBdr/>
        <w:spacing/>
        <w:ind/>
        <w:rPr/>
      </w:pPr>
      <w:r/>
      <w:hyperlink w:tooltip="#_Toc100006" w:anchor="_Toc100006" w:history="1">
        <w:r>
          <w:t xml:space="preserve">1.5 Referencias</w:t>
        </w:r>
        <w:r>
          <w:tab/>
        </w:r>
        <w:r>
          <w:t xml:space="preserve">7</w:t>
        </w:r>
      </w:hyperlink>
      <w:r/>
      <w:r/>
    </w:p>
    <w:p>
      <w:pPr>
        <w:pStyle w:val="924"/>
        <w:pBdr/>
        <w:spacing/>
        <w:ind/>
        <w:rPr/>
      </w:pPr>
      <w:r/>
      <w:hyperlink w:tooltip="#_Toc100007" w:anchor="_Toc100007" w:history="1">
        <w:r>
          <w:t xml:space="preserve">2. Descripción general</w:t>
        </w:r>
        <w:r>
          <w:tab/>
        </w:r>
        <w:r>
          <w:t xml:space="preserve">9</w:t>
        </w:r>
      </w:hyperlink>
      <w:r/>
      <w:r/>
    </w:p>
    <w:p>
      <w:pPr>
        <w:pStyle w:val="925"/>
        <w:pBdr/>
        <w:spacing/>
        <w:ind/>
        <w:rPr/>
      </w:pPr>
      <w:r/>
      <w:hyperlink w:tooltip="#_Toc100008" w:anchor="_Toc100008" w:history="1">
        <w:r>
          <w:t xml:space="preserve">2.1 Perspectiva del producto</w:t>
        </w:r>
        <w:r>
          <w:tab/>
        </w:r>
        <w:r>
          <w:t xml:space="preserve">9</w:t>
        </w:r>
      </w:hyperlink>
      <w:r/>
      <w:r/>
    </w:p>
    <w:p>
      <w:pPr>
        <w:pStyle w:val="925"/>
        <w:pBdr/>
        <w:spacing/>
        <w:ind/>
        <w:rPr/>
      </w:pPr>
      <w:r/>
      <w:hyperlink w:tooltip="#_Toc100009" w:anchor="_Toc100009" w:history="1">
        <w:r>
          <w:t xml:space="preserve">2.2 Funcionalidad del producto</w:t>
        </w:r>
        <w:r>
          <w:tab/>
        </w:r>
        <w:r>
          <w:t xml:space="preserve">9</w:t>
        </w:r>
      </w:hyperlink>
      <w:r/>
      <w:r/>
    </w:p>
    <w:p>
      <w:pPr>
        <w:pStyle w:val="925"/>
        <w:pBdr/>
        <w:spacing/>
        <w:ind/>
        <w:rPr/>
      </w:pPr>
      <w:r/>
      <w:hyperlink w:tooltip="#_Toc100010" w:anchor="_Toc100010" w:history="1">
        <w:r>
          <w:t xml:space="preserve">2.3 Características de los usuarios</w:t>
        </w:r>
        <w:r>
          <w:tab/>
        </w:r>
        <w:r>
          <w:t xml:space="preserve">10</w:t>
        </w:r>
      </w:hyperlink>
      <w:r/>
      <w:r/>
    </w:p>
    <w:p>
      <w:pPr>
        <w:pStyle w:val="925"/>
        <w:pBdr/>
        <w:spacing/>
        <w:ind/>
        <w:rPr/>
      </w:pPr>
      <w:r/>
      <w:hyperlink w:tooltip="#_Toc100011" w:anchor="_Toc100011" w:history="1">
        <w:r>
          <w:t xml:space="preserve">2.4 Restricciones</w:t>
        </w:r>
        <w:r>
          <w:tab/>
        </w:r>
        <w:r>
          <w:t xml:space="preserve">11</w:t>
        </w:r>
      </w:hyperlink>
      <w:r/>
      <w:r/>
    </w:p>
    <w:p>
      <w:pPr>
        <w:pStyle w:val="924"/>
        <w:pBdr/>
        <w:spacing/>
        <w:ind/>
        <w:rPr/>
      </w:pPr>
      <w:r/>
      <w:hyperlink w:tooltip="#_Toc100012" w:anchor="_Toc100012" w:history="1">
        <w:r>
          <w:t xml:space="preserve">3. Requisitos específicos</w:t>
        </w:r>
        <w:r>
          <w:tab/>
        </w:r>
        <w:r>
          <w:t xml:space="preserve">12</w:t>
        </w:r>
      </w:hyperlink>
      <w:r/>
      <w:r/>
    </w:p>
    <w:p>
      <w:pPr>
        <w:pStyle w:val="925"/>
        <w:pBdr/>
        <w:spacing/>
        <w:ind/>
        <w:rPr/>
      </w:pPr>
      <w:r/>
      <w:hyperlink w:tooltip="#_Toc100013" w:anchor="_Toc100013" w:history="1">
        <w:r>
          <w:t xml:space="preserve">3.1 Requisitos comunes de las interfaces</w:t>
        </w:r>
        <w:r>
          <w:tab/>
        </w:r>
        <w:r>
          <w:t xml:space="preserve">12</w:t>
        </w:r>
      </w:hyperlink>
      <w:r/>
      <w:r/>
    </w:p>
    <w:p>
      <w:pPr>
        <w:pStyle w:val="926"/>
        <w:pBdr/>
        <w:spacing/>
        <w:ind/>
        <w:rPr/>
      </w:pPr>
      <w:r/>
      <w:hyperlink w:tooltip="#_Toc100014" w:anchor="_Toc100014" w:history="1">
        <w:r>
          <w:t xml:space="preserve">3.1.1 Interfaces de usuario</w:t>
        </w:r>
        <w:r>
          <w:tab/>
        </w:r>
        <w:r>
          <w:t xml:space="preserve">12</w:t>
        </w:r>
      </w:hyperlink>
      <w:r/>
      <w:r/>
    </w:p>
    <w:p>
      <w:pPr>
        <w:pStyle w:val="926"/>
        <w:pBdr/>
        <w:spacing/>
        <w:ind/>
        <w:rPr/>
      </w:pPr>
      <w:r/>
      <w:hyperlink w:tooltip="#_Toc100015" w:anchor="_Toc100015" w:history="1">
        <w:r>
          <w:t xml:space="preserve">3.1.2 Interfaces de hardware</w:t>
        </w:r>
        <w:r>
          <w:tab/>
        </w:r>
        <w:r>
          <w:t xml:space="preserve">12</w:t>
        </w:r>
      </w:hyperlink>
      <w:r/>
      <w:r/>
    </w:p>
    <w:p>
      <w:pPr>
        <w:pStyle w:val="926"/>
        <w:pBdr/>
        <w:spacing/>
        <w:ind/>
        <w:rPr/>
      </w:pPr>
      <w:r/>
      <w:hyperlink w:tooltip="#_Toc100016" w:anchor="_Toc100016" w:history="1">
        <w:r>
          <w:t xml:space="preserve">3.1.3 Interfaces de software</w:t>
        </w:r>
        <w:r>
          <w:tab/>
        </w:r>
        <w:r>
          <w:t xml:space="preserve">13</w:t>
        </w:r>
      </w:hyperlink>
      <w:r/>
      <w:r/>
    </w:p>
    <w:p>
      <w:pPr>
        <w:pStyle w:val="926"/>
        <w:pBdr/>
        <w:spacing/>
        <w:ind/>
        <w:rPr/>
      </w:pPr>
      <w:r/>
      <w:hyperlink w:tooltip="#_Toc100017" w:anchor="_Toc100017" w:history="1">
        <w:r>
          <w:t xml:space="preserve">3.1.4 Interfaces de comunicación</w:t>
        </w:r>
        <w:r>
          <w:tab/>
        </w:r>
        <w:r>
          <w:t xml:space="preserve">13</w:t>
        </w:r>
      </w:hyperlink>
      <w:r/>
      <w:r/>
    </w:p>
    <w:p>
      <w:pPr>
        <w:pStyle w:val="925"/>
        <w:pBdr/>
        <w:spacing/>
        <w:ind/>
        <w:rPr/>
      </w:pPr>
      <w:r/>
      <w:hyperlink w:tooltip="#_Toc100018" w:anchor="_Toc100018" w:history="1">
        <w:r>
          <w:t xml:space="preserve">3.2 Requisitos funcionales</w:t>
        </w:r>
        <w:r>
          <w:tab/>
        </w:r>
        <w:r>
          <w:t xml:space="preserve">13</w:t>
        </w:r>
      </w:hyperlink>
      <w:r/>
      <w:r/>
    </w:p>
    <w:p>
      <w:pPr>
        <w:pStyle w:val="926"/>
        <w:pBdr/>
        <w:spacing/>
        <w:ind/>
        <w:rPr/>
      </w:pPr>
      <w:r/>
      <w:hyperlink w:tooltip="#_Toc100019" w:anchor="_Toc100019" w:history="1">
        <w:r>
          <w:t xml:space="preserve">3.2.1 Requisito funcional 1: Estructura deportiva, clubes y jugadores</w:t>
        </w:r>
        <w:r>
          <w:tab/>
        </w:r>
        <w:r>
          <w:t xml:space="preserve">13</w:t>
        </w:r>
      </w:hyperlink>
      <w:r/>
      <w:r/>
    </w:p>
    <w:p>
      <w:pPr>
        <w:pStyle w:val="926"/>
        <w:pBdr/>
        <w:spacing/>
        <w:ind/>
        <w:rPr/>
      </w:pPr>
      <w:r/>
      <w:hyperlink w:tooltip="#_Toc100024" w:anchor="_Toc100024" w:history="1">
        <w:r>
          <w:t xml:space="preserve">3.2.2 Requisito funcional 2: Canchas y programación</w:t>
        </w:r>
        <w:r>
          <w:tab/>
        </w:r>
        <w:r>
          <w:t xml:space="preserve">15</w:t>
        </w:r>
      </w:hyperlink>
      <w:r/>
      <w:r/>
    </w:p>
    <w:p>
      <w:pPr>
        <w:pStyle w:val="926"/>
        <w:pBdr/>
        <w:spacing/>
        <w:ind/>
        <w:rPr/>
      </w:pPr>
      <w:r/>
      <w:hyperlink w:tooltip="#_Toc100028" w:anchor="_Toc100028" w:history="1">
        <w:r>
          <w:t xml:space="preserve">3.2.3 Requisito funcional 3: Resultados, estadísticas y disciplina</w:t>
        </w:r>
        <w:r>
          <w:tab/>
        </w:r>
        <w:r>
          <w:t xml:space="preserve">16</w:t>
        </w:r>
      </w:hyperlink>
      <w:r/>
      <w:r/>
    </w:p>
    <w:p>
      <w:pPr>
        <w:pStyle w:val="926"/>
        <w:pBdr/>
        <w:spacing/>
        <w:ind/>
        <w:rPr/>
      </w:pPr>
      <w:r/>
      <w:hyperlink w:tooltip="#_Toc100032" w:anchor="_Toc100032" w:history="1">
        <w:r>
          <w:t xml:space="preserve">3.2.4 Requisito funcional 4: Fases finales, administración y portal</w:t>
        </w:r>
        <w:r>
          <w:tab/>
        </w:r>
        <w:r>
          <w:t xml:space="preserve">18</w:t>
        </w:r>
      </w:hyperlink>
      <w:r/>
      <w:r/>
    </w:p>
    <w:p>
      <w:pPr>
        <w:pStyle w:val="925"/>
        <w:pBdr/>
        <w:spacing/>
        <w:ind/>
        <w:rPr/>
      </w:pPr>
      <w:r/>
      <w:hyperlink w:tooltip="#_Toc100037" w:anchor="_Toc100037" w:history="1">
        <w:r>
          <w:t xml:space="preserve">3.3 Requisitos no funcionales</w:t>
        </w:r>
        <w:r>
          <w:tab/>
        </w:r>
        <w:r>
          <w:t xml:space="preserve">20</w:t>
        </w:r>
      </w:hyperlink>
      <w:r/>
      <w:r/>
    </w:p>
    <w:p>
      <w:pPr>
        <w:pStyle w:val="926"/>
        <w:pBdr/>
        <w:spacing/>
        <w:ind/>
        <w:rPr/>
      </w:pPr>
      <w:r/>
      <w:hyperlink w:tooltip="#_Toc200901" w:anchor="_Toc200901" w:history="1">
        <w:r>
          <w:t xml:space="preserve">3.3.1 Adecuación funcional</w:t>
        </w:r>
        <w:r>
          <w:tab/>
        </w:r>
        <w:r>
          <w:t xml:space="preserve">20</w:t>
        </w:r>
      </w:hyperlink>
      <w:r/>
      <w:r/>
    </w:p>
    <w:p>
      <w:pPr>
        <w:pStyle w:val="926"/>
        <w:pBdr/>
        <w:spacing/>
        <w:ind/>
        <w:rPr/>
      </w:pPr>
      <w:r/>
      <w:hyperlink w:tooltip="#_Toc200902" w:anchor="_Toc200902" w:history="1">
        <w:r>
          <w:t xml:space="preserve">3.3.2 Eficiencia de desempeño</w:t>
        </w:r>
        <w:r>
          <w:tab/>
        </w:r>
        <w:r>
          <w:t xml:space="preserve">21</w:t>
        </w:r>
      </w:hyperlink>
      <w:r/>
      <w:r/>
    </w:p>
    <w:p>
      <w:pPr>
        <w:pStyle w:val="926"/>
        <w:pBdr/>
        <w:spacing/>
        <w:ind/>
        <w:rPr/>
      </w:pPr>
      <w:r/>
      <w:hyperlink w:tooltip="#_Toc200903" w:anchor="_Toc200903" w:history="1">
        <w:r>
          <w:t xml:space="preserve">3.3.3 Compatibilidad</w:t>
        </w:r>
        <w:r>
          <w:tab/>
        </w:r>
        <w:r>
          <w:t xml:space="preserve">21</w:t>
        </w:r>
      </w:hyperlink>
      <w:r/>
      <w:r/>
    </w:p>
    <w:p>
      <w:pPr>
        <w:pStyle w:val="926"/>
        <w:pBdr/>
        <w:spacing/>
        <w:ind/>
        <w:rPr/>
      </w:pPr>
      <w:r/>
      <w:hyperlink w:tooltip="#_Toc200904" w:anchor="_Toc200904" w:history="1">
        <w:r>
          <w:t xml:space="preserve">3.3.4 Capacidad de interacción</w:t>
        </w:r>
        <w:r>
          <w:tab/>
        </w:r>
        <w:r>
          <w:t xml:space="preserve">22</w:t>
        </w:r>
      </w:hyperlink>
      <w:r/>
      <w:r/>
    </w:p>
    <w:p>
      <w:pPr>
        <w:pStyle w:val="926"/>
        <w:pBdr/>
        <w:spacing/>
        <w:ind/>
        <w:rPr/>
      </w:pPr>
      <w:r/>
      <w:hyperlink w:tooltip="#_Toc200905" w:anchor="_Toc200905" w:history="1">
        <w:r>
          <w:t xml:space="preserve">3.3.5 Fiabilidad</w:t>
        </w:r>
        <w:r>
          <w:tab/>
        </w:r>
        <w:r>
          <w:t xml:space="preserve">22</w:t>
        </w:r>
      </w:hyperlink>
      <w:r/>
      <w:r/>
    </w:p>
    <w:p>
      <w:pPr>
        <w:pStyle w:val="926"/>
        <w:pBdr/>
        <w:spacing/>
        <w:ind/>
        <w:rPr/>
      </w:pPr>
      <w:r/>
      <w:hyperlink w:tooltip="#_Toc200906" w:anchor="_Toc200906" w:history="1">
        <w:r>
          <w:t xml:space="preserve">3.3.6 Seguridad</w:t>
        </w:r>
        <w:r>
          <w:tab/>
        </w:r>
        <w:r>
          <w:t xml:space="preserve">23</w:t>
        </w:r>
      </w:hyperlink>
      <w:r/>
      <w:r/>
    </w:p>
    <w:p>
      <w:pPr>
        <w:pStyle w:val="926"/>
        <w:pBdr/>
        <w:spacing/>
        <w:ind/>
        <w:rPr/>
      </w:pPr>
      <w:r/>
      <w:hyperlink w:tooltip="#_Toc200907" w:anchor="_Toc200907" w:history="1">
        <w:r>
          <w:t xml:space="preserve">3.3.7 Mantenibilidad</w:t>
        </w:r>
        <w:r>
          <w:tab/>
        </w:r>
        <w:r>
          <w:t xml:space="preserve">24</w:t>
        </w:r>
      </w:hyperlink>
      <w:r/>
      <w:r/>
    </w:p>
    <w:p>
      <w:pPr>
        <w:pStyle w:val="926"/>
        <w:pBdr/>
        <w:spacing/>
        <w:ind/>
        <w:rPr/>
      </w:pPr>
      <w:r/>
      <w:hyperlink w:tooltip="#_Toc200908" w:anchor="_Toc200908" w:history="1">
        <w:r>
          <w:t xml:space="preserve">3.3.8 Flexibilidad</w:t>
        </w:r>
        <w:r>
          <w:tab/>
        </w:r>
        <w:r>
          <w:t xml:space="preserve">25</w:t>
        </w:r>
      </w:hyperlink>
      <w:r/>
      <w:r/>
    </w:p>
    <w:p>
      <w:pPr>
        <w:pStyle w:val="926"/>
        <w:pBdr/>
        <w:spacing/>
        <w:ind/>
        <w:rPr/>
      </w:pPr>
      <w:r/>
      <w:hyperlink w:tooltip="#_Toc200909" w:anchor="_Toc200909" w:history="1">
        <w:r>
          <w:t xml:space="preserve">3.3.9 Protección</w:t>
        </w:r>
        <w:r>
          <w:tab/>
        </w:r>
        <w:r>
          <w:t xml:space="preserve">25</w:t>
        </w:r>
      </w:hyperlink>
      <w:r/>
      <w:r/>
    </w:p>
    <w:p>
      <w:pPr>
        <w:pStyle w:val="925"/>
        <w:pBdr/>
        <w:spacing/>
        <w:ind/>
        <w:rPr/>
      </w:pPr>
      <w:r/>
      <w:hyperlink w:tooltip="#_Toc100042" w:anchor="_Toc100042" w:history="1">
        <w:r>
          <w:t xml:space="preserve">3.4 Otros requisitos</w:t>
        </w:r>
        <w:r>
          <w:tab/>
        </w:r>
        <w:r>
          <w:t xml:space="preserve">25</w:t>
        </w:r>
      </w:hyperlink>
      <w:r/>
      <w:r/>
    </w:p>
    <w:p>
      <w:pPr>
        <w:pStyle w:val="926"/>
        <w:pBdr/>
        <w:spacing/>
        <w:ind/>
        <w:rPr/>
      </w:pPr>
      <w:r/>
      <w:hyperlink w:tooltip="#_Toc100043" w:anchor="_Toc100043" w:history="1">
        <w:r>
          <w:t xml:space="preserve">3.4.1 Requisitos legales y de privacidad</w:t>
        </w:r>
        <w:r>
          <w:tab/>
        </w:r>
        <w:r>
          <w:t xml:space="preserve">25</w:t>
        </w:r>
      </w:hyperlink>
      <w:r/>
      <w:r/>
    </w:p>
    <w:p>
      <w:pPr>
        <w:pStyle w:val="924"/>
        <w:pBdr/>
        <w:spacing/>
        <w:ind/>
        <w:rPr/>
      </w:pPr>
      <w:r/>
      <w:hyperlink w:tooltip="#_Toc100044" w:anchor="_Toc100044" w:history="1">
        <w:r>
          <w:t xml:space="preserve">4. Modelado del sistema</w:t>
        </w:r>
        <w:r>
          <w:tab/>
        </w:r>
        <w:r>
          <w:t xml:space="preserve">26</w:t>
        </w:r>
      </w:hyperlink>
      <w:r/>
      <w:r/>
    </w:p>
    <w:p>
      <w:pPr>
        <w:pStyle w:val="925"/>
        <w:pBdr/>
        <w:spacing/>
        <w:ind/>
        <w:rPr/>
      </w:pPr>
      <w:r/>
      <w:hyperlink w:tooltip="#_Toc100045" w:anchor="_Toc100045" w:history="1">
        <w:r>
          <w:t xml:space="preserve">4.1 Diagrama BPMN</w:t>
        </w:r>
        <w:r>
          <w:tab/>
        </w:r>
        <w:r>
          <w:t xml:space="preserve">26</w:t>
        </w:r>
      </w:hyperlink>
      <w:r/>
      <w:r/>
    </w:p>
    <w:p>
      <w:pPr>
        <w:pStyle w:val="925"/>
        <w:pBdr/>
        <w:spacing/>
        <w:ind/>
        <w:rPr/>
      </w:pPr>
      <w:r/>
      <w:hyperlink w:tooltip="#_Toc100046" w:anchor="_Toc100046" w:history="1">
        <w:r>
          <w:t xml:space="preserve">4.2 Diseño de Interfaz</w:t>
        </w:r>
        <w:r>
          <w:tab/>
        </w:r>
        <w:r>
          <w:t xml:space="preserve">26</w:t>
        </w:r>
      </w:hyperlink>
      <w:r/>
      <w:r/>
    </w:p>
    <w:p>
      <w:pPr>
        <w:pStyle w:val="925"/>
        <w:pBdr/>
        <w:spacing/>
        <w:ind/>
        <w:rPr/>
      </w:pPr>
      <w:r/>
      <w:hyperlink w:tooltip="#_Toc100047" w:anchor="_Toc100047" w:history="1">
        <w:r>
          <w:t xml:space="preserve">4.3 Diseño de Base de Datos</w:t>
        </w:r>
        <w:r>
          <w:tab/>
        </w:r>
        <w:r>
          <w:t xml:space="preserve">26</w:t>
        </w:r>
      </w:hyperlink>
      <w:r/>
      <w:r/>
    </w:p>
    <w:p>
      <w:pPr>
        <w:pStyle w:val="925"/>
        <w:pBdr/>
        <w:spacing/>
        <w:ind/>
        <w:rPr/>
      </w:pPr>
      <w:r/>
      <w:hyperlink w:tooltip="#_Toc100048" w:anchor="_Toc100048" w:history="1">
        <w:r>
          <w:t xml:space="preserve">4.4 Diseño jerárquico</w:t>
        </w:r>
        <w:r>
          <w:tab/>
        </w:r>
        <w:r>
          <w:t xml:space="preserve">26</w:t>
        </w:r>
      </w:hyperlink>
      <w:r/>
      <w:r/>
    </w:p>
    <w:p>
      <w:pPr>
        <w:pStyle w:val="925"/>
        <w:pBdr/>
        <w:spacing/>
        <w:ind/>
        <w:rPr/>
      </w:pPr>
      <w:r/>
      <w:hyperlink w:tooltip="#_Toc100049" w:anchor="_Toc100049" w:history="1">
        <w:r>
          <w:t xml:space="preserve">4.5 Arquitectura</w:t>
        </w:r>
        <w:r>
          <w:tab/>
        </w:r>
        <w:r>
          <w:t xml:space="preserve">26</w:t>
        </w:r>
      </w:hyperlink>
      <w:r/>
      <w:r/>
    </w:p>
    <w:p>
      <w:pPr>
        <w:pStyle w:val="924"/>
        <w:pBdr/>
        <w:spacing/>
        <w:ind/>
        <w:rPr/>
      </w:pPr>
      <w:r/>
      <w:hyperlink w:tooltip="#_Toc100050" w:anchor="_Toc100050" w:history="1">
        <w:r>
          <w:t xml:space="preserve">Anexo A. Matriz de trazabilidad de requisitos funcionales</w:t>
        </w:r>
        <w:r>
          <w:tab/>
        </w:r>
        <w:r>
          <w:t xml:space="preserve">28</w:t>
        </w:r>
      </w:hyperlink>
      <w:r/>
      <w:r/>
    </w:p>
    <w:p>
      <w:pPr>
        <w:pStyle w:val="924"/>
        <w:pBdr/>
        <w:spacing/>
        <w:ind/>
        <w:rPr/>
      </w:pPr>
      <w:r/>
      <w:hyperlink w:tooltip="#_Toc100051" w:anchor="_Toc100051" w:history="1">
        <w:r>
          <w:t xml:space="preserve">Anexo B. Puntos por validar con la Liga</w:t>
        </w:r>
        <w:r>
          <w:tab/>
        </w:r>
        <w:r>
          <w:t xml:space="preserve">28</w:t>
        </w:r>
      </w:hyperlink>
      <w:r>
        <w:fldChar w:fldCharType="end"/>
      </w:r>
      <w:r/>
    </w:p>
    <w:p>
      <w:pPr>
        <w:pStyle w:val="915"/>
        <w:pageBreakBefore w:val="true"/>
        <w:pBdr/>
        <w:spacing/>
        <w:ind/>
        <w:rPr/>
      </w:pPr>
      <w:r/>
      <w:bookmarkStart w:id="1" w:name="_Toc100001"/>
      <w:r>
        <w:t xml:space="preserve">1. Introducción</w:t>
      </w:r>
      <w:bookmarkEnd w:id="1"/>
      <w:r/>
      <w:r/>
    </w:p>
    <w:p>
      <w:pPr>
        <w:pBdr/>
        <w:spacing/>
        <w:ind/>
        <w:rPr/>
      </w:pPr>
      <w:r>
        <w:t xml:space="preserve">Este documento es la Especificación de Requisitos de Software </w:t>
      </w:r>
      <w:r>
        <w:t xml:space="preserve">(ERS) del Sistema de Gestión para la Liga Municipal de Morelia (en adelante, «el Sistema»). Se elabora conforme a ISO/IEC/IEEE 29148:2018; IEEE Std 830-1998 se usa solo como antecedente de la plantilla de referencia.</w:t>
      </w:r>
      <w:r/>
    </w:p>
    <w:p>
      <w:pPr>
        <w:pBdr/>
        <w:spacing/>
        <w:ind/>
        <w:rPr/>
      </w:pPr>
      <w:r>
        <w:t xml:space="preserve">Las fuentes de información se listan en 1.5; cuando hace falta, se indica el tipo de información: </w:t>
      </w:r>
      <w:r>
        <w:rPr>
          <w:b/>
          <w:bCs/>
        </w:rPr>
        <w:t xml:space="preserve">hecho</w:t>
      </w:r>
      <w:r>
        <w:t xml:space="preserve"> (dato observado o informado), </w:t>
      </w:r>
      <w:r>
        <w:rPr>
          <w:b/>
          <w:bCs/>
        </w:rPr>
        <w:t xml:space="preserve">norma</w:t>
      </w:r>
      <w:r>
        <w:t xml:space="preserve"> (disposición de un documento normativo) o </w:t>
      </w:r>
      <w:r>
        <w:rPr>
          <w:b/>
          <w:bCs/>
        </w:rPr>
        <w:t xml:space="preserve">propuesta</w:t>
      </w:r>
      <w:r>
        <w:t xml:space="preserve"> (recomendación del análisis).</w:t>
      </w:r>
      <w:r/>
    </w:p>
    <w:p>
      <w:pPr>
        <w:pStyle w:val="916"/>
        <w:pBdr/>
        <w:spacing/>
        <w:ind/>
        <w:rPr/>
      </w:pPr>
      <w:r/>
      <w:bookmarkStart w:id="2" w:name="_Toc100002"/>
      <w:r>
        <w:t xml:space="preserve">1.1 Propósito</w:t>
      </w:r>
      <w:bookmarkEnd w:id="2"/>
      <w:r/>
      <w:r/>
    </w:p>
    <w:p>
      <w:pPr>
        <w:pBdr/>
        <w:spacing/>
        <w:ind/>
        <w:rPr/>
      </w:pPr>
      <w:r>
        <w:t xml:space="preserve">Este ERS define de f</w:t>
      </w:r>
      <w:r>
        <w:t xml:space="preserve">orma verificable qué debe hacer el Sistema y qué queda fuera de su alcance. Es la base para el diseño, la construcción, las pruebas y el mantenimiento, y mantiene la trazabilidad entre las necesidades de la Liga, sus documentos normativos y los requisitos.</w:t>
      </w:r>
      <w:r/>
    </w:p>
    <w:p>
      <w:pPr>
        <w:pBdr/>
        <w:spacing/>
        <w:ind/>
        <w:rPr/>
      </w:pPr>
      <w:r>
        <w:t xml:space="preserve">El Sistema reemplazará el manejo manual de la información deportiva y administrativa de la Liga, que hoy se lleva en papel, en hojas de cálculo de Excel exportadas a imágenes y en p</w:t>
      </w:r>
      <w:r>
        <w:t xml:space="preserve">ublicaciones de Facebook. Concentrará en una aplicación web la gestión de clubes, equipos, jugadores, programación, resultados, tablas, disciplina y aportaciones económicas, y publicará la información oficial en un portal de consulta pública.</w:t>
      </w:r>
      <w:r/>
    </w:p>
    <w:p>
      <w:pPr>
        <w:pBdr/>
        <w:spacing/>
        <w:ind/>
        <w:rPr/>
      </w:pPr>
      <w:r>
        <w:t xml:space="preserve">Sus lectores son el equ</w:t>
      </w:r>
      <w:r>
        <w:t xml:space="preserve">ipo de desarrollo y pruebas, el revisor académico del proyecto, los directivos de la Liga como fuente de validación de la información y quienes mantengan el Sistema en el futuro. El documento no requiere aprobación formal de la Liga.</w:t>
      </w:r>
      <w:r/>
    </w:p>
    <w:p>
      <w:pPr>
        <w:pStyle w:val="916"/>
        <w:pBdr/>
        <w:spacing/>
        <w:ind/>
        <w:rPr/>
      </w:pPr>
      <w:r/>
      <w:bookmarkStart w:id="3" w:name="_Toc100003"/>
      <w:r>
        <w:t xml:space="preserve">1.2 Alcance</w:t>
      </w:r>
      <w:bookmarkEnd w:id="3"/>
      <w:r/>
      <w:r/>
    </w:p>
    <w:p>
      <w:pPr>
        <w:pBdr/>
        <w:spacing/>
        <w:ind/>
        <w:rPr/>
      </w:pPr>
      <w:r>
        <w:t xml:space="preserve">El producto es el Sistema de Gestión para la Liga Municipal de Morelia</w:t>
      </w:r>
      <w:r>
        <w:t xml:space="preserve">, para la Liga Municipal de Fútbol Amateur de Morelia, Asociación Civil (también conocida como Liga Municipal de Futbol Amateur Morelia A.C.). Es un producto nuevo: no reemplaza otro sistema, sino procesos manuales. Será una apli</w:t>
      </w:r>
      <w:r>
        <w:t xml:space="preserve">cación web que depende totalmente de la conexión a Internet. Tendrán cuenta propia los integrantes de la Liga, los clubes (presidentes y delegados), los árbitros y los jugadores; el público consultará la información sin cuenta.</w:t>
      </w:r>
      <w:r/>
    </w:p>
    <w:p>
      <w:pPr>
        <w:pBdr/>
        <w:spacing/>
        <w:ind/>
        <w:rPr>
          <w:b/>
          <w:bCs/>
          <w:highlight w:val="none"/>
        </w:rPr>
      </w:pPr>
      <w:r>
        <w:rPr>
          <w:b/>
          <w:bCs/>
          <w:color w:val="241a61"/>
        </w:rPr>
        <w:t xml:space="preserve">Situación actual. </w:t>
      </w:r>
      <w:r>
        <w:t xml:space="preserve">Todo se lleva a mano, incluida la programación. Elaborar la programación toma algunas horas y publicarla otras tantas. Cada partido se documenta en una cédula de papel que viaja de la cancha al colegio de árbitros y </w:t>
      </w:r>
      <w:r>
        <w:t xml:space="preserve">de ahí a las oficinas de la Liga los lunes o martes, donde se captura en Excel y se dictaminan las suspensiones; el boletín de castigados se publica en Facebook. La programación se difunde como imagen o PDF en portales locales. </w:t>
      </w:r>
      <w:r>
        <w:rPr>
          <w:b/>
          <w:bCs/>
        </w:rPr>
        <w:t xml:space="preserve">Hecho.</w:t>
      </w:r>
      <w:r>
        <w:rPr>
          <w:b/>
          <w:bCs/>
          <w:highlight w:val="none"/>
        </w:rPr>
      </w:r>
      <w:r>
        <w:rPr>
          <w:b/>
          <w:bCs/>
          <w:highlight w:val="none"/>
        </w:rPr>
      </w:r>
    </w:p>
    <w:p w14:paraId="6DAD9751">
      <w:pPr>
        <w:pBdr/>
        <w:spacing/>
        <w:ind/>
        <w:rPr/>
      </w:pPr>
      <w:r/>
      <w:r/>
    </w:p>
    <w:p w14:paraId="611E5F50">
      <w:pPr>
        <w:pBdr/>
        <w:spacing/>
        <w:ind/>
        <w:rPr/>
      </w:pPr>
      <w:r/>
      <w:r/>
    </w:p>
    <w:p w14:paraId="026A98FE">
      <w:pPr>
        <w:pBdr/>
        <w:spacing/>
        <w:ind/>
        <w:rPr/>
      </w:pPr>
      <w:r/>
      <w:r/>
    </w:p>
    <w:p w14:paraId="027ADA80">
      <w:pPr>
        <w:pBdr/>
        <w:spacing/>
        <w:ind/>
        <w:rPr/>
      </w:pPr>
      <w:r/>
      <w:r/>
    </w:p>
    <w:p w14:paraId="3EF07F73">
      <w:pPr>
        <w:pBdr/>
        <w:spacing/>
        <w:ind/>
        <w:rPr/>
      </w:pPr>
      <w:r/>
      <w:r/>
    </w:p>
    <w:p w14:paraId="1B7BC637">
      <w:pPr>
        <w:pBdr/>
        <w:spacing/>
        <w:ind/>
        <w:rPr/>
      </w:pPr>
      <w:r>
        <w:rPr>
          <w:b/>
          <w:bCs/>
          <w:highlight w:val="none"/>
        </w:rPr>
      </w:r>
      <w:r>
        <w:rPr>
          <w:b/>
          <w:bCs/>
          <w:highlight w:val="none"/>
        </w:rPr>
      </w:r>
      <w:r/>
    </w:p>
    <w:p>
      <w:pPr>
        <w:pBdr/>
        <w:spacing/>
        <w:ind/>
        <w:rPr/>
      </w:pPr>
      <w:r>
        <w:t xml:space="preserve">La Tabla 1 resume los problemas actuales y el objetivo del Sistema para cada uno.</w:t>
      </w:r>
      <w:r/>
    </w:p>
    <w:p>
      <w:pPr>
        <w:pStyle w:val="923"/>
        <w:keepNext w:val="true"/>
        <w:pBdr/>
        <w:spacing/>
        <w:ind/>
        <w:rPr/>
      </w:pPr>
      <w:r>
        <w:rPr>
          <w:b/>
          <w:bCs/>
          <w:color w:val="241a61"/>
          <w:sz w:val="18"/>
          <w:szCs w:val="18"/>
        </w:rPr>
        <w:t xml:space="preserve">Tabla 1. </w:t>
      </w:r>
      <w:r>
        <w:rPr>
          <w:sz w:val="18"/>
          <w:szCs w:val="18"/>
        </w:rPr>
        <w:t xml:space="preserve">Problemas actuales y objetivos del Sistema.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50"/>
        <w:gridCol w:w="3900"/>
        <w:gridCol w:w="4654"/>
      </w:tblGrid>
      <w:tr>
        <w:trPr>
          <w:cantSplit/>
          <w:tblHeader/>
        </w:trPr>
        <w:tc>
          <w:tcPr>
            <w:shd w:val="clear" w:color="auto" w:fill="241a61"/>
            <w:tcBorders/>
            <w:tcW w:w="850" w:type="dxa"/>
          </w:tcPr>
          <w:p>
            <w:pPr>
              <w:pStyle w:val="922"/>
              <w:pBdr/>
              <w:spacing/>
              <w:ind/>
              <w:rPr/>
            </w:pPr>
            <w:r>
              <w:rPr>
                <w:b/>
                <w:bCs/>
                <w:color w:val="ffffff"/>
              </w:rPr>
              <w:t xml:space="preserve">ID</w:t>
            </w:r>
            <w:r/>
          </w:p>
        </w:tc>
        <w:tc>
          <w:tcPr>
            <w:shd w:val="clear" w:color="auto" w:fill="241a61"/>
            <w:tcBorders/>
            <w:tcW w:w="3900" w:type="dxa"/>
          </w:tcPr>
          <w:p>
            <w:pPr>
              <w:pStyle w:val="922"/>
              <w:pBdr/>
              <w:spacing/>
              <w:ind/>
              <w:rPr/>
            </w:pPr>
            <w:r>
              <w:rPr>
                <w:b/>
                <w:bCs/>
                <w:color w:val="ffffff"/>
              </w:rPr>
              <w:t xml:space="preserve">Problema actual (hecho)</w:t>
            </w:r>
            <w:r/>
          </w:p>
        </w:tc>
        <w:tc>
          <w:tcPr>
            <w:shd w:val="clear" w:color="auto" w:fill="241a61"/>
            <w:tcBorders/>
            <w:tcW w:w="4654" w:type="dxa"/>
          </w:tcPr>
          <w:p>
            <w:pPr>
              <w:pStyle w:val="922"/>
              <w:pBdr/>
              <w:spacing/>
              <w:ind/>
              <w:rPr/>
            </w:pPr>
            <w:r>
              <w:rPr>
                <w:b/>
                <w:bCs/>
                <w:color w:val="ffffff"/>
              </w:rPr>
              <w:t xml:space="preserve">Objetivo del Sistema (propuesta)</w:t>
            </w:r>
            <w:r/>
          </w:p>
        </w:tc>
      </w:tr>
      <w:tr>
        <w:trPr>
          <w:cantSplit/>
        </w:trPr>
        <w:tc>
          <w:tcPr>
            <w:tcBorders/>
            <w:tcW w:w="850" w:type="dxa"/>
          </w:tcPr>
          <w:p>
            <w:pPr>
              <w:pStyle w:val="922"/>
              <w:pBdr/>
              <w:spacing/>
              <w:ind/>
              <w:rPr/>
            </w:pPr>
            <w:r>
              <w:t xml:space="preserve">OBJ-01</w:t>
            </w:r>
            <w:r/>
          </w:p>
        </w:tc>
        <w:tc>
          <w:tcPr>
            <w:tcBorders/>
            <w:tcW w:w="3900" w:type="dxa"/>
          </w:tcPr>
          <w:p>
            <w:pPr>
              <w:pStyle w:val="922"/>
              <w:pBdr/>
              <w:spacing/>
              <w:ind/>
              <w:rPr/>
            </w:pPr>
            <w:r>
              <w:t xml:space="preserve">Toda la operación es manual: programación, resultados, tablas y sanciones.</w:t>
            </w:r>
            <w:r/>
          </w:p>
        </w:tc>
        <w:tc>
          <w:tcPr>
            <w:tcBorders/>
            <w:tcW w:w="4654" w:type="dxa"/>
          </w:tcPr>
          <w:p>
            <w:pPr>
              <w:pStyle w:val="922"/>
              <w:pBdr/>
              <w:spacing/>
              <w:ind/>
              <w:rPr/>
            </w:pPr>
            <w:r>
              <w:t xml:space="preserve">Centralizar en un solo sistema clubes, equipos, jugadores, programación, resultados, sanciones y pagos.</w:t>
            </w:r>
            <w:r/>
          </w:p>
        </w:tc>
      </w:tr>
      <w:tr>
        <w:trPr>
          <w:cantSplit/>
        </w:trPr>
        <w:tc>
          <w:tcPr>
            <w:tcBorders/>
            <w:tcW w:w="850" w:type="dxa"/>
          </w:tcPr>
          <w:p>
            <w:pPr>
              <w:pStyle w:val="922"/>
              <w:pBdr/>
              <w:spacing/>
              <w:ind/>
              <w:rPr/>
            </w:pPr>
            <w:r>
              <w:t xml:space="preserve">OBJ-02</w:t>
            </w:r>
            <w:r/>
          </w:p>
        </w:tc>
        <w:tc>
          <w:tcPr>
            <w:tcBorders/>
            <w:tcW w:w="3900" w:type="dxa"/>
          </w:tcPr>
          <w:p>
            <w:pPr>
              <w:pStyle w:val="922"/>
              <w:pBdr/>
              <w:spacing/>
              <w:ind/>
              <w:rPr/>
            </w:pPr>
            <w:r>
              <w:t xml:space="preserve">Elaborar y publicar la programación toma varias horas.</w:t>
            </w:r>
            <w:r/>
          </w:p>
        </w:tc>
        <w:tc>
          <w:tcPr>
            <w:tcBorders/>
            <w:tcW w:w="4654" w:type="dxa"/>
          </w:tcPr>
          <w:p>
            <w:pPr>
              <w:pStyle w:val="922"/>
              <w:pBdr/>
              <w:spacing/>
              <w:ind/>
              <w:rPr/>
            </w:pPr>
            <w:r>
              <w:t xml:space="preserve">Reducir ese tiempo con programación asistida, detección de conflictos y publicación directa en el portal.</w:t>
            </w:r>
            <w:r/>
          </w:p>
        </w:tc>
      </w:tr>
      <w:tr>
        <w:trPr>
          <w:cantSplit/>
        </w:trPr>
        <w:tc>
          <w:tcPr>
            <w:tcBorders/>
            <w:tcW w:w="850" w:type="dxa"/>
          </w:tcPr>
          <w:p>
            <w:pPr>
              <w:pStyle w:val="922"/>
              <w:pBdr/>
              <w:spacing/>
              <w:ind/>
              <w:rPr/>
            </w:pPr>
            <w:r>
              <w:t xml:space="preserve">OBJ-03</w:t>
            </w:r>
            <w:r/>
          </w:p>
        </w:tc>
        <w:tc>
          <w:tcPr>
            <w:tcBorders/>
            <w:tcW w:w="3900" w:type="dxa"/>
          </w:tcPr>
          <w:p>
            <w:pPr>
              <w:pStyle w:val="922"/>
              <w:pBdr/>
              <w:spacing/>
              <w:ind/>
              <w:rPr/>
            </w:pPr>
            <w:r>
              <w:t xml:space="preserve">Los datos de cada partido se escriben dos veces: en la cédula de papel y en Excel.</w:t>
            </w:r>
            <w:r/>
          </w:p>
        </w:tc>
        <w:tc>
          <w:tcPr>
            <w:tcBorders/>
            <w:tcW w:w="4654" w:type="dxa"/>
          </w:tcPr>
          <w:p>
            <w:pPr>
              <w:pStyle w:val="922"/>
              <w:pBdr/>
              <w:spacing/>
              <w:ind/>
              <w:rPr/>
            </w:pPr>
            <w:r>
              <w:t xml:space="preserve">Capturar una sola vez resultados e incidencias y calcular automáticamente tablas y estadísticas.</w:t>
            </w:r>
            <w:r/>
          </w:p>
        </w:tc>
      </w:tr>
      <w:tr>
        <w:trPr>
          <w:cantSplit/>
        </w:trPr>
        <w:tc>
          <w:tcPr>
            <w:tcBorders/>
            <w:tcW w:w="850" w:type="dxa"/>
          </w:tcPr>
          <w:p>
            <w:pPr>
              <w:pStyle w:val="922"/>
              <w:pBdr/>
              <w:spacing/>
              <w:ind/>
              <w:rPr/>
            </w:pPr>
            <w:r>
              <w:t xml:space="preserve">OBJ-04</w:t>
            </w:r>
            <w:r/>
          </w:p>
        </w:tc>
        <w:tc>
          <w:tcPr>
            <w:tcBorders/>
            <w:tcW w:w="3900" w:type="dxa"/>
          </w:tcPr>
          <w:p>
            <w:pPr>
              <w:pStyle w:val="922"/>
              <w:pBdr/>
              <w:spacing/>
              <w:ind/>
              <w:rPr/>
            </w:pPr>
            <w:r>
              <w:t xml:space="preserve">Las cédulas llegan a la Liga de 1 a 3 días después del partido, lo que retrasa tablas y castigados.</w:t>
            </w:r>
            <w:r/>
          </w:p>
        </w:tc>
        <w:tc>
          <w:tcPr>
            <w:tcBorders/>
            <w:tcW w:w="4654" w:type="dxa"/>
          </w:tcPr>
          <w:p>
            <w:pPr>
              <w:pStyle w:val="922"/>
              <w:pBdr/>
              <w:spacing/>
              <w:ind/>
              <w:rPr/>
            </w:pPr>
            <w:r>
              <w:t xml:space="preserve">Acortar el tiempo entre el partido y la publicación del boletín de castigados. </w:t>
            </w:r>
            <w:r/>
          </w:p>
        </w:tc>
      </w:tr>
      <w:tr>
        <w:trPr>
          <w:cantSplit/>
        </w:trPr>
        <w:tc>
          <w:tcPr>
            <w:tcBorders/>
            <w:tcW w:w="850" w:type="dxa"/>
          </w:tcPr>
          <w:p>
            <w:pPr>
              <w:pStyle w:val="922"/>
              <w:pBdr/>
              <w:spacing/>
              <w:ind/>
              <w:rPr/>
            </w:pPr>
            <w:r>
              <w:t xml:space="preserve">OBJ-05</w:t>
            </w:r>
            <w:r/>
          </w:p>
        </w:tc>
        <w:tc>
          <w:tcPr>
            <w:tcBorders/>
            <w:tcW w:w="3900" w:type="dxa"/>
          </w:tcPr>
          <w:p>
            <w:pPr>
              <w:pStyle w:val="922"/>
              <w:pBdr/>
              <w:spacing/>
              <w:ind/>
              <w:rPr/>
            </w:pPr>
            <w:r>
              <w:t xml:space="preserve">La información oficial solo existe como imágenes o PDF en Facebook y portales de terceros.</w:t>
            </w:r>
            <w:r/>
          </w:p>
        </w:tc>
        <w:tc>
          <w:tcPr>
            <w:tcBorders/>
            <w:tcW w:w="4654" w:type="dxa"/>
          </w:tcPr>
          <w:p>
            <w:pPr>
              <w:pStyle w:val="922"/>
              <w:pBdr/>
              <w:spacing/>
              <w:ind/>
              <w:rPr/>
            </w:pPr>
            <w:r>
              <w:t xml:space="preserve">Publicar toda la información oficial en un portal web consultable sin cuenta, y conservar el historial de cada temporada.</w:t>
            </w:r>
            <w:r/>
          </w:p>
        </w:tc>
      </w:tr>
    </w:tbl>
    <w:p>
      <w:pPr>
        <w:pBdr/>
        <w:spacing w:after="60" w:before="0"/>
        <w:ind/>
        <w:rPr/>
      </w:pPr>
      <w:r/>
      <w:r/>
    </w:p>
    <w:p>
      <w:pPr>
        <w:pBdr/>
        <w:spacing/>
        <w:ind/>
        <w:rPr/>
      </w:pPr>
      <w:r>
        <w:t xml:space="preserve">El ERS especifica el Sistema c</w:t>
      </w:r>
      <w:r>
        <w:t xml:space="preserve">ompleto y prioriza lo que cabe en la primera versión, de 10 semanas. La Tabla 2 agrupa las funciones en áreas funcionales (AF), que se detallarán como requisitos en versiones posteriores. La prioridad usa MoSCoW (Must, Should, Could) y es una </w:t>
      </w:r>
      <w:r>
        <w:rPr>
          <w:b/>
          <w:bCs/>
        </w:rPr>
        <w:t xml:space="preserve">propuesta</w:t>
      </w:r>
      <w:r>
        <w:t xml:space="preserve"> basada en el plan sugerido del documento base.</w:t>
      </w:r>
      <w:r/>
    </w:p>
    <w:p>
      <w:pPr>
        <w:pStyle w:val="923"/>
        <w:keepNext w:val="true"/>
        <w:pBdr/>
        <w:spacing/>
        <w:ind/>
        <w:rPr/>
      </w:pPr>
      <w:r>
        <w:rPr>
          <w:b/>
          <w:bCs/>
          <w:color w:val="241a61"/>
          <w:sz w:val="18"/>
          <w:szCs w:val="18"/>
        </w:rPr>
        <w:t xml:space="preserve">Tabla 2. </w:t>
      </w:r>
      <w:r>
        <w:rPr>
          <w:sz w:val="18"/>
          <w:szCs w:val="18"/>
        </w:rPr>
        <w:t xml:space="preserve">Áreas funcionales y prioridad propuesta para la primera versión.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00"/>
        <w:gridCol w:w="2300"/>
        <w:gridCol w:w="4904"/>
        <w:gridCol w:w="1400"/>
      </w:tblGrid>
      <w:tr>
        <w:trPr>
          <w:cantSplit/>
          <w:tblHeader/>
        </w:trPr>
        <w:tc>
          <w:tcPr>
            <w:shd w:val="clear" w:color="auto" w:fill="241a61"/>
            <w:tcBorders/>
            <w:tcW w:w="800" w:type="dxa"/>
          </w:tcPr>
          <w:p>
            <w:pPr>
              <w:pStyle w:val="922"/>
              <w:pBdr/>
              <w:spacing/>
              <w:ind/>
              <w:rPr/>
            </w:pPr>
            <w:r>
              <w:rPr>
                <w:b/>
                <w:bCs/>
                <w:color w:val="ffffff"/>
              </w:rPr>
              <w:t xml:space="preserve">ID</w:t>
            </w:r>
            <w:r/>
          </w:p>
        </w:tc>
        <w:tc>
          <w:tcPr>
            <w:shd w:val="clear" w:color="auto" w:fill="241a61"/>
            <w:tcBorders/>
            <w:tcW w:w="2300" w:type="dxa"/>
          </w:tcPr>
          <w:p>
            <w:pPr>
              <w:pStyle w:val="922"/>
              <w:pBdr/>
              <w:spacing/>
              <w:ind/>
              <w:rPr/>
            </w:pPr>
            <w:r>
              <w:rPr>
                <w:b/>
                <w:bCs/>
                <w:color w:val="ffffff"/>
              </w:rPr>
              <w:t xml:space="preserve">Área funcional</w:t>
            </w:r>
            <w:r/>
          </w:p>
        </w:tc>
        <w:tc>
          <w:tcPr>
            <w:shd w:val="clear" w:color="auto" w:fill="241a61"/>
            <w:tcBorders/>
            <w:tcW w:w="4904" w:type="dxa"/>
          </w:tcPr>
          <w:p>
            <w:pPr>
              <w:pStyle w:val="922"/>
              <w:pBdr/>
              <w:spacing/>
              <w:ind/>
              <w:rPr/>
            </w:pPr>
            <w:r>
              <w:rPr>
                <w:b/>
                <w:bCs/>
                <w:color w:val="ffffff"/>
              </w:rPr>
              <w:t xml:space="preserve">Alcance resumido</w:t>
            </w:r>
            <w:r/>
          </w:p>
        </w:tc>
        <w:tc>
          <w:tcPr>
            <w:shd w:val="clear" w:color="auto" w:fill="241a61"/>
            <w:tcBorders/>
            <w:tcW w:w="1400" w:type="dxa"/>
          </w:tcPr>
          <w:p>
            <w:pPr>
              <w:pStyle w:val="922"/>
              <w:pBdr/>
              <w:spacing/>
              <w:ind/>
              <w:rPr/>
            </w:pPr>
            <w:r>
              <w:rPr>
                <w:b/>
                <w:bCs/>
                <w:color w:val="ffffff"/>
              </w:rPr>
              <w:t xml:space="preserve">Prioridad</w:t>
            </w:r>
            <w:r/>
          </w:p>
        </w:tc>
      </w:tr>
      <w:tr>
        <w:trPr>
          <w:cantSplit/>
        </w:trPr>
        <w:tc>
          <w:tcPr>
            <w:tcBorders/>
            <w:tcW w:w="800" w:type="dxa"/>
          </w:tcPr>
          <w:p>
            <w:pPr>
              <w:pStyle w:val="922"/>
              <w:pBdr/>
              <w:spacing/>
              <w:ind/>
              <w:rPr/>
            </w:pPr>
            <w:r>
              <w:t xml:space="preserve">AF-01</w:t>
            </w:r>
            <w:r/>
          </w:p>
        </w:tc>
        <w:tc>
          <w:tcPr>
            <w:tcBorders/>
            <w:tcW w:w="2300" w:type="dxa"/>
          </w:tcPr>
          <w:p>
            <w:pPr>
              <w:pStyle w:val="922"/>
              <w:pBdr/>
              <w:spacing/>
              <w:ind/>
              <w:rPr/>
            </w:pPr>
            <w:r>
              <w:t xml:space="preserve">Organización, usuarios y permisos</w:t>
            </w:r>
            <w:r/>
          </w:p>
        </w:tc>
        <w:tc>
          <w:tcPr>
            <w:tcBorders/>
            <w:tcW w:w="4904" w:type="dxa"/>
          </w:tcPr>
          <w:p>
            <w:pPr>
              <w:pStyle w:val="922"/>
              <w:pBdr/>
              <w:spacing/>
              <w:ind/>
              <w:rPr/>
            </w:pPr>
            <w:r>
              <w:t xml:space="preserve">Cuentas y permisos por rol (RBAC) para la Liga, clubes, árbitros y jugadores; bitácora de auditoría inmutable; consulta pública sin cuenta.</w:t>
            </w:r>
            <w:r/>
          </w:p>
        </w:tc>
        <w:tc>
          <w:tcPr>
            <w:tcBorders/>
            <w:tcW w:w="1400" w:type="dxa"/>
          </w:tcPr>
          <w:p>
            <w:pPr>
              <w:pStyle w:val="922"/>
              <w:pBdr/>
              <w:spacing/>
              <w:ind/>
              <w:rPr/>
            </w:pPr>
            <w:r>
              <w:t xml:space="preserve">Must</w:t>
            </w:r>
            <w:r/>
          </w:p>
        </w:tc>
      </w:tr>
      <w:tr>
        <w:trPr>
          <w:cantSplit/>
        </w:trPr>
        <w:tc>
          <w:tcPr>
            <w:tcBorders/>
            <w:tcW w:w="800" w:type="dxa"/>
          </w:tcPr>
          <w:p>
            <w:pPr>
              <w:pStyle w:val="922"/>
              <w:pBdr/>
              <w:spacing/>
              <w:ind/>
              <w:rPr/>
            </w:pPr>
            <w:r>
              <w:t xml:space="preserve">AF-02</w:t>
            </w:r>
            <w:r/>
          </w:p>
        </w:tc>
        <w:tc>
          <w:tcPr>
            <w:tcBorders/>
            <w:tcW w:w="2300" w:type="dxa"/>
          </w:tcPr>
          <w:p>
            <w:pPr>
              <w:pStyle w:val="922"/>
              <w:pBdr/>
              <w:spacing/>
              <w:ind/>
              <w:rPr/>
            </w:pPr>
            <w:r>
              <w:t xml:space="preserve">Temporadas, torneos y categorías</w:t>
            </w:r>
            <w:r/>
          </w:p>
        </w:tc>
        <w:tc>
          <w:tcPr>
            <w:tcBorders/>
            <w:tcW w:w="4904" w:type="dxa"/>
          </w:tcPr>
          <w:p>
            <w:pPr>
              <w:pStyle w:val="922"/>
              <w:pBdr/>
              <w:spacing/>
              <w:ind/>
              <w:rPr/>
            </w:pPr>
            <w:r>
              <w:t xml:space="preserve">Temporada anual con convocatorias versionadas; torneos (liga, copa, liguilla, campeón de campeones, goleo y especiales); ramas (libre, veteranos, infantil y femenil), categorías y grupos según la convocatoria.</w:t>
            </w:r>
            <w:r/>
          </w:p>
        </w:tc>
        <w:tc>
          <w:tcPr>
            <w:tcBorders/>
            <w:tcW w:w="1400" w:type="dxa"/>
          </w:tcPr>
          <w:p>
            <w:pPr>
              <w:pStyle w:val="922"/>
              <w:pBdr/>
              <w:spacing/>
              <w:ind/>
              <w:rPr/>
            </w:pPr>
            <w:r>
              <w:t xml:space="preserve">Must (copa y torneos especiales: Could)</w:t>
            </w:r>
            <w:r/>
          </w:p>
        </w:tc>
      </w:tr>
      <w:tr>
        <w:trPr>
          <w:cantSplit/>
        </w:trPr>
        <w:tc>
          <w:tcPr>
            <w:tcBorders/>
            <w:tcW w:w="800" w:type="dxa"/>
          </w:tcPr>
          <w:p>
            <w:pPr>
              <w:pStyle w:val="922"/>
              <w:pBdr/>
              <w:spacing/>
              <w:ind/>
              <w:rPr/>
            </w:pPr>
            <w:r>
              <w:t xml:space="preserve">AF-03</w:t>
            </w:r>
            <w:r/>
          </w:p>
        </w:tc>
        <w:tc>
          <w:tcPr>
            <w:tcBorders/>
            <w:tcW w:w="2300" w:type="dxa"/>
          </w:tcPr>
          <w:p>
            <w:pPr>
              <w:pStyle w:val="922"/>
              <w:pBdr/>
              <w:spacing/>
              <w:ind/>
              <w:rPr/>
            </w:pPr>
            <w:r>
              <w:t xml:space="preserve">Clubes, equipos y personas</w:t>
            </w:r>
            <w:r/>
          </w:p>
        </w:tc>
        <w:tc>
          <w:tcPr>
            <w:tcBorders/>
            <w:tcW w:w="4904" w:type="dxa"/>
          </w:tcPr>
          <w:p>
            <w:pPr>
              <w:pStyle w:val="922"/>
              <w:pBdr/>
              <w:spacing/>
              <w:ind/>
              <w:rPr/>
            </w:pPr>
            <w:r>
              <w:t xml:space="preserve">Clubes, franquicias y equipos; afiliación con tarjetón digital y directiva; registro de jugadores, delegados y árbitros con validación de identidad (INE, CURP); credenciales; reglas de plantilla y reinicio del historial por venta de franquicia.</w:t>
            </w:r>
            <w:r/>
          </w:p>
        </w:tc>
        <w:tc>
          <w:tcPr>
            <w:tcBorders/>
            <w:tcW w:w="1400" w:type="dxa"/>
          </w:tcPr>
          <w:p>
            <w:pPr>
              <w:pStyle w:val="922"/>
              <w:pBdr/>
              <w:spacing/>
              <w:ind/>
              <w:rPr/>
            </w:pPr>
            <w:r>
              <w:t xml:space="preserve">Must</w:t>
            </w:r>
            <w:r/>
          </w:p>
        </w:tc>
      </w:tr>
      <w:tr>
        <w:trPr>
          <w:cantSplit/>
        </w:trPr>
        <w:tc>
          <w:tcPr>
            <w:tcBorders/>
            <w:tcW w:w="800" w:type="dxa"/>
          </w:tcPr>
          <w:p>
            <w:pPr>
              <w:pStyle w:val="922"/>
              <w:pBdr/>
              <w:spacing/>
              <w:ind/>
              <w:rPr/>
            </w:pPr>
            <w:r>
              <w:t xml:space="preserve">AF-04</w:t>
            </w:r>
            <w:r/>
          </w:p>
        </w:tc>
        <w:tc>
          <w:tcPr>
            <w:tcBorders/>
            <w:tcW w:w="2300" w:type="dxa"/>
          </w:tcPr>
          <w:p>
            <w:pPr>
              <w:pStyle w:val="922"/>
              <w:pBdr/>
              <w:spacing/>
              <w:ind/>
              <w:rPr/>
            </w:pPr>
            <w:r>
              <w:t xml:space="preserve">Canchas y sedes</w:t>
            </w:r>
            <w:r/>
          </w:p>
        </w:tc>
        <w:tc>
          <w:tcPr>
            <w:tcBorders/>
            <w:tcW w:w="4904" w:type="dxa"/>
          </w:tcPr>
          <w:p>
            <w:pPr>
              <w:pStyle w:val="922"/>
              <w:pBdr/>
              <w:spacing/>
              <w:ind/>
              <w:rPr/>
            </w:pPr>
            <w:r>
              <w:t xml:space="preserve">Catálogo de canchas (alrededor de 40 en la Unidad Deportiva Cuauhtémoc, más campos particulares), disponibilidad, bloqueos (por ejemplo, por lluvia) y préstamos de cancha.</w:t>
            </w:r>
            <w:r/>
          </w:p>
        </w:tc>
        <w:tc>
          <w:tcPr>
            <w:tcBorders/>
            <w:tcW w:w="1400" w:type="dxa"/>
          </w:tcPr>
          <w:p>
            <w:pPr>
              <w:pStyle w:val="922"/>
              <w:pBdr/>
              <w:spacing/>
              <w:ind/>
              <w:rPr/>
            </w:pPr>
            <w:r>
              <w:t xml:space="preserve">Must</w:t>
            </w:r>
            <w:r/>
          </w:p>
        </w:tc>
      </w:tr>
      <w:tr>
        <w:trPr>
          <w:cantSplit/>
        </w:trPr>
        <w:tc>
          <w:tcPr>
            <w:tcBorders/>
            <w:tcW w:w="800" w:type="dxa"/>
          </w:tcPr>
          <w:p>
            <w:pPr>
              <w:pStyle w:val="922"/>
              <w:pBdr/>
              <w:spacing/>
              <w:ind/>
              <w:rPr/>
            </w:pPr>
            <w:r>
              <w:t xml:space="preserve">AF-05</w:t>
            </w:r>
            <w:r/>
          </w:p>
        </w:tc>
        <w:tc>
          <w:tcPr>
            <w:tcBorders/>
            <w:tcW w:w="2300" w:type="dxa"/>
          </w:tcPr>
          <w:p>
            <w:pPr>
              <w:pStyle w:val="922"/>
              <w:pBdr/>
              <w:spacing/>
              <w:ind/>
              <w:rPr/>
            </w:pPr>
            <w:r>
              <w:t xml:space="preserve">Programación de partidos</w:t>
            </w:r>
            <w:r/>
          </w:p>
        </w:tc>
        <w:tc>
          <w:tcPr>
            <w:tcBorders/>
            <w:tcW w:w="4904" w:type="dxa"/>
          </w:tcPr>
          <w:p>
            <w:pPr>
              <w:pStyle w:val="922"/>
              <w:pBdr/>
              <w:spacing/>
              <w:ind/>
              <w:rPr/>
            </w:pPr>
            <w:r>
              <w:t xml:space="preserve">Elaboración, ajuste y publicación del rol de juegos por jornada; descansos; reprogramaciones autorizadas; estados del partido; detección de conflictos.</w:t>
            </w:r>
            <w:r/>
          </w:p>
        </w:tc>
        <w:tc>
          <w:tcPr>
            <w:tcBorders/>
            <w:tcW w:w="1400" w:type="dxa"/>
          </w:tcPr>
          <w:p>
            <w:pPr>
              <w:pStyle w:val="922"/>
              <w:pBdr/>
              <w:spacing/>
              <w:ind/>
              <w:rPr/>
            </w:pPr>
            <w:r>
              <w:t xml:space="preserve">Must</w:t>
            </w:r>
            <w:r/>
          </w:p>
        </w:tc>
      </w:tr>
      <w:tr>
        <w:trPr>
          <w:cantSplit/>
        </w:trPr>
        <w:tc>
          <w:tcPr>
            <w:tcBorders/>
            <w:tcW w:w="800" w:type="dxa"/>
          </w:tcPr>
          <w:p>
            <w:pPr>
              <w:pStyle w:val="922"/>
              <w:pBdr/>
              <w:spacing/>
              <w:ind/>
              <w:rPr/>
            </w:pPr>
            <w:r>
              <w:t xml:space="preserve">AF-06</w:t>
            </w:r>
            <w:r/>
          </w:p>
        </w:tc>
        <w:tc>
          <w:tcPr>
            <w:tcBorders/>
            <w:tcW w:w="2300" w:type="dxa"/>
          </w:tcPr>
          <w:p>
            <w:pPr>
              <w:pStyle w:val="922"/>
              <w:pBdr/>
              <w:spacing/>
              <w:ind/>
              <w:rPr/>
            </w:pPr>
            <w:r>
              <w:t xml:space="preserve">Generación automática de la programación</w:t>
            </w:r>
            <w:r/>
          </w:p>
        </w:tc>
        <w:tc>
          <w:tcPr>
            <w:tcBorders/>
            <w:tcW w:w="4904" w:type="dxa"/>
          </w:tcPr>
          <w:p>
            <w:pPr>
              <w:pStyle w:val="922"/>
              <w:pBdr/>
              <w:spacing/>
              <w:ind/>
              <w:rPr/>
            </w:pPr>
            <w:r>
              <w:t xml:space="preserve">Propuesta automática de enfrentamientos, horarios y canchas que respeta restricciones duras (solapamientos, sanciones) y blandas (preferencias horarias), con ajuste manual.</w:t>
            </w:r>
            <w:r/>
          </w:p>
        </w:tc>
        <w:tc>
          <w:tcPr>
            <w:tcBorders/>
            <w:tcW w:w="1400" w:type="dxa"/>
          </w:tcPr>
          <w:p>
            <w:pPr>
              <w:pStyle w:val="922"/>
              <w:pBdr/>
              <w:spacing/>
              <w:ind/>
              <w:rPr/>
            </w:pPr>
            <w:r>
              <w:t xml:space="preserve">Should</w:t>
            </w:r>
            <w:r/>
          </w:p>
        </w:tc>
      </w:tr>
      <w:tr>
        <w:trPr>
          <w:cantSplit/>
        </w:trPr>
        <w:tc>
          <w:tcPr>
            <w:tcBorders/>
            <w:tcW w:w="800" w:type="dxa"/>
          </w:tcPr>
          <w:p>
            <w:pPr>
              <w:pStyle w:val="922"/>
              <w:pBdr/>
              <w:spacing/>
              <w:ind/>
              <w:rPr/>
            </w:pPr>
            <w:r>
              <w:t xml:space="preserve">AF-07</w:t>
            </w:r>
            <w:r/>
          </w:p>
        </w:tc>
        <w:tc>
          <w:tcPr>
            <w:tcBorders/>
            <w:tcW w:w="2300" w:type="dxa"/>
          </w:tcPr>
          <w:p>
            <w:pPr>
              <w:pStyle w:val="922"/>
              <w:pBdr/>
              <w:spacing/>
              <w:ind/>
              <w:rPr/>
            </w:pPr>
            <w:r>
              <w:t xml:space="preserve">Partidos, cédulas y estadísticas</w:t>
            </w:r>
            <w:r/>
          </w:p>
        </w:tc>
        <w:tc>
          <w:tcPr>
            <w:tcBorders/>
            <w:tcW w:w="4904" w:type="dxa"/>
          </w:tcPr>
          <w:p>
            <w:pPr>
              <w:pStyle w:val="922"/>
              <w:pBdr/>
              <w:spacing/>
              <w:ind/>
              <w:rPr/>
            </w:pPr>
            <w:r>
              <w:t xml:space="preserve">Validación de jugadores en campo; cédula digital (goles, amonestaciones, expulsiones y firmas); resultados (incluidos los resultados por default); tablas, goleo y estadísticas.</w:t>
            </w:r>
            <w:r/>
          </w:p>
        </w:tc>
        <w:tc>
          <w:tcPr>
            <w:tcBorders/>
            <w:tcW w:w="1400" w:type="dxa"/>
          </w:tcPr>
          <w:p>
            <w:pPr>
              <w:pStyle w:val="922"/>
              <w:pBdr/>
              <w:spacing/>
              <w:ind/>
              <w:rPr/>
            </w:pPr>
            <w:r>
              <w:t xml:space="preserve">Must</w:t>
            </w:r>
            <w:r/>
          </w:p>
        </w:tc>
      </w:tr>
      <w:tr>
        <w:trPr>
          <w:cantSplit/>
        </w:trPr>
        <w:tc>
          <w:tcPr>
            <w:tcBorders/>
            <w:tcW w:w="800" w:type="dxa"/>
          </w:tcPr>
          <w:p>
            <w:pPr>
              <w:pStyle w:val="922"/>
              <w:pBdr/>
              <w:spacing/>
              <w:ind/>
              <w:rPr/>
            </w:pPr>
            <w:r>
              <w:t xml:space="preserve">AF-08</w:t>
            </w:r>
            <w:r/>
          </w:p>
        </w:tc>
        <w:tc>
          <w:tcPr>
            <w:tcBorders/>
            <w:tcW w:w="2300" w:type="dxa"/>
          </w:tcPr>
          <w:p>
            <w:pPr>
              <w:pStyle w:val="922"/>
              <w:pBdr/>
              <w:spacing/>
              <w:ind/>
              <w:rPr/>
            </w:pPr>
            <w:r>
              <w:t xml:space="preserve">Disciplina</w:t>
            </w:r>
            <w:r/>
          </w:p>
        </w:tc>
        <w:tc>
          <w:tcPr>
            <w:tcBorders/>
            <w:tcW w:w="4904" w:type="dxa"/>
          </w:tcPr>
          <w:p>
            <w:pPr>
              <w:pStyle w:val="922"/>
              <w:pBdr/>
              <w:spacing/>
              <w:ind/>
              <w:rPr/>
            </w:pPr>
            <w:r>
              <w:t xml:space="preserve">Incidencias, catálogo de infracciones y artículos, expedientes y dictamen de la Comisión Disciplinaria (Tribunal de Penas), suspensiones, boletín de castigados, baja por acumulación de defaults, inconformidades y recursos.</w:t>
            </w:r>
            <w:r/>
          </w:p>
        </w:tc>
        <w:tc>
          <w:tcPr>
            <w:tcBorders/>
            <w:tcW w:w="1400" w:type="dxa"/>
          </w:tcPr>
          <w:p>
            <w:pPr>
              <w:pStyle w:val="922"/>
              <w:pBdr/>
              <w:spacing/>
              <w:ind/>
              <w:rPr/>
            </w:pPr>
            <w:r>
              <w:t xml:space="preserve">Must (inconformidades y recursos: Could)</w:t>
            </w:r>
            <w:r/>
          </w:p>
        </w:tc>
      </w:tr>
      <w:tr>
        <w:trPr>
          <w:cantSplit/>
        </w:trPr>
        <w:tc>
          <w:tcPr>
            <w:tcBorders/>
            <w:tcW w:w="800" w:type="dxa"/>
          </w:tcPr>
          <w:p>
            <w:pPr>
              <w:pStyle w:val="922"/>
              <w:pBdr/>
              <w:spacing/>
              <w:ind/>
              <w:rPr/>
            </w:pPr>
            <w:r>
              <w:t xml:space="preserve">AF-09</w:t>
            </w:r>
            <w:r/>
          </w:p>
        </w:tc>
        <w:tc>
          <w:tcPr>
            <w:tcBorders/>
            <w:tcW w:w="2300" w:type="dxa"/>
          </w:tcPr>
          <w:p>
            <w:pPr>
              <w:pStyle w:val="922"/>
              <w:pBdr/>
              <w:spacing/>
              <w:ind/>
              <w:rPr/>
            </w:pPr>
            <w:r>
              <w:t xml:space="preserve">Fases finales</w:t>
            </w:r>
            <w:r/>
          </w:p>
        </w:tc>
        <w:tc>
          <w:tcPr>
            <w:tcBorders/>
            <w:tcW w:w="4904" w:type="dxa"/>
          </w:tcPr>
          <w:p>
            <w:pPr>
              <w:pStyle w:val="922"/>
              <w:pBdr/>
              <w:spacing/>
              <w:ind/>
              <w:rPr/>
            </w:pPr>
            <w:r>
              <w:t xml:space="preserve">Clasificación y llaves de liguilla, liguilla de consolación (campeón alterno), campeón de campeones, ascensos y descensos.</w:t>
            </w:r>
            <w:r/>
          </w:p>
        </w:tc>
        <w:tc>
          <w:tcPr>
            <w:tcBorders/>
            <w:tcW w:w="1400" w:type="dxa"/>
          </w:tcPr>
          <w:p>
            <w:pPr>
              <w:pStyle w:val="922"/>
              <w:pBdr/>
              <w:spacing/>
              <w:ind/>
              <w:rPr/>
            </w:pPr>
            <w:r>
              <w:t xml:space="preserve">Could</w:t>
            </w:r>
            <w:r/>
          </w:p>
        </w:tc>
      </w:tr>
      <w:tr>
        <w:trPr>
          <w:cantSplit/>
        </w:trPr>
        <w:tc>
          <w:tcPr>
            <w:tcBorders/>
            <w:tcW w:w="800" w:type="dxa"/>
          </w:tcPr>
          <w:p>
            <w:pPr>
              <w:pStyle w:val="922"/>
              <w:pBdr/>
              <w:spacing/>
              <w:ind/>
              <w:rPr/>
            </w:pPr>
            <w:r>
              <w:t xml:space="preserve">AF-10</w:t>
            </w:r>
            <w:r/>
          </w:p>
        </w:tc>
        <w:tc>
          <w:tcPr>
            <w:tcBorders/>
            <w:tcW w:w="2300" w:type="dxa"/>
          </w:tcPr>
          <w:p>
            <w:pPr>
              <w:pStyle w:val="922"/>
              <w:pBdr/>
              <w:spacing/>
              <w:ind/>
              <w:rPr/>
            </w:pPr>
            <w:r>
              <w:t xml:space="preserve">Gestión económica</w:t>
            </w:r>
            <w:r/>
          </w:p>
        </w:tc>
        <w:tc>
          <w:tcPr>
            <w:tcBorders/>
            <w:tcW w:w="4904" w:type="dxa"/>
          </w:tcPr>
          <w:p>
            <w:pPr>
              <w:pStyle w:val="922"/>
              <w:pBdr/>
              <w:spacing/>
              <w:ind/>
              <w:rPr/>
            </w:pPr>
            <w:r>
              <w:t xml:space="preserve">Cuotas de inscripción por categoría, registros de jugadores ($40.00), arbitrajes ($125.00), cal, mantenimiento, aportaciones y trofeos por club.</w:t>
            </w:r>
            <w:r/>
          </w:p>
        </w:tc>
        <w:tc>
          <w:tcPr>
            <w:tcBorders/>
            <w:tcW w:w="1400" w:type="dxa"/>
          </w:tcPr>
          <w:p>
            <w:pPr>
              <w:pStyle w:val="922"/>
              <w:pBdr/>
              <w:spacing/>
              <w:ind/>
              <w:rPr/>
            </w:pPr>
            <w:r>
              <w:t xml:space="preserve">Should</w:t>
            </w:r>
            <w:r/>
          </w:p>
        </w:tc>
      </w:tr>
      <w:tr>
        <w:trPr>
          <w:cantSplit/>
        </w:trPr>
        <w:tc>
          <w:tcPr>
            <w:tcBorders/>
            <w:tcW w:w="800" w:type="dxa"/>
          </w:tcPr>
          <w:p>
            <w:pPr>
              <w:pStyle w:val="922"/>
              <w:pBdr/>
              <w:spacing/>
              <w:ind/>
              <w:rPr/>
            </w:pPr>
            <w:r>
              <w:t xml:space="preserve">AF-11</w:t>
            </w:r>
            <w:r/>
          </w:p>
        </w:tc>
        <w:tc>
          <w:tcPr>
            <w:tcBorders/>
            <w:tcW w:w="2300" w:type="dxa"/>
          </w:tcPr>
          <w:p>
            <w:pPr>
              <w:pStyle w:val="922"/>
              <w:pBdr/>
              <w:spacing/>
              <w:ind/>
              <w:rPr/>
            </w:pPr>
            <w:r>
              <w:t xml:space="preserve">Portal público</w:t>
            </w:r>
            <w:r/>
          </w:p>
        </w:tc>
        <w:tc>
          <w:tcPr>
            <w:tcBorders/>
            <w:tcW w:w="4904" w:type="dxa"/>
          </w:tcPr>
          <w:p>
            <w:pPr>
              <w:pStyle w:val="922"/>
              <w:pBdr/>
              <w:spacing/>
              <w:ind/>
              <w:rPr/>
            </w:pPr>
            <w:r>
              <w:t xml:space="preserve">Programación, resultados, tablas, goleo, castigados y comunicados en modo de solo lectura; búsqueda por fecha, categoría y equipo.</w:t>
            </w:r>
            <w:r/>
          </w:p>
        </w:tc>
        <w:tc>
          <w:tcPr>
            <w:tcBorders/>
            <w:tcW w:w="1400" w:type="dxa"/>
          </w:tcPr>
          <w:p>
            <w:pPr>
              <w:pStyle w:val="922"/>
              <w:pBdr/>
              <w:spacing/>
              <w:ind/>
              <w:rPr/>
            </w:pPr>
            <w:r>
              <w:t xml:space="preserve">Must</w:t>
            </w:r>
            <w:r/>
          </w:p>
        </w:tc>
      </w:tr>
      <w:tr>
        <w:trPr>
          <w:cantSplit/>
        </w:trPr>
        <w:tc>
          <w:tcPr>
            <w:tcBorders/>
            <w:tcW w:w="800" w:type="dxa"/>
          </w:tcPr>
          <w:p>
            <w:pPr>
              <w:pStyle w:val="922"/>
              <w:pBdr/>
              <w:spacing/>
              <w:ind/>
              <w:rPr/>
            </w:pPr>
            <w:r>
              <w:t xml:space="preserve">AF-12</w:t>
            </w:r>
            <w:r/>
          </w:p>
        </w:tc>
        <w:tc>
          <w:tcPr>
            <w:tcBorders/>
            <w:tcW w:w="2300" w:type="dxa"/>
          </w:tcPr>
          <w:p>
            <w:pPr>
              <w:pStyle w:val="922"/>
              <w:pBdr/>
              <w:spacing/>
              <w:ind/>
              <w:rPr/>
            </w:pPr>
            <w:r>
              <w:t xml:space="preserve">Reportes y difusión</w:t>
            </w:r>
            <w:r/>
          </w:p>
        </w:tc>
        <w:tc>
          <w:tcPr>
            <w:tcBorders/>
            <w:tcW w:w="4904" w:type="dxa"/>
          </w:tcPr>
          <w:p>
            <w:pPr>
              <w:pStyle w:val="922"/>
              <w:pBdr/>
              <w:spacing/>
              <w:ind/>
              <w:rPr/>
            </w:pPr>
            <w:r>
              <w:t xml:space="preserve">Generación de cédulas oficiales, estados de cuenta y constancias; exportación de programación, tablas y castigados en imagen o PDF.</w:t>
            </w:r>
            <w:r/>
          </w:p>
        </w:tc>
        <w:tc>
          <w:tcPr>
            <w:tcBorders/>
            <w:tcW w:w="1400" w:type="dxa"/>
          </w:tcPr>
          <w:p>
            <w:pPr>
              <w:pStyle w:val="922"/>
              <w:pBdr/>
              <w:spacing/>
              <w:ind/>
              <w:rPr/>
            </w:pPr>
            <w:r>
              <w:t xml:space="preserve">Should</w:t>
            </w:r>
            <w:r/>
          </w:p>
        </w:tc>
      </w:tr>
      <w:tr>
        <w:trPr>
          <w:cantSplit/>
        </w:trPr>
        <w:tc>
          <w:tcPr>
            <w:tcBorders/>
            <w:tcW w:w="800" w:type="dxa"/>
          </w:tcPr>
          <w:p>
            <w:pPr>
              <w:pStyle w:val="922"/>
              <w:pBdr/>
              <w:spacing/>
              <w:ind/>
              <w:rPr/>
            </w:pPr>
            <w:r>
              <w:t xml:space="preserve">AF-13</w:t>
            </w:r>
            <w:r/>
          </w:p>
        </w:tc>
        <w:tc>
          <w:tcPr>
            <w:tcBorders/>
            <w:tcW w:w="2300" w:type="dxa"/>
          </w:tcPr>
          <w:p>
            <w:pPr>
              <w:pStyle w:val="922"/>
              <w:pBdr/>
              <w:spacing/>
              <w:ind/>
              <w:rPr/>
            </w:pPr>
            <w:r>
              <w:t xml:space="preserve">Integración con correo </w:t>
            </w:r>
            <w:r/>
          </w:p>
        </w:tc>
        <w:tc>
          <w:tcPr>
            <w:tcBorders/>
            <w:tcW w:w="4904" w:type="dxa"/>
          </w:tcPr>
          <w:p>
            <w:pPr>
              <w:pStyle w:val="922"/>
              <w:pBdr/>
              <w:spacing/>
              <w:ind/>
              <w:rPr/>
            </w:pPr>
            <w:r>
              <w:t xml:space="preserve">Envío por correo electrónico de avisos de partidos (incluidos cambios de sede u horario), avisos institucionales y recordatorios de pago.</w:t>
            </w:r>
            <w:r/>
          </w:p>
        </w:tc>
        <w:tc>
          <w:tcPr>
            <w:tcBorders/>
            <w:tcW w:w="1400" w:type="dxa"/>
          </w:tcPr>
          <w:p>
            <w:pPr>
              <w:pStyle w:val="922"/>
              <w:pBdr/>
              <w:spacing/>
              <w:ind/>
              <w:rPr/>
            </w:pPr>
            <w:r>
              <w:t xml:space="preserve">Should</w:t>
            </w:r>
            <w:r/>
          </w:p>
        </w:tc>
      </w:tr>
      <w:tr>
        <w:trPr>
          <w:cantSplit/>
        </w:trPr>
        <w:tc>
          <w:tcPr>
            <w:tcBorders/>
            <w:tcW w:w="800" w:type="dxa"/>
          </w:tcPr>
          <w:p>
            <w:pPr>
              <w:pStyle w:val="922"/>
              <w:pBdr/>
              <w:spacing/>
              <w:ind/>
              <w:rPr/>
            </w:pPr>
            <w:r>
              <w:t xml:space="preserve">AF-14</w:t>
            </w:r>
            <w:r/>
          </w:p>
        </w:tc>
        <w:tc>
          <w:tcPr>
            <w:tcBorders/>
            <w:tcW w:w="2300" w:type="dxa"/>
          </w:tcPr>
          <w:p>
            <w:pPr>
              <w:pStyle w:val="922"/>
              <w:pBdr/>
              <w:spacing/>
              <w:ind/>
              <w:rPr/>
            </w:pPr>
            <w:r>
              <w:t xml:space="preserve">Asambleas y acuerdos</w:t>
            </w:r>
            <w:r/>
          </w:p>
        </w:tc>
        <w:tc>
          <w:tcPr>
            <w:tcBorders/>
            <w:tcW w:w="4904" w:type="dxa"/>
          </w:tcPr>
          <w:p>
            <w:pPr>
              <w:pStyle w:val="922"/>
              <w:pBdr/>
              <w:spacing/>
              <w:ind/>
              <w:rPr/>
            </w:pPr>
            <w:r>
              <w:t xml:space="preserve">Convocatorias a asamblea, asistencia de delegados y registro de acuerdos y comunicados.</w:t>
            </w:r>
            <w:r/>
          </w:p>
        </w:tc>
        <w:tc>
          <w:tcPr>
            <w:tcBorders/>
            <w:tcW w:w="1400" w:type="dxa"/>
          </w:tcPr>
          <w:p>
            <w:pPr>
              <w:pStyle w:val="922"/>
              <w:pBdr/>
              <w:spacing/>
              <w:ind/>
              <w:rPr/>
            </w:pPr>
            <w:r>
              <w:t xml:space="preserve">Could</w:t>
            </w:r>
            <w:r/>
          </w:p>
        </w:tc>
      </w:tr>
    </w:tbl>
    <w:p>
      <w:pPr>
        <w:pBdr/>
        <w:spacing w:after="60" w:before="0"/>
        <w:ind/>
        <w:rPr/>
      </w:pPr>
      <w:r/>
      <w:r/>
    </w:p>
    <w:p>
      <w:pPr>
        <w:pBdr/>
        <w:spacing/>
        <w:ind/>
        <w:rPr/>
      </w:pPr>
      <w:r>
        <w:rPr>
          <w:b/>
          <w:bCs/>
          <w:color w:val="241a61"/>
        </w:rPr>
        <w:t xml:space="preserve">Fuera del alcance. </w:t>
      </w:r>
      <w:r>
        <w:t xml:space="preserve">No forman parte de esta versión:</w:t>
      </w:r>
      <w:r/>
    </w:p>
    <w:p>
      <w:pPr>
        <w:pStyle w:val="920"/>
        <w:numPr>
          <w:ilvl w:val="0"/>
          <w:numId w:val="1"/>
        </w:numPr>
        <w:pBdr/>
        <w:spacing/>
        <w:ind/>
        <w:rPr/>
      </w:pPr>
      <w:r>
        <w:t xml:space="preserve">Aplicación móvil instalable: el Sistema es solo web.</w:t>
      </w:r>
      <w:r/>
    </w:p>
    <w:p>
      <w:pPr>
        <w:pStyle w:val="920"/>
        <w:numPr>
          <w:ilvl w:val="0"/>
          <w:numId w:val="1"/>
        </w:numPr>
        <w:pBdr/>
        <w:spacing/>
        <w:ind/>
        <w:rPr/>
      </w:pPr>
      <w:r>
        <w:t xml:space="preserve">Operación sin conexión: el Sistema requiere Internet.</w:t>
      </w:r>
      <w:r/>
    </w:p>
    <w:p>
      <w:pPr>
        <w:pStyle w:val="920"/>
        <w:numPr>
          <w:ilvl w:val="0"/>
          <w:numId w:val="1"/>
        </w:numPr>
        <w:pBdr/>
        <w:spacing/>
        <w:ind/>
        <w:rPr/>
      </w:pPr>
      <w:r>
        <w:t xml:space="preserve">Migración de datos de temporadas anteriores: no prevista.</w:t>
      </w:r>
      <w:r/>
    </w:p>
    <w:p>
      <w:pPr>
        <w:pStyle w:val="920"/>
        <w:numPr>
          <w:ilvl w:val="0"/>
          <w:numId w:val="1"/>
        </w:numPr>
        <w:pBdr/>
        <w:spacing/>
        <w:ind/>
        <w:rPr/>
      </w:pPr>
      <w:r>
        <w:t xml:space="preserve">Integraciones distintas de correo (WhatsApp, SMS, mapas, API pública, autenticación externa, CSV/Excel): no incluidas.</w:t>
      </w:r>
      <w:r/>
    </w:p>
    <w:p>
      <w:pPr>
        <w:pStyle w:val="920"/>
        <w:numPr>
          <w:ilvl w:val="0"/>
          <w:numId w:val="1"/>
        </w:numPr>
        <w:pBdr/>
        <w:spacing/>
        <w:ind/>
        <w:rPr/>
      </w:pPr>
      <w:r>
        <w:t xml:space="preserve">Intercambio electrónico con entidades externas (IMCUFIDE, colegios de árbitros, UMSNH, sindicato del Ayuntamiento, portales de noticias): sigue por los medios actuales; el Sistema solo genera exportables (AF-12). </w:t>
      </w:r>
      <w:r>
        <w:rPr>
          <w:b/>
          <w:bCs/>
        </w:rPr>
        <w:t xml:space="preserve">Propuesta.</w:t>
      </w:r>
      <w:r/>
    </w:p>
    <w:p>
      <w:pPr>
        <w:pStyle w:val="920"/>
        <w:numPr>
          <w:ilvl w:val="0"/>
          <w:numId w:val="1"/>
        </w:numPr>
        <w:pBdr/>
        <w:spacing/>
        <w:ind/>
        <w:rPr/>
      </w:pPr>
      <w:r>
        <w:t xml:space="preserve">Trámites legales y notariales de la asociación civil. </w:t>
      </w:r>
      <w:r>
        <w:rPr>
          <w:b/>
          <w:bCs/>
        </w:rPr>
        <w:t xml:space="preserve">Propuesta.</w:t>
      </w:r>
      <w:r/>
    </w:p>
    <w:p>
      <w:pPr>
        <w:pStyle w:val="920"/>
        <w:numPr>
          <w:ilvl w:val="0"/>
          <w:numId w:val="1"/>
        </w:numPr>
        <w:pBdr/>
        <w:spacing/>
        <w:ind/>
        <w:rPr/>
      </w:pPr>
      <w:r>
        <w:t xml:space="preserve">Cobro en línea: los pagos se siguen haciendo en las oficinas de la Liga y el Sistema solo los registra. </w:t>
      </w:r>
      <w:r>
        <w:rPr>
          <w:b/>
          <w:bCs/>
        </w:rPr>
        <w:t xml:space="preserve">Propuesta.</w:t>
      </w:r>
      <w:r/>
    </w:p>
    <w:p>
      <w:pPr>
        <w:pBdr/>
        <w:spacing/>
        <w:ind/>
        <w:rPr/>
      </w:pPr>
      <w:r>
        <w:rPr>
          <w:b/>
          <w:bCs/>
          <w:color w:val="241a61"/>
        </w:rPr>
        <w:t xml:space="preserve">Restricciones y condiciones. </w:t>
      </w:r>
      <w:r/>
    </w:p>
    <w:p>
      <w:pPr>
        <w:pStyle w:val="920"/>
        <w:numPr>
          <w:ilvl w:val="0"/>
          <w:numId w:val="1"/>
        </w:numPr>
        <w:pBdr/>
        <w:spacing/>
        <w:ind/>
        <w:rPr/>
      </w:pPr>
      <w:r>
        <w:t xml:space="preserve">Durante el desarrollo, el Sistema se alojará sin costo en equipos del propio equipo de desarrollo; el hospedaje de producción se definirá cuando se planee su puesta en marcha.</w:t>
      </w:r>
      <w:r/>
    </w:p>
    <w:p>
      <w:pPr>
        <w:pStyle w:val="920"/>
        <w:numPr>
          <w:ilvl w:val="0"/>
          <w:numId w:val="1"/>
        </w:numPr>
        <w:pBdr/>
        <w:spacing/>
        <w:ind/>
        <w:rPr/>
      </w:pPr>
      <w:r>
        <w:t xml:space="preserve">La Liga trata datos personales, incluidos los de menores de edad, por lo que aplica la LFPDPPP.</w:t>
      </w:r>
      <w:r/>
    </w:p>
    <w:p>
      <w:pPr>
        <w:pStyle w:val="920"/>
        <w:numPr>
          <w:ilvl w:val="0"/>
          <w:numId w:val="1"/>
        </w:numPr>
        <w:pBdr/>
        <w:spacing/>
        <w:ind/>
        <w:rPr/>
      </w:pPr>
      <w:r>
        <w:t xml:space="preserve">Las reglas cambian cada temporada (categorías, cuotas, ascensos y descensos) y deben poder actualizarse sin modificar el software. </w:t>
      </w:r>
      <w:r>
        <w:rPr>
          <w:b/>
          <w:bCs/>
        </w:rPr>
        <w:t xml:space="preserve">Propuesta</w:t>
      </w:r>
      <w:r>
        <w:t xml:space="preserve">.</w:t>
      </w:r>
      <w:r/>
    </w:p>
    <w:p>
      <w:pPr>
        <w:pStyle w:val="920"/>
        <w:numPr>
          <w:ilvl w:val="0"/>
          <w:numId w:val="1"/>
        </w:numPr>
        <w:pBdr/>
        <w:spacing/>
        <w:ind/>
        <w:rPr/>
      </w:pPr>
      <w:r>
        <w:t xml:space="preserve">El r</w:t>
      </w:r>
      <w:r>
        <w:t xml:space="preserve">eglamento interno de la Liga no está disponible. Como referencia se usan las Reglas de Juego de la IFAB y el Reglamento de Sanciones del Sector Amateur de la FMF; las convocatorias de la Liga prevalecen sobre ellos.</w:t>
      </w:r>
      <w:r/>
    </w:p>
    <w:p>
      <w:pPr>
        <w:pStyle w:val="916"/>
        <w:pBdr/>
        <w:spacing/>
        <w:ind/>
        <w:rPr/>
      </w:pPr>
      <w:r/>
      <w:bookmarkStart w:id="4" w:name="_Toc100004"/>
      <w:r>
        <w:t xml:space="preserve">1.3 Personal involucrado</w:t>
      </w:r>
      <w:bookmarkEnd w:id="4"/>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700"/>
        <w:gridCol w:w="1400"/>
        <w:gridCol w:w="1500"/>
        <w:gridCol w:w="2000"/>
        <w:gridCol w:w="1604"/>
        <w:gridCol w:w="1200"/>
      </w:tblGrid>
      <w:tr>
        <w:trPr>
          <w:cantSplit/>
          <w:tblHeader/>
        </w:trPr>
        <w:tc>
          <w:tcPr>
            <w:shd w:val="clear" w:color="auto" w:fill="241a61"/>
            <w:tcBorders/>
            <w:tcW w:w="1700" w:type="dxa"/>
          </w:tcPr>
          <w:p>
            <w:pPr>
              <w:pStyle w:val="922"/>
              <w:pBdr/>
              <w:spacing/>
              <w:ind/>
              <w:rPr/>
            </w:pPr>
            <w:r>
              <w:rPr>
                <w:b/>
                <w:bCs/>
                <w:color w:val="ffffff"/>
              </w:rPr>
              <w:t xml:space="preserve">Nombre</w:t>
            </w:r>
            <w:r/>
          </w:p>
        </w:tc>
        <w:tc>
          <w:tcPr>
            <w:shd w:val="clear" w:color="auto" w:fill="241a61"/>
            <w:tcBorders/>
            <w:tcW w:w="1400" w:type="dxa"/>
          </w:tcPr>
          <w:p>
            <w:pPr>
              <w:pStyle w:val="922"/>
              <w:pBdr/>
              <w:spacing/>
              <w:ind/>
              <w:rPr/>
            </w:pPr>
            <w:r>
              <w:rPr>
                <w:b/>
                <w:bCs/>
                <w:color w:val="ffffff"/>
              </w:rPr>
              <w:t xml:space="preserve">Rol</w:t>
            </w:r>
            <w:r/>
          </w:p>
        </w:tc>
        <w:tc>
          <w:tcPr>
            <w:shd w:val="clear" w:color="auto" w:fill="241a61"/>
            <w:tcBorders/>
            <w:tcW w:w="1500" w:type="dxa"/>
          </w:tcPr>
          <w:p>
            <w:pPr>
              <w:pStyle w:val="922"/>
              <w:pBdr/>
              <w:spacing/>
              <w:ind/>
              <w:rPr/>
            </w:pPr>
            <w:r>
              <w:rPr>
                <w:b/>
                <w:bCs/>
                <w:color w:val="ffffff"/>
              </w:rPr>
              <w:t xml:space="preserve">Categoría profesional</w:t>
            </w:r>
            <w:r/>
          </w:p>
        </w:tc>
        <w:tc>
          <w:tcPr>
            <w:shd w:val="clear" w:color="auto" w:fill="241a61"/>
            <w:tcBorders/>
            <w:tcW w:w="2000" w:type="dxa"/>
          </w:tcPr>
          <w:p>
            <w:pPr>
              <w:pStyle w:val="922"/>
              <w:pBdr/>
              <w:spacing/>
              <w:ind/>
              <w:rPr/>
            </w:pPr>
            <w:r>
              <w:rPr>
                <w:b/>
                <w:bCs/>
                <w:color w:val="ffffff"/>
              </w:rPr>
              <w:t xml:space="preserve">Responsabilidades</w:t>
            </w:r>
            <w:r/>
          </w:p>
        </w:tc>
        <w:tc>
          <w:tcPr>
            <w:shd w:val="clear" w:color="auto" w:fill="241a61"/>
            <w:tcBorders/>
            <w:tcW w:w="1604" w:type="dxa"/>
          </w:tcPr>
          <w:p>
            <w:pPr>
              <w:pStyle w:val="922"/>
              <w:pBdr/>
              <w:spacing/>
              <w:ind/>
              <w:rPr/>
            </w:pPr>
            <w:r>
              <w:rPr>
                <w:b/>
                <w:bCs/>
                <w:color w:val="ffffff"/>
              </w:rPr>
              <w:t xml:space="preserve">Información de contacto</w:t>
            </w:r>
            <w:r/>
          </w:p>
        </w:tc>
        <w:tc>
          <w:tcPr>
            <w:shd w:val="clear" w:color="auto" w:fill="241a61"/>
            <w:tcBorders/>
            <w:tcW w:w="1200" w:type="dxa"/>
          </w:tcPr>
          <w:p>
            <w:pPr>
              <w:pStyle w:val="922"/>
              <w:pBdr/>
              <w:spacing/>
              <w:ind/>
              <w:rPr/>
            </w:pPr>
            <w:r>
              <w:rPr>
                <w:b/>
                <w:bCs/>
                <w:color w:val="ffffff"/>
              </w:rPr>
              <w:t xml:space="preserve">Aprobación</w:t>
            </w:r>
            <w:r/>
          </w:p>
        </w:tc>
      </w:tr>
      <w:tr>
        <w:trPr>
          <w:cantSplit/>
        </w:trPr>
        <w:tc>
          <w:tcPr>
            <w:tcBorders/>
            <w:tcW w:w="1700" w:type="dxa"/>
          </w:tcPr>
          <w:p>
            <w:pPr>
              <w:pStyle w:val="922"/>
              <w:pBdr/>
              <w:spacing/>
              <w:ind/>
              <w:rPr>
                <w:highlight w:val="none"/>
                <w:lang w:val="en-US"/>
              </w:rPr>
            </w:pPr>
            <w:r>
              <w:rPr>
                <w:lang w:val="en-US"/>
              </w:rPr>
            </w:r>
            <w:r>
              <w:rPr>
                <w:highlight w:val="none"/>
                <w:lang w:val="en-US"/>
              </w:rPr>
            </w:r>
            <w:r>
              <w:rPr>
                <w:highlight w:val="none"/>
                <w:lang w:val="en-US"/>
              </w:rPr>
            </w:r>
          </w:p>
        </w:tc>
        <w:tc>
          <w:tcPr>
            <w:tcBorders/>
            <w:tcW w:w="1400" w:type="dxa"/>
          </w:tcPr>
          <w:p>
            <w:pPr>
              <w:pStyle w:val="922"/>
              <w:pBdr/>
              <w:spacing/>
              <w:ind/>
              <w:rPr/>
            </w:pPr>
            <w:r/>
            <w:r/>
          </w:p>
        </w:tc>
        <w:tc>
          <w:tcPr>
            <w:tcBorders/>
            <w:tcW w:w="1500" w:type="dxa"/>
          </w:tcPr>
          <w:p>
            <w:pPr>
              <w:pStyle w:val="922"/>
              <w:pBdr/>
              <w:spacing/>
              <w:ind/>
              <w:rPr/>
            </w:pPr>
            <w:r/>
            <w:r/>
          </w:p>
        </w:tc>
        <w:tc>
          <w:tcPr>
            <w:tcBorders/>
            <w:tcW w:w="2000" w:type="dxa"/>
          </w:tcPr>
          <w:p>
            <w:pPr>
              <w:pStyle w:val="922"/>
              <w:pBdr/>
              <w:spacing/>
              <w:ind/>
              <w:rPr/>
            </w:pPr>
            <w:r/>
            <w:r/>
          </w:p>
        </w:tc>
        <w:tc>
          <w:tcPr>
            <w:tcBorders/>
            <w:tcW w:w="1604" w:type="dxa"/>
          </w:tcPr>
          <w:p>
            <w:pPr>
              <w:pStyle w:val="922"/>
              <w:pBdr/>
              <w:spacing/>
              <w:ind/>
              <w:rPr/>
            </w:pPr>
            <w:r/>
            <w:r/>
          </w:p>
        </w:tc>
        <w:tc>
          <w:tcPr>
            <w:tcBorders/>
            <w:tcW w:w="1200" w:type="dxa"/>
          </w:tcPr>
          <w:p>
            <w:pPr>
              <w:pStyle w:val="922"/>
              <w:pBdr/>
              <w:spacing/>
              <w:ind/>
              <w:rPr/>
            </w:pPr>
            <w:r/>
            <w:r/>
          </w:p>
        </w:tc>
      </w:tr>
      <w:tr>
        <w:trPr>
          <w:cantSplit/>
        </w:trPr>
        <w:tc>
          <w:tcPr>
            <w:tcBorders/>
            <w:tcW w:w="1700" w:type="dxa"/>
          </w:tcPr>
          <w:p>
            <w:pPr>
              <w:pStyle w:val="922"/>
              <w:pBdr/>
              <w:spacing/>
              <w:ind/>
              <w:rPr/>
            </w:pPr>
            <w:r/>
            <w:r/>
          </w:p>
        </w:tc>
        <w:tc>
          <w:tcPr>
            <w:tcBorders/>
            <w:tcW w:w="1400" w:type="dxa"/>
          </w:tcPr>
          <w:p>
            <w:pPr>
              <w:pStyle w:val="922"/>
              <w:pBdr/>
              <w:spacing/>
              <w:ind/>
              <w:rPr/>
            </w:pPr>
            <w:r/>
            <w:r/>
          </w:p>
        </w:tc>
        <w:tc>
          <w:tcPr>
            <w:tcBorders/>
            <w:tcW w:w="1500" w:type="dxa"/>
          </w:tcPr>
          <w:p>
            <w:pPr>
              <w:pStyle w:val="922"/>
              <w:pBdr/>
              <w:spacing/>
              <w:ind/>
              <w:rPr/>
            </w:pPr>
            <w:r/>
            <w:r/>
          </w:p>
        </w:tc>
        <w:tc>
          <w:tcPr>
            <w:tcBorders/>
            <w:tcW w:w="2000" w:type="dxa"/>
          </w:tcPr>
          <w:p>
            <w:pPr>
              <w:pStyle w:val="922"/>
              <w:pBdr/>
              <w:spacing/>
              <w:ind/>
              <w:rPr/>
            </w:pPr>
            <w:r/>
            <w:r/>
          </w:p>
        </w:tc>
        <w:tc>
          <w:tcPr>
            <w:tcBorders/>
            <w:tcW w:w="1604" w:type="dxa"/>
          </w:tcPr>
          <w:p>
            <w:pPr>
              <w:pStyle w:val="922"/>
              <w:pBdr/>
              <w:spacing/>
              <w:ind/>
              <w:rPr/>
            </w:pPr>
            <w:r/>
            <w:r/>
          </w:p>
        </w:tc>
        <w:tc>
          <w:tcPr>
            <w:tcBorders/>
            <w:tcW w:w="1200" w:type="dxa"/>
          </w:tcPr>
          <w:p>
            <w:pPr>
              <w:pStyle w:val="922"/>
              <w:pBdr/>
              <w:spacing/>
              <w:ind/>
              <w:rPr/>
            </w:pPr>
            <w:r/>
            <w:r/>
          </w:p>
        </w:tc>
      </w:tr>
      <w:tr>
        <w:trPr>
          <w:cantSplit/>
        </w:trPr>
        <w:tc>
          <w:tcPr>
            <w:tcBorders/>
            <w:tcW w:w="1700" w:type="dxa"/>
          </w:tcPr>
          <w:p>
            <w:pPr>
              <w:pStyle w:val="922"/>
              <w:pBdr/>
              <w:spacing/>
              <w:ind/>
              <w:rPr/>
            </w:pPr>
            <w:r/>
            <w:r/>
          </w:p>
        </w:tc>
        <w:tc>
          <w:tcPr>
            <w:tcBorders/>
            <w:tcW w:w="1400" w:type="dxa"/>
          </w:tcPr>
          <w:p>
            <w:pPr>
              <w:pStyle w:val="922"/>
              <w:pBdr/>
              <w:spacing/>
              <w:ind/>
              <w:rPr/>
            </w:pPr>
            <w:r/>
            <w:r/>
          </w:p>
        </w:tc>
        <w:tc>
          <w:tcPr>
            <w:tcBorders/>
            <w:tcW w:w="1500" w:type="dxa"/>
          </w:tcPr>
          <w:p>
            <w:pPr>
              <w:pStyle w:val="922"/>
              <w:pBdr/>
              <w:spacing/>
              <w:ind/>
              <w:rPr/>
            </w:pPr>
            <w:r/>
            <w:r/>
          </w:p>
        </w:tc>
        <w:tc>
          <w:tcPr>
            <w:tcBorders/>
            <w:tcW w:w="2000" w:type="dxa"/>
          </w:tcPr>
          <w:p>
            <w:pPr>
              <w:pStyle w:val="922"/>
              <w:pBdr/>
              <w:spacing/>
              <w:ind/>
              <w:rPr/>
            </w:pPr>
            <w:r/>
            <w:r/>
          </w:p>
        </w:tc>
        <w:tc>
          <w:tcPr>
            <w:tcBorders/>
            <w:tcW w:w="1604" w:type="dxa"/>
          </w:tcPr>
          <w:p>
            <w:pPr>
              <w:pStyle w:val="922"/>
              <w:pBdr/>
              <w:spacing/>
              <w:ind/>
              <w:rPr/>
            </w:pPr>
            <w:r/>
            <w:r/>
          </w:p>
        </w:tc>
        <w:tc>
          <w:tcPr>
            <w:tcBorders/>
            <w:tcW w:w="1200" w:type="dxa"/>
          </w:tcPr>
          <w:p>
            <w:pPr>
              <w:pStyle w:val="922"/>
              <w:pBdr/>
              <w:spacing/>
              <w:ind/>
              <w:rPr/>
            </w:pPr>
            <w:r/>
            <w:r/>
          </w:p>
        </w:tc>
      </w:tr>
      <w:tr>
        <w:trPr>
          <w:cantSplit/>
        </w:trPr>
        <w:tc>
          <w:tcPr>
            <w:tcBorders/>
            <w:tcW w:w="1700" w:type="dxa"/>
          </w:tcPr>
          <w:p>
            <w:pPr>
              <w:pStyle w:val="922"/>
              <w:pBdr/>
              <w:spacing/>
              <w:ind/>
              <w:rPr/>
            </w:pPr>
            <w:r/>
            <w:r/>
          </w:p>
        </w:tc>
        <w:tc>
          <w:tcPr>
            <w:tcBorders/>
            <w:tcW w:w="1400" w:type="dxa"/>
          </w:tcPr>
          <w:p>
            <w:pPr>
              <w:pStyle w:val="922"/>
              <w:pBdr/>
              <w:spacing/>
              <w:ind/>
              <w:rPr/>
            </w:pPr>
            <w:r/>
            <w:r/>
          </w:p>
        </w:tc>
        <w:tc>
          <w:tcPr>
            <w:tcBorders/>
            <w:tcW w:w="1500" w:type="dxa"/>
          </w:tcPr>
          <w:p>
            <w:pPr>
              <w:pStyle w:val="922"/>
              <w:pBdr/>
              <w:spacing/>
              <w:ind/>
              <w:rPr/>
            </w:pPr>
            <w:r/>
            <w:r/>
          </w:p>
        </w:tc>
        <w:tc>
          <w:tcPr>
            <w:tcBorders/>
            <w:tcW w:w="2000" w:type="dxa"/>
          </w:tcPr>
          <w:p>
            <w:pPr>
              <w:pStyle w:val="922"/>
              <w:pBdr/>
              <w:spacing/>
              <w:ind/>
              <w:rPr/>
            </w:pPr>
            <w:r/>
            <w:r/>
          </w:p>
        </w:tc>
        <w:tc>
          <w:tcPr>
            <w:tcBorders/>
            <w:tcW w:w="1604" w:type="dxa"/>
          </w:tcPr>
          <w:p>
            <w:pPr>
              <w:pStyle w:val="922"/>
              <w:pBdr/>
              <w:spacing/>
              <w:ind/>
              <w:rPr/>
            </w:pPr>
            <w:r/>
            <w:r/>
          </w:p>
        </w:tc>
        <w:tc>
          <w:tcPr>
            <w:tcBorders/>
            <w:tcW w:w="1200" w:type="dxa"/>
          </w:tcPr>
          <w:p>
            <w:pPr>
              <w:pStyle w:val="922"/>
              <w:pBdr/>
              <w:spacing/>
              <w:ind/>
              <w:rPr/>
            </w:pPr>
            <w:r/>
            <w:r/>
          </w:p>
        </w:tc>
      </w:tr>
    </w:tbl>
    <w:p w14:paraId="302F0D42">
      <w:pPr>
        <w:pBdr/>
        <w:spacing w:after="60" w:before="0"/>
        <w:ind/>
        <w:rPr/>
      </w:pPr>
      <w:r/>
      <w:r/>
    </w:p>
    <w:p w14:paraId="16E8D3D0">
      <w:pPr>
        <w:pBdr/>
        <w:spacing w:after="60" w:before="0"/>
        <w:ind/>
        <w:rPr/>
      </w:pPr>
      <w:r/>
      <w:r/>
    </w:p>
    <w:p w14:paraId="46E57E13">
      <w:pPr>
        <w:pBdr/>
        <w:spacing w:after="60" w:before="0"/>
        <w:ind/>
        <w:rPr/>
      </w:pPr>
      <w:r/>
      <w:r/>
    </w:p>
    <w:p w14:paraId="6E65BE03">
      <w:pPr>
        <w:pBdr/>
        <w:spacing w:after="60" w:before="0"/>
        <w:ind/>
        <w:rPr/>
      </w:pPr>
      <w:r/>
      <w:r/>
    </w:p>
    <w:p w14:paraId="69DF845B">
      <w:pPr>
        <w:pBdr/>
        <w:spacing w:after="60" w:before="0"/>
        <w:ind/>
        <w:rPr/>
      </w:pPr>
      <w:r/>
      <w:r/>
    </w:p>
    <w:p>
      <w:pPr>
        <w:pBdr/>
        <w:spacing w:after="60" w:before="0"/>
        <w:ind/>
        <w:rPr/>
      </w:pPr>
      <w:r/>
      <w:r/>
    </w:p>
    <w:p>
      <w:pPr>
        <w:pStyle w:val="916"/>
        <w:pBdr/>
        <w:spacing/>
        <w:ind/>
        <w:rPr/>
      </w:pPr>
      <w:r/>
      <w:bookmarkStart w:id="5" w:name="_Toc100005"/>
      <w:r>
        <w:t xml:space="preserve">1.4 Definiciones, acrónimos y abreviaturas</w:t>
      </w:r>
      <w:bookmarkEnd w:id="5"/>
      <w:r/>
      <w:r/>
    </w:p>
    <w:p>
      <w:pPr>
        <w:pBdr/>
        <w:spacing/>
        <w:ind/>
        <w:rPr/>
      </w:pPr>
      <w:r>
        <w:t xml:space="preserve">La Liga no tiene un glosario oficial. Las definiciones provienen de sus convocatorias, de la programación oficial, del levantamiento de información y de los reglamentos de referencia.</w:t>
      </w:r>
      <w:r/>
    </w:p>
    <w:p>
      <w:pPr>
        <w:pStyle w:val="923"/>
        <w:keepNext w:val="true"/>
        <w:pBdr/>
        <w:spacing/>
        <w:ind/>
        <w:rPr/>
      </w:pPr>
      <w:r>
        <w:rPr>
          <w:b/>
          <w:bCs/>
          <w:color w:val="241a61"/>
          <w:sz w:val="18"/>
          <w:szCs w:val="18"/>
        </w:rPr>
        <w:t xml:space="preserve">Tabla 3. </w:t>
      </w:r>
      <w:r>
        <w:rPr>
          <w:sz w:val="18"/>
          <w:szCs w:val="18"/>
        </w:rPr>
        <w:t xml:space="preserve">Términos del dominio.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100"/>
        <w:gridCol w:w="7304"/>
      </w:tblGrid>
      <w:tr>
        <w:trPr>
          <w:cantSplit/>
          <w:tblHeader/>
        </w:trPr>
        <w:tc>
          <w:tcPr>
            <w:shd w:val="clear" w:color="auto" w:fill="241a61"/>
            <w:tcBorders/>
            <w:tcW w:w="2100" w:type="dxa"/>
          </w:tcPr>
          <w:p>
            <w:pPr>
              <w:pStyle w:val="922"/>
              <w:pBdr/>
              <w:spacing/>
              <w:ind/>
              <w:rPr/>
            </w:pPr>
            <w:r>
              <w:rPr>
                <w:b/>
                <w:bCs/>
                <w:color w:val="ffffff"/>
              </w:rPr>
              <w:t xml:space="preserve">Término</w:t>
            </w:r>
            <w:r/>
          </w:p>
        </w:tc>
        <w:tc>
          <w:tcPr>
            <w:shd w:val="clear" w:color="auto" w:fill="241a61"/>
            <w:tcBorders/>
            <w:tcW w:w="7304" w:type="dxa"/>
          </w:tcPr>
          <w:p>
            <w:pPr>
              <w:pStyle w:val="922"/>
              <w:pBdr/>
              <w:spacing/>
              <w:ind/>
              <w:rPr/>
            </w:pPr>
            <w:r>
              <w:rPr>
                <w:b/>
                <w:bCs/>
                <w:color w:val="ffffff"/>
              </w:rPr>
              <w:t xml:space="preserve">Definición</w:t>
            </w:r>
            <w:r/>
          </w:p>
        </w:tc>
      </w:tr>
      <w:tr>
        <w:trPr>
          <w:cantSplit/>
        </w:trPr>
        <w:tc>
          <w:tcPr>
            <w:tcBorders/>
            <w:tcW w:w="2100" w:type="dxa"/>
          </w:tcPr>
          <w:p>
            <w:pPr>
              <w:pStyle w:val="922"/>
              <w:pBdr/>
              <w:spacing/>
              <w:ind/>
              <w:rPr/>
            </w:pPr>
            <w:r>
              <w:rPr>
                <w:b/>
                <w:bCs/>
              </w:rPr>
              <w:t xml:space="preserve">Liga</w:t>
            </w:r>
            <w:r/>
          </w:p>
        </w:tc>
        <w:tc>
          <w:tcPr>
            <w:tcBorders/>
            <w:tcW w:w="7304" w:type="dxa"/>
          </w:tcPr>
          <w:p>
            <w:pPr>
              <w:pStyle w:val="922"/>
              <w:pBdr/>
              <w:spacing/>
              <w:ind/>
              <w:rPr/>
            </w:pPr>
            <w:r>
              <w:t xml:space="preserve">Liga Municipal de Fútbol Amateur de Morelia, A.C.; cliente del Sistema.</w:t>
            </w:r>
            <w:r/>
          </w:p>
        </w:tc>
      </w:tr>
      <w:tr>
        <w:trPr>
          <w:cantSplit/>
        </w:trPr>
        <w:tc>
          <w:tcPr>
            <w:tcBorders/>
            <w:tcW w:w="2100" w:type="dxa"/>
          </w:tcPr>
          <w:p>
            <w:pPr>
              <w:pStyle w:val="922"/>
              <w:pBdr/>
              <w:spacing/>
              <w:ind/>
              <w:rPr/>
            </w:pPr>
            <w:r>
              <w:rPr>
                <w:b/>
                <w:bCs/>
              </w:rPr>
              <w:t xml:space="preserve">Consejo Directivo / Comité Ejecutivo</w:t>
            </w:r>
            <w:r/>
          </w:p>
        </w:tc>
        <w:tc>
          <w:tcPr>
            <w:tcBorders/>
            <w:tcW w:w="7304" w:type="dxa"/>
          </w:tcPr>
          <w:p>
            <w:pPr>
              <w:pStyle w:val="922"/>
              <w:pBdr/>
              <w:spacing/>
              <w:ind/>
              <w:rPr/>
            </w:pPr>
            <w:r>
              <w:t xml:space="preserve">Órganos de gobierno de la Liga. El Consejo Directivo emite las convocatorias; el Comité Ejecutivo resuelve los casos no previstos (en la rama infantil, el «Comité Directivo»).</w:t>
            </w:r>
            <w:r/>
          </w:p>
        </w:tc>
      </w:tr>
      <w:tr>
        <w:trPr>
          <w:cantSplit/>
        </w:trPr>
        <w:tc>
          <w:tcPr>
            <w:tcBorders/>
            <w:tcW w:w="2100" w:type="dxa"/>
          </w:tcPr>
          <w:p>
            <w:pPr>
              <w:pStyle w:val="922"/>
              <w:pBdr/>
              <w:spacing/>
              <w:ind/>
              <w:rPr/>
            </w:pPr>
            <w:r>
              <w:rPr>
                <w:b/>
                <w:bCs/>
              </w:rPr>
              <w:t xml:space="preserve">Mesa directiva</w:t>
            </w:r>
            <w:r/>
          </w:p>
        </w:tc>
        <w:tc>
          <w:tcPr>
            <w:tcBorders/>
            <w:tcW w:w="7304" w:type="dxa"/>
          </w:tcPr>
          <w:p>
            <w:pPr>
              <w:pStyle w:val="922"/>
              <w:pBdr/>
              <w:spacing/>
              <w:ind/>
              <w:rPr/>
            </w:pPr>
            <w:r>
              <w:t xml:space="preserve">Dirigencia de la Liga: define el formato del campeonato, reprograma partidos y resuelve recursos.</w:t>
            </w:r>
            <w:r/>
          </w:p>
        </w:tc>
      </w:tr>
      <w:tr>
        <w:trPr>
          <w:cantSplit/>
        </w:trPr>
        <w:tc>
          <w:tcPr>
            <w:tcBorders/>
            <w:tcW w:w="2100" w:type="dxa"/>
          </w:tcPr>
          <w:p>
            <w:pPr>
              <w:pStyle w:val="922"/>
              <w:pBdr/>
              <w:spacing/>
              <w:ind/>
              <w:rPr/>
            </w:pPr>
            <w:r>
              <w:rPr>
                <w:b/>
                <w:bCs/>
              </w:rPr>
              <w:t xml:space="preserve">Comisión Disciplinaria (Tribunal de Penas)</w:t>
            </w:r>
            <w:r/>
          </w:p>
        </w:tc>
        <w:tc>
          <w:tcPr>
            <w:tcBorders/>
            <w:tcW w:w="7304" w:type="dxa"/>
          </w:tcPr>
          <w:p>
            <w:pPr>
              <w:pStyle w:val="922"/>
              <w:pBdr/>
              <w:spacing/>
              <w:ind/>
              <w:rPr/>
            </w:pPr>
            <w:r>
              <w:t xml:space="preserve">Órgano que revisa las cédulas, dictamina suspensiones, resuelve inconformidades y emite el boletín de castigados.</w:t>
            </w:r>
            <w:r/>
          </w:p>
        </w:tc>
      </w:tr>
      <w:tr>
        <w:trPr>
          <w:cantSplit/>
        </w:trPr>
        <w:tc>
          <w:tcPr>
            <w:tcBorders/>
            <w:tcW w:w="2100" w:type="dxa"/>
          </w:tcPr>
          <w:p>
            <w:pPr>
              <w:pStyle w:val="922"/>
              <w:pBdr/>
              <w:spacing/>
              <w:ind/>
              <w:rPr/>
            </w:pPr>
            <w:r>
              <w:rPr>
                <w:b/>
                <w:bCs/>
              </w:rPr>
              <w:t xml:space="preserve">Club</w:t>
            </w:r>
            <w:r/>
          </w:p>
        </w:tc>
        <w:tc>
          <w:tcPr>
            <w:tcBorders/>
            <w:tcW w:w="7304" w:type="dxa"/>
          </w:tcPr>
          <w:p>
            <w:pPr>
              <w:pStyle w:val="922"/>
              <w:pBdr/>
              <w:spacing/>
              <w:ind/>
              <w:rPr/>
            </w:pPr>
            <w:r>
              <w:t xml:space="preserve">Entidad afiliada que puede inscribir equipos en varias categorías.</w:t>
            </w:r>
            <w:r/>
          </w:p>
        </w:tc>
      </w:tr>
      <w:tr>
        <w:trPr>
          <w:cantSplit/>
        </w:trPr>
        <w:tc>
          <w:tcPr>
            <w:tcBorders/>
            <w:tcW w:w="2100" w:type="dxa"/>
          </w:tcPr>
          <w:p>
            <w:pPr>
              <w:pStyle w:val="922"/>
              <w:pBdr/>
              <w:spacing/>
              <w:ind/>
              <w:rPr/>
            </w:pPr>
            <w:r>
              <w:rPr>
                <w:b/>
                <w:bCs/>
              </w:rPr>
              <w:t xml:space="preserve">Presidente del club</w:t>
            </w:r>
            <w:r/>
          </w:p>
        </w:tc>
        <w:tc>
          <w:tcPr>
            <w:tcBorders/>
            <w:tcW w:w="7304" w:type="dxa"/>
          </w:tcPr>
          <w:p>
            <w:pPr>
              <w:pStyle w:val="922"/>
              <w:pBdr/>
              <w:spacing/>
              <w:ind/>
              <w:rPr/>
            </w:pPr>
            <w:r>
              <w:t xml:space="preserve">Máxima autoridad legal del club; asiste a las asambleas de presidentes.</w:t>
            </w:r>
            <w:r/>
          </w:p>
        </w:tc>
      </w:tr>
      <w:tr>
        <w:trPr>
          <w:cantSplit/>
        </w:trPr>
        <w:tc>
          <w:tcPr>
            <w:tcBorders/>
            <w:tcW w:w="2100" w:type="dxa"/>
          </w:tcPr>
          <w:p>
            <w:pPr>
              <w:pStyle w:val="922"/>
              <w:pBdr/>
              <w:spacing/>
              <w:ind/>
              <w:rPr/>
            </w:pPr>
            <w:r>
              <w:rPr>
                <w:b/>
                <w:bCs/>
              </w:rPr>
              <w:t xml:space="preserve">Delegado</w:t>
            </w:r>
            <w:r/>
          </w:p>
        </w:tc>
        <w:tc>
          <w:tcPr>
            <w:tcBorders/>
            <w:tcW w:w="7304" w:type="dxa"/>
          </w:tcPr>
          <w:p>
            <w:pPr>
              <w:pStyle w:val="922"/>
              <w:pBdr/>
              <w:spacing/>
              <w:ind/>
              <w:rPr/>
            </w:pPr>
            <w:r>
              <w:t xml:space="preserve">Vínculo operativo entre el club y la Liga: asiste a las reuniones semanales, paga arbitrajes, recoge credenciales y notifica sanciones.</w:t>
            </w:r>
            <w:r/>
          </w:p>
        </w:tc>
      </w:tr>
      <w:tr>
        <w:trPr>
          <w:cantSplit/>
        </w:trPr>
        <w:tc>
          <w:tcPr>
            <w:tcBorders/>
            <w:tcW w:w="2100" w:type="dxa"/>
          </w:tcPr>
          <w:p>
            <w:pPr>
              <w:pStyle w:val="922"/>
              <w:pBdr/>
              <w:spacing/>
              <w:ind/>
              <w:rPr/>
            </w:pPr>
            <w:r>
              <w:rPr>
                <w:b/>
                <w:bCs/>
              </w:rPr>
              <w:t xml:space="preserve">Fuerza / franquicia</w:t>
            </w:r>
            <w:r/>
          </w:p>
        </w:tc>
        <w:tc>
          <w:tcPr>
            <w:tcBorders/>
            <w:tcW w:w="7304" w:type="dxa"/>
          </w:tcPr>
          <w:p>
            <w:pPr>
              <w:pStyle w:val="922"/>
              <w:pBdr/>
              <w:spacing/>
              <w:ind/>
              <w:rPr/>
            </w:pPr>
            <w:r>
              <w:t xml:space="preserve">Fuerza: categoría inscrita por un club. Franquicia: derecho del club a participar en ella.</w:t>
            </w:r>
            <w:r/>
          </w:p>
        </w:tc>
      </w:tr>
      <w:tr>
        <w:trPr>
          <w:cantSplit/>
        </w:trPr>
        <w:tc>
          <w:tcPr>
            <w:tcBorders/>
            <w:tcW w:w="2100" w:type="dxa"/>
          </w:tcPr>
          <w:p>
            <w:pPr>
              <w:pStyle w:val="922"/>
              <w:pBdr/>
              <w:spacing/>
              <w:ind/>
              <w:rPr/>
            </w:pPr>
            <w:r>
              <w:rPr>
                <w:b/>
                <w:bCs/>
              </w:rPr>
              <w:t xml:space="preserve">Temporada</w:t>
            </w:r>
            <w:r/>
          </w:p>
        </w:tc>
        <w:tc>
          <w:tcPr>
            <w:tcBorders/>
            <w:tcW w:w="7304" w:type="dxa"/>
          </w:tcPr>
          <w:p>
            <w:pPr>
              <w:pStyle w:val="922"/>
              <w:pBdr/>
              <w:spacing/>
              <w:ind/>
              <w:rPr/>
            </w:pPr>
            <w:r>
              <w:t xml:space="preserve">Ciclo anual de competencia (por ejemplo, 2026–2027); la oficial incluye torneo de liga, liguilla, campeón de campeones y goleo.</w:t>
            </w:r>
            <w:r/>
          </w:p>
        </w:tc>
      </w:tr>
      <w:tr>
        <w:trPr>
          <w:cantSplit/>
        </w:trPr>
        <w:tc>
          <w:tcPr>
            <w:tcBorders/>
            <w:tcW w:w="2100" w:type="dxa"/>
          </w:tcPr>
          <w:p>
            <w:pPr>
              <w:pStyle w:val="922"/>
              <w:pBdr/>
              <w:spacing/>
              <w:ind/>
              <w:rPr/>
            </w:pPr>
            <w:r>
              <w:rPr>
                <w:b/>
                <w:bCs/>
              </w:rPr>
              <w:t xml:space="preserve">Convocatoria</w:t>
            </w:r>
            <w:r/>
          </w:p>
        </w:tc>
        <w:tc>
          <w:tcPr>
            <w:tcBorders/>
            <w:tcW w:w="7304" w:type="dxa"/>
          </w:tcPr>
          <w:p>
            <w:pPr>
              <w:pStyle w:val="922"/>
              <w:pBdr/>
              <w:spacing/>
              <w:ind/>
              <w:rPr/>
            </w:pPr>
            <w:r>
              <w:t xml:space="preserve">Documento normativo anual de cada rama: fechas, categorías, requisitos, cuotas, ascensos, descensos y premios.</w:t>
            </w:r>
            <w:r/>
          </w:p>
        </w:tc>
      </w:tr>
      <w:tr>
        <w:trPr>
          <w:cantSplit/>
        </w:trPr>
        <w:tc>
          <w:tcPr>
            <w:tcBorders/>
            <w:tcW w:w="2100" w:type="dxa"/>
          </w:tcPr>
          <w:p>
            <w:pPr>
              <w:pStyle w:val="922"/>
              <w:pBdr/>
              <w:spacing/>
              <w:ind/>
              <w:rPr/>
            </w:pPr>
            <w:r>
              <w:rPr>
                <w:b/>
                <w:bCs/>
              </w:rPr>
              <w:t xml:space="preserve">Torneo de Liga</w:t>
            </w:r>
            <w:r/>
          </w:p>
        </w:tc>
        <w:tc>
          <w:tcPr>
            <w:tcBorders/>
            <w:tcW w:w="7304" w:type="dxa"/>
          </w:tcPr>
          <w:p>
            <w:pPr>
              <w:pStyle w:val="922"/>
              <w:pBdr/>
              <w:spacing/>
              <w:ind/>
              <w:rPr/>
            </w:pPr>
            <w:r>
              <w:t xml:space="preserve">Competencia de la temporada, todos contra todos, por puntos acumulados.</w:t>
            </w:r>
            <w:r/>
          </w:p>
        </w:tc>
      </w:tr>
      <w:tr>
        <w:trPr>
          <w:cantSplit/>
        </w:trPr>
        <w:tc>
          <w:tcPr>
            <w:tcBorders/>
            <w:tcW w:w="2100" w:type="dxa"/>
          </w:tcPr>
          <w:p>
            <w:pPr>
              <w:pStyle w:val="922"/>
              <w:pBdr/>
              <w:spacing/>
              <w:ind/>
              <w:rPr/>
            </w:pPr>
            <w:r>
              <w:rPr>
                <w:b/>
                <w:bCs/>
              </w:rPr>
              <w:t xml:space="preserve">Torneo de Copa</w:t>
            </w:r>
            <w:r/>
          </w:p>
        </w:tc>
        <w:tc>
          <w:tcPr>
            <w:tcBorders/>
            <w:tcW w:w="7304" w:type="dxa"/>
          </w:tcPr>
          <w:p>
            <w:pPr>
              <w:pStyle w:val="922"/>
              <w:pBdr/>
              <w:spacing/>
              <w:ind/>
              <w:rPr/>
            </w:pPr>
            <w:r>
              <w:t xml:space="preserve">Certamen complementario simultáneo a la temporada regular.</w:t>
            </w:r>
            <w:r/>
          </w:p>
        </w:tc>
      </w:tr>
      <w:tr>
        <w:trPr>
          <w:cantSplit/>
        </w:trPr>
        <w:tc>
          <w:tcPr>
            <w:tcBorders/>
            <w:tcW w:w="2100" w:type="dxa"/>
          </w:tcPr>
          <w:p>
            <w:pPr>
              <w:pStyle w:val="922"/>
              <w:pBdr/>
              <w:spacing/>
              <w:ind/>
              <w:rPr/>
            </w:pPr>
            <w:r>
              <w:rPr>
                <w:b/>
                <w:bCs/>
              </w:rPr>
              <w:t xml:space="preserve">Liguilla</w:t>
            </w:r>
            <w:r/>
          </w:p>
        </w:tc>
        <w:tc>
          <w:tcPr>
            <w:tcBorders/>
            <w:tcW w:w="7304" w:type="dxa"/>
          </w:tcPr>
          <w:p>
            <w:pPr>
              <w:pStyle w:val="922"/>
              <w:pBdr/>
              <w:spacing/>
              <w:ind/>
              <w:rPr/>
            </w:pPr>
            <w:r>
              <w:t xml:space="preserve">Fase final: califican los 8 primeros de cada grupo (1.° vs. 8.°, 2.° vs. 7.°, 3.° vs. 6.°, 4.° vs. 5.°) hasta la final.</w:t>
            </w:r>
            <w:r/>
          </w:p>
        </w:tc>
      </w:tr>
      <w:tr>
        <w:trPr>
          <w:cantSplit/>
        </w:trPr>
        <w:tc>
          <w:tcPr>
            <w:tcBorders/>
            <w:tcW w:w="2100" w:type="dxa"/>
          </w:tcPr>
          <w:p>
            <w:pPr>
              <w:pStyle w:val="922"/>
              <w:pBdr/>
              <w:spacing/>
              <w:ind/>
              <w:rPr/>
            </w:pPr>
            <w:r>
              <w:rPr>
                <w:b/>
                <w:bCs/>
              </w:rPr>
              <w:t xml:space="preserve">Campeón alterno</w:t>
            </w:r>
            <w:r/>
          </w:p>
        </w:tc>
        <w:tc>
          <w:tcPr>
            <w:tcBorders/>
            <w:tcW w:w="7304" w:type="dxa"/>
          </w:tcPr>
          <w:p>
            <w:pPr>
              <w:pStyle w:val="922"/>
              <w:pBdr/>
              <w:spacing/>
              <w:ind/>
              <w:rPr/>
            </w:pPr>
            <w:r>
              <w:t xml:space="preserve">Campeón de la liguilla secundaria o de consolación, que juegan los equipos de media tabla (por ejemplo, del 9.° al 16.° lugar).</w:t>
            </w:r>
            <w:r/>
          </w:p>
        </w:tc>
      </w:tr>
      <w:tr>
        <w:trPr>
          <w:cantSplit/>
        </w:trPr>
        <w:tc>
          <w:tcPr>
            <w:tcBorders/>
            <w:tcW w:w="2100" w:type="dxa"/>
          </w:tcPr>
          <w:p>
            <w:pPr>
              <w:pStyle w:val="922"/>
              <w:pBdr/>
              <w:spacing/>
              <w:ind/>
              <w:rPr/>
            </w:pPr>
            <w:r>
              <w:rPr>
                <w:b/>
                <w:bCs/>
              </w:rPr>
              <w:t xml:space="preserve">Campeón de Campeones</w:t>
            </w:r>
            <w:r/>
          </w:p>
        </w:tc>
        <w:tc>
          <w:tcPr>
            <w:tcBorders/>
            <w:tcW w:w="7304" w:type="dxa"/>
          </w:tcPr>
          <w:p>
            <w:pPr>
              <w:pStyle w:val="922"/>
              <w:pBdr/>
              <w:spacing/>
              <w:ind/>
              <w:rPr/>
            </w:pPr>
            <w:r>
              <w:t xml:space="preserve">Partido final entre el campeón de liga y el campeón de liguilla.</w:t>
            </w:r>
            <w:r/>
          </w:p>
        </w:tc>
      </w:tr>
      <w:tr>
        <w:trPr>
          <w:cantSplit/>
        </w:trPr>
        <w:tc>
          <w:tcPr>
            <w:tcBorders/>
            <w:tcW w:w="2100" w:type="dxa"/>
          </w:tcPr>
          <w:p>
            <w:pPr>
              <w:pStyle w:val="922"/>
              <w:pBdr/>
              <w:spacing/>
              <w:ind/>
              <w:rPr/>
            </w:pPr>
            <w:r>
              <w:rPr>
                <w:b/>
                <w:bCs/>
              </w:rPr>
              <w:t xml:space="preserve">Rama / categoría / grupo</w:t>
            </w:r>
            <w:r/>
          </w:p>
        </w:tc>
        <w:tc>
          <w:tcPr>
            <w:tcBorders/>
            <w:tcW w:w="7304" w:type="dxa"/>
          </w:tcPr>
          <w:p>
            <w:pPr>
              <w:pStyle w:val="922"/>
              <w:pBdr/>
              <w:spacing/>
              <w:ind/>
              <w:rPr/>
            </w:pPr>
            <w:r>
              <w:t xml:space="preserve">Rama: libre, veteranos, femenil o infantil. Categoría: división por nivel o año de nacimiento (Tabla 4). Grupo: subdivisión de una categoría.</w:t>
            </w:r>
            <w:r/>
          </w:p>
        </w:tc>
      </w:tr>
      <w:tr>
        <w:trPr>
          <w:cantSplit/>
        </w:trPr>
        <w:tc>
          <w:tcPr>
            <w:tcBorders/>
            <w:tcW w:w="2100" w:type="dxa"/>
          </w:tcPr>
          <w:p>
            <w:pPr>
              <w:pStyle w:val="922"/>
              <w:pBdr/>
              <w:spacing/>
              <w:ind/>
              <w:rPr/>
            </w:pPr>
            <w:r>
              <w:rPr>
                <w:b/>
                <w:bCs/>
              </w:rPr>
              <w:t xml:space="preserve">Ascenso / descenso</w:t>
            </w:r>
            <w:r/>
          </w:p>
        </w:tc>
        <w:tc>
          <w:tcPr>
            <w:tcBorders/>
            <w:tcW w:w="7304" w:type="dxa"/>
          </w:tcPr>
          <w:p>
            <w:pPr>
              <w:pStyle w:val="922"/>
              <w:pBdr/>
              <w:spacing/>
              <w:ind/>
              <w:rPr/>
            </w:pPr>
            <w:r>
              <w:t xml:space="preserve">Paso de un equipo a la categoría superior (campeón y subcampeón de liguilla) o inferior (últimos lugares de cada grupo).</w:t>
            </w:r>
            <w:r/>
          </w:p>
        </w:tc>
      </w:tr>
      <w:tr>
        <w:trPr>
          <w:cantSplit/>
        </w:trPr>
        <w:tc>
          <w:tcPr>
            <w:tcBorders/>
            <w:tcW w:w="2100" w:type="dxa"/>
          </w:tcPr>
          <w:p>
            <w:pPr>
              <w:pStyle w:val="922"/>
              <w:pBdr/>
              <w:spacing/>
              <w:ind/>
              <w:rPr/>
            </w:pPr>
            <w:r>
              <w:rPr>
                <w:b/>
                <w:bCs/>
              </w:rPr>
              <w:t xml:space="preserve">Jornada / fecha</w:t>
            </w:r>
            <w:r/>
          </w:p>
        </w:tc>
        <w:tc>
          <w:tcPr>
            <w:tcBorders/>
            <w:tcW w:w="7304" w:type="dxa"/>
          </w:tcPr>
          <w:p>
            <w:pPr>
              <w:pStyle w:val="922"/>
              <w:pBdr/>
              <w:spacing/>
              <w:ind/>
              <w:rPr/>
            </w:pPr>
            <w:r>
              <w:t xml:space="preserve">Jornada: número de ronda del torneo. Fecha: día exacto en que se juega un partido.</w:t>
            </w:r>
            <w:r/>
          </w:p>
        </w:tc>
      </w:tr>
      <w:tr>
        <w:trPr>
          <w:cantSplit/>
        </w:trPr>
        <w:tc>
          <w:tcPr>
            <w:tcBorders/>
            <w:tcW w:w="2100" w:type="dxa"/>
          </w:tcPr>
          <w:p>
            <w:pPr>
              <w:pStyle w:val="922"/>
              <w:pBdr/>
              <w:spacing/>
              <w:ind/>
              <w:rPr/>
            </w:pPr>
            <w:r>
              <w:rPr>
                <w:b/>
                <w:bCs/>
              </w:rPr>
              <w:t xml:space="preserve">Programación oficial</w:t>
            </w:r>
            <w:r/>
          </w:p>
        </w:tc>
        <w:tc>
          <w:tcPr>
            <w:tcBorders/>
            <w:tcW w:w="7304" w:type="dxa"/>
          </w:tcPr>
          <w:p>
            <w:pPr>
              <w:pStyle w:val="922"/>
              <w:pBdr/>
              <w:spacing/>
              <w:ind/>
              <w:rPr/>
            </w:pPr>
            <w:r>
              <w:t xml:space="preserve">Publicación por día, categoría y jornada con número de partido, equipos, cancha, horario y árbitro; incluye descansos y resultados por default.</w:t>
            </w:r>
            <w:r/>
          </w:p>
        </w:tc>
      </w:tr>
      <w:tr>
        <w:trPr>
          <w:cantSplit/>
        </w:trPr>
        <w:tc>
          <w:tcPr>
            <w:tcBorders/>
            <w:tcW w:w="2100" w:type="dxa"/>
          </w:tcPr>
          <w:p>
            <w:pPr>
              <w:pStyle w:val="922"/>
              <w:pBdr/>
              <w:spacing/>
              <w:ind/>
              <w:rPr/>
            </w:pPr>
            <w:r>
              <w:rPr>
                <w:b/>
                <w:bCs/>
              </w:rPr>
              <w:t xml:space="preserve">Resultado por default</w:t>
            </w:r>
            <w:r/>
          </w:p>
        </w:tc>
        <w:tc>
          <w:tcPr>
            <w:tcBorders/>
            <w:tcW w:w="7304" w:type="dxa"/>
          </w:tcPr>
          <w:p>
            <w:pPr>
              <w:pStyle w:val="922"/>
              <w:pBdr/>
              <w:spacing/>
              <w:ind/>
              <w:rPr/>
            </w:pPr>
            <w:r>
              <w:t xml:space="preserve">Victoria sin disputar el partido, por ejemplo por incomparecencia del rival; el ganador recibe los tres puntos y paga su arbitraje.</w:t>
            </w:r>
            <w:r/>
          </w:p>
        </w:tc>
      </w:tr>
      <w:tr>
        <w:trPr>
          <w:cantSplit/>
        </w:trPr>
        <w:tc>
          <w:tcPr>
            <w:tcBorders/>
            <w:tcW w:w="2100" w:type="dxa"/>
          </w:tcPr>
          <w:p>
            <w:pPr>
              <w:pStyle w:val="922"/>
              <w:pBdr/>
              <w:spacing/>
              <w:ind/>
              <w:rPr/>
            </w:pPr>
            <w:r>
              <w:rPr>
                <w:b/>
                <w:bCs/>
              </w:rPr>
              <w:t xml:space="preserve">«Ya terminó» / «Descansa»</w:t>
            </w:r>
            <w:r/>
          </w:p>
        </w:tc>
        <w:tc>
          <w:tcPr>
            <w:tcBorders/>
            <w:tcW w:w="7304" w:type="dxa"/>
          </w:tcPr>
          <w:p>
            <w:pPr>
              <w:pStyle w:val="922"/>
              <w:pBdr/>
              <w:spacing/>
              <w:ind/>
              <w:rPr/>
            </w:pPr>
            <w:r>
              <w:t xml:space="preserve">El partido ya se jugó y finalizó / el equipo no juega en esa jornada.</w:t>
            </w:r>
            <w:r/>
          </w:p>
        </w:tc>
      </w:tr>
      <w:tr>
        <w:trPr>
          <w:cantSplit/>
        </w:trPr>
        <w:tc>
          <w:tcPr>
            <w:tcBorders/>
            <w:tcW w:w="2100" w:type="dxa"/>
          </w:tcPr>
          <w:p>
            <w:pPr>
              <w:pStyle w:val="922"/>
              <w:pBdr/>
              <w:spacing/>
              <w:ind/>
              <w:rPr/>
            </w:pPr>
            <w:r>
              <w:rPr>
                <w:b/>
                <w:bCs/>
              </w:rPr>
              <w:t xml:space="preserve">U.D.C.</w:t>
            </w:r>
            <w:r/>
          </w:p>
        </w:tc>
        <w:tc>
          <w:tcPr>
            <w:tcBorders/>
            <w:tcW w:w="7304" w:type="dxa"/>
          </w:tcPr>
          <w:p>
            <w:pPr>
              <w:pStyle w:val="922"/>
              <w:pBdr/>
              <w:spacing/>
              <w:ind/>
              <w:rPr/>
            </w:pPr>
            <w:r>
              <w:t xml:space="preserve">Unidad Deportiva Cuauhtémoc, sede principal, con 40 canchas.</w:t>
            </w:r>
            <w:r/>
          </w:p>
        </w:tc>
      </w:tr>
      <w:tr>
        <w:trPr>
          <w:cantSplit/>
        </w:trPr>
        <w:tc>
          <w:tcPr>
            <w:tcBorders/>
            <w:tcW w:w="2100" w:type="dxa"/>
          </w:tcPr>
          <w:p>
            <w:pPr>
              <w:pStyle w:val="922"/>
              <w:pBdr/>
              <w:spacing/>
              <w:ind/>
              <w:rPr/>
            </w:pPr>
            <w:r>
              <w:rPr>
                <w:b/>
                <w:bCs/>
              </w:rPr>
              <w:t xml:space="preserve">Árbitro y colegio de árbitros</w:t>
            </w:r>
            <w:r/>
          </w:p>
        </w:tc>
        <w:tc>
          <w:tcPr>
            <w:tcBorders/>
            <w:tcW w:w="7304" w:type="dxa"/>
          </w:tcPr>
          <w:p>
            <w:pPr>
              <w:pStyle w:val="922"/>
              <w:pBdr/>
              <w:spacing/>
              <w:ind/>
              <w:rPr/>
            </w:pPr>
            <w:r>
              <w:t xml:space="preserve">La Liga contrata colegios de arbitraje independientes que proveen a los árbitros.</w:t>
            </w:r>
            <w:r/>
          </w:p>
        </w:tc>
      </w:tr>
      <w:tr>
        <w:trPr>
          <w:cantSplit/>
        </w:trPr>
        <w:tc>
          <w:tcPr>
            <w:tcBorders/>
            <w:tcW w:w="2100" w:type="dxa"/>
          </w:tcPr>
          <w:p>
            <w:pPr>
              <w:pStyle w:val="922"/>
              <w:pBdr/>
              <w:spacing/>
              <w:ind/>
              <w:rPr/>
            </w:pPr>
            <w:r>
              <w:rPr>
                <w:b/>
                <w:bCs/>
              </w:rPr>
              <w:t xml:space="preserve">Cédula arbitral</w:t>
            </w:r>
            <w:r/>
          </w:p>
        </w:tc>
        <w:tc>
          <w:tcPr>
            <w:tcBorders/>
            <w:tcW w:w="7304" w:type="dxa"/>
          </w:tcPr>
          <w:p>
            <w:pPr>
              <w:pStyle w:val="922"/>
              <w:pBdr/>
              <w:spacing/>
              <w:ind/>
              <w:rPr/>
            </w:pPr>
            <w:r>
              <w:t xml:space="preserve">Formato donde se registran alineaciones (nombre, número y credencial), goles, tarjetas, motivos de expulsión y observaciones; la firman árbitro y capitanes.</w:t>
            </w:r>
            <w:r/>
          </w:p>
        </w:tc>
      </w:tr>
      <w:tr>
        <w:trPr>
          <w:cantSplit/>
        </w:trPr>
        <w:tc>
          <w:tcPr>
            <w:tcBorders/>
            <w:tcW w:w="2100" w:type="dxa"/>
          </w:tcPr>
          <w:p>
            <w:pPr>
              <w:pStyle w:val="922"/>
              <w:pBdr/>
              <w:spacing/>
              <w:ind/>
              <w:rPr/>
            </w:pPr>
            <w:r>
              <w:rPr>
                <w:b/>
                <w:bCs/>
              </w:rPr>
              <w:t xml:space="preserve">Credencial y registro de jugador</w:t>
            </w:r>
            <w:r/>
          </w:p>
        </w:tc>
        <w:tc>
          <w:tcPr>
            <w:tcBorders/>
            <w:tcW w:w="7304" w:type="dxa"/>
          </w:tcPr>
          <w:p>
            <w:pPr>
              <w:pStyle w:val="922"/>
              <w:pBdr/>
              <w:spacing/>
              <w:ind/>
              <w:rPr/>
            </w:pPr>
            <w:r>
              <w:t xml:space="preserve">Registro: inscripción del jugador en una categoría para la temporada ($40.00). Credencial: identificación oficial que coteja el árbitro.</w:t>
            </w:r>
            <w:r/>
          </w:p>
        </w:tc>
      </w:tr>
      <w:tr>
        <w:trPr>
          <w:cantSplit/>
        </w:trPr>
        <w:tc>
          <w:tcPr>
            <w:tcBorders/>
            <w:tcW w:w="2100" w:type="dxa"/>
          </w:tcPr>
          <w:p>
            <w:pPr>
              <w:pStyle w:val="922"/>
              <w:pBdr/>
              <w:spacing/>
              <w:ind/>
              <w:rPr/>
            </w:pPr>
            <w:r>
              <w:rPr>
                <w:b/>
                <w:bCs/>
              </w:rPr>
              <w:t xml:space="preserve">Incidencia / suspensión</w:t>
            </w:r>
            <w:r/>
          </w:p>
        </w:tc>
        <w:tc>
          <w:tcPr>
            <w:tcBorders/>
            <w:tcW w:w="7304" w:type="dxa"/>
          </w:tcPr>
          <w:p>
            <w:pPr>
              <w:pStyle w:val="922"/>
              <w:pBdr/>
              <w:spacing/>
              <w:ind/>
              <w:rPr/>
            </w:pPr>
            <w:r>
              <w:t xml:space="preserve">Incidencia: gol, tarjeta u observación en la cédula. Suspensión: partidos que un jugador no puede jugar por sanción.</w:t>
            </w:r>
            <w:r/>
          </w:p>
        </w:tc>
      </w:tr>
      <w:tr>
        <w:trPr>
          <w:cantSplit/>
        </w:trPr>
        <w:tc>
          <w:tcPr>
            <w:tcBorders/>
            <w:tcW w:w="2100" w:type="dxa"/>
          </w:tcPr>
          <w:p>
            <w:pPr>
              <w:pStyle w:val="922"/>
              <w:pBdr/>
              <w:spacing/>
              <w:ind/>
              <w:rPr/>
            </w:pPr>
            <w:r>
              <w:rPr>
                <w:b/>
                <w:bCs/>
              </w:rPr>
              <w:t xml:space="preserve">Boletín de castigados</w:t>
            </w:r>
            <w:r/>
          </w:p>
        </w:tc>
        <w:tc>
          <w:tcPr>
            <w:tcBorders/>
            <w:tcW w:w="7304" w:type="dxa"/>
          </w:tcPr>
          <w:p>
            <w:pPr>
              <w:pStyle w:val="922"/>
              <w:pBdr/>
              <w:spacing/>
              <w:ind/>
              <w:rPr/>
            </w:pPr>
            <w:r>
              <w:t xml:space="preserve">Lista oficial semanal de jugadores suspendidos.</w:t>
            </w:r>
            <w:r/>
          </w:p>
        </w:tc>
      </w:tr>
      <w:tr>
        <w:trPr>
          <w:cantSplit/>
        </w:trPr>
        <w:tc>
          <w:tcPr>
            <w:tcBorders/>
            <w:tcW w:w="2100" w:type="dxa"/>
          </w:tcPr>
          <w:p>
            <w:pPr>
              <w:pStyle w:val="922"/>
              <w:pBdr/>
              <w:spacing/>
              <w:ind/>
              <w:rPr/>
            </w:pPr>
            <w:r>
              <w:rPr>
                <w:b/>
                <w:bCs/>
              </w:rPr>
              <w:t xml:space="preserve">Inconformidad</w:t>
            </w:r>
            <w:r/>
          </w:p>
        </w:tc>
        <w:tc>
          <w:tcPr>
            <w:tcBorders/>
            <w:tcW w:w="7304" w:type="dxa"/>
          </w:tcPr>
          <w:p>
            <w:pPr>
              <w:pStyle w:val="922"/>
              <w:pBdr/>
              <w:spacing/>
              <w:ind/>
              <w:rPr/>
            </w:pPr>
            <w:r>
              <w:t xml:space="preserve">Queja formal inicial que presenta un delegado o capitán, por escrito y con fianza, ante la Comisión Disciplinaria por un reporte arbitral, una alineación indebida o un resultado.</w:t>
            </w:r>
            <w:r/>
          </w:p>
        </w:tc>
      </w:tr>
      <w:tr>
        <w:trPr>
          <w:cantSplit/>
        </w:trPr>
        <w:tc>
          <w:tcPr>
            <w:tcBorders/>
            <w:tcW w:w="2100" w:type="dxa"/>
          </w:tcPr>
          <w:p>
            <w:pPr>
              <w:pStyle w:val="922"/>
              <w:pBdr/>
              <w:spacing/>
              <w:ind/>
              <w:rPr/>
            </w:pPr>
            <w:r>
              <w:rPr>
                <w:b/>
                <w:bCs/>
              </w:rPr>
              <w:t xml:space="preserve">Recurso (apelación o revisión)</w:t>
            </w:r>
            <w:r/>
          </w:p>
        </w:tc>
        <w:tc>
          <w:tcPr>
            <w:tcBorders/>
            <w:tcW w:w="7304" w:type="dxa"/>
          </w:tcPr>
          <w:p>
            <w:pPr>
              <w:pStyle w:val="922"/>
              <w:pBdr/>
              <w:spacing/>
              <w:ind/>
              <w:rPr/>
            </w:pPr>
            <w:r>
              <w:t xml:space="preserve">Segunda instancia: si la Comisión Disciplinaria falla en contra, el equipo recurre ante la Mesa Directiva o la Asamblea de Presidentes.</w:t>
            </w:r>
            <w:r/>
          </w:p>
        </w:tc>
      </w:tr>
      <w:tr>
        <w:trPr>
          <w:cantSplit/>
        </w:trPr>
        <w:tc>
          <w:tcPr>
            <w:tcBorders/>
            <w:tcW w:w="2100" w:type="dxa"/>
          </w:tcPr>
          <w:p>
            <w:pPr>
              <w:pStyle w:val="922"/>
              <w:pBdr/>
              <w:spacing/>
              <w:ind/>
              <w:rPr/>
            </w:pPr>
            <w:r>
              <w:rPr>
                <w:b/>
                <w:bCs/>
              </w:rPr>
              <w:t xml:space="preserve">Aportaciones</w:t>
            </w:r>
            <w:r/>
          </w:p>
        </w:tc>
        <w:tc>
          <w:tcPr>
            <w:tcBorders/>
            <w:tcW w:w="7304" w:type="dxa"/>
          </w:tcPr>
          <w:p>
            <w:pPr>
              <w:pStyle w:val="922"/>
              <w:pBdr/>
              <w:spacing/>
              <w:ind/>
              <w:rPr/>
            </w:pPr>
            <w:r>
              <w:t xml:space="preserve">Pagos de los clubes a la Liga: inscripción por categoría, registros, arbitraje semanal ($125.00 por categoría), mantenimiento de canchas, trofeos y cal.</w:t>
            </w:r>
            <w:r/>
          </w:p>
        </w:tc>
      </w:tr>
      <w:tr>
        <w:trPr>
          <w:cantSplit/>
        </w:trPr>
        <w:tc>
          <w:tcPr>
            <w:tcBorders/>
            <w:tcW w:w="2100" w:type="dxa"/>
          </w:tcPr>
          <w:p>
            <w:pPr>
              <w:pStyle w:val="922"/>
              <w:pBdr/>
              <w:spacing/>
              <w:ind/>
              <w:rPr/>
            </w:pPr>
            <w:r>
              <w:rPr>
                <w:b/>
                <w:bCs/>
              </w:rPr>
              <w:t xml:space="preserve">Usuario con cuenta / usuario público</w:t>
            </w:r>
            <w:r/>
          </w:p>
        </w:tc>
        <w:tc>
          <w:tcPr>
            <w:tcBorders/>
            <w:tcW w:w="7304" w:type="dxa"/>
          </w:tcPr>
          <w:p>
            <w:pPr>
              <w:pStyle w:val="922"/>
              <w:pBdr/>
              <w:spacing/>
              <w:ind/>
              <w:rPr/>
            </w:pPr>
            <w:r>
              <w:t xml:space="preserve">Usuario con cuenta: integrante de la Liga, club, árbitro o jugador. Usuario público: consulta sin cuenta.</w:t>
            </w:r>
            <w:r/>
          </w:p>
        </w:tc>
      </w:tr>
      <w:tr>
        <w:trPr>
          <w:cantSplit/>
        </w:trPr>
        <w:tc>
          <w:tcPr>
            <w:tcBorders/>
            <w:tcW w:w="2100" w:type="dxa"/>
          </w:tcPr>
          <w:p>
            <w:pPr>
              <w:pStyle w:val="922"/>
              <w:pBdr/>
              <w:spacing/>
              <w:ind/>
              <w:rPr/>
            </w:pPr>
            <w:r>
              <w:rPr>
                <w:b/>
                <w:bCs/>
              </w:rPr>
              <w:t xml:space="preserve">Equipo</w:t>
            </w:r>
            <w:r/>
          </w:p>
        </w:tc>
        <w:tc>
          <w:tcPr>
            <w:tcBorders/>
            <w:tcW w:w="7304" w:type="dxa"/>
          </w:tcPr>
          <w:p>
            <w:pPr>
              <w:pStyle w:val="922"/>
              <w:pBdr/>
              <w:spacing/>
              <w:ind/>
              <w:rPr/>
            </w:pPr>
            <w:r>
              <w:t xml:space="preserve">Representación deportiva de un club en una categoría y grupo durante una temporada.</w:t>
            </w:r>
            <w:r/>
          </w:p>
        </w:tc>
      </w:tr>
      <w:tr>
        <w:trPr>
          <w:cantSplit/>
        </w:trPr>
        <w:tc>
          <w:tcPr>
            <w:tcBorders/>
            <w:tcW w:w="2100" w:type="dxa"/>
          </w:tcPr>
          <w:p>
            <w:pPr>
              <w:pStyle w:val="922"/>
              <w:pBdr/>
              <w:spacing/>
              <w:ind/>
              <w:rPr/>
            </w:pPr>
            <w:r>
              <w:rPr>
                <w:b/>
                <w:bCs/>
              </w:rPr>
              <w:t xml:space="preserve">Plantilla (roster)</w:t>
            </w:r>
            <w:r/>
          </w:p>
        </w:tc>
        <w:tc>
          <w:tcPr>
            <w:tcBorders/>
            <w:tcW w:w="7304" w:type="dxa"/>
          </w:tcPr>
          <w:p>
            <w:pPr>
              <w:pStyle w:val="922"/>
              <w:pBdr/>
              <w:spacing/>
              <w:ind/>
              <w:rPr/>
            </w:pPr>
            <w:r>
              <w:t xml:space="preserve">Relación de jugadores habilitados para un equipo.</w:t>
            </w:r>
            <w:r/>
          </w:p>
        </w:tc>
      </w:tr>
      <w:tr>
        <w:trPr>
          <w:cantSplit/>
        </w:trPr>
        <w:tc>
          <w:tcPr>
            <w:tcBorders/>
            <w:tcW w:w="2100" w:type="dxa"/>
          </w:tcPr>
          <w:p>
            <w:pPr>
              <w:pStyle w:val="922"/>
              <w:pBdr/>
              <w:spacing/>
              <w:ind/>
              <w:rPr/>
            </w:pPr>
            <w:r>
              <w:rPr>
                <w:b/>
                <w:bCs/>
              </w:rPr>
              <w:t xml:space="preserve">Sanción</w:t>
            </w:r>
            <w:r/>
          </w:p>
        </w:tc>
        <w:tc>
          <w:tcPr>
            <w:tcBorders/>
            <w:tcW w:w="7304" w:type="dxa"/>
          </w:tcPr>
          <w:p>
            <w:pPr>
              <w:pStyle w:val="922"/>
              <w:pBdr/>
              <w:spacing/>
              <w:ind/>
              <w:rPr/>
            </w:pPr>
            <w:r>
              <w:t xml:space="preserve">Medida disciplinaria derivada de una infracción.</w:t>
            </w:r>
            <w:r/>
          </w:p>
        </w:tc>
      </w:tr>
      <w:tr>
        <w:trPr>
          <w:cantSplit/>
        </w:trPr>
        <w:tc>
          <w:tcPr>
            <w:tcBorders/>
            <w:tcW w:w="2100" w:type="dxa"/>
          </w:tcPr>
          <w:p>
            <w:pPr>
              <w:pStyle w:val="922"/>
              <w:pBdr/>
              <w:spacing/>
              <w:ind/>
              <w:rPr/>
            </w:pPr>
            <w:r>
              <w:rPr>
                <w:b/>
                <w:bCs/>
              </w:rPr>
              <w:t xml:space="preserve">Fixture</w:t>
            </w:r>
            <w:r/>
          </w:p>
        </w:tc>
        <w:tc>
          <w:tcPr>
            <w:tcBorders/>
            <w:tcW w:w="7304" w:type="dxa"/>
          </w:tcPr>
          <w:p>
            <w:pPr>
              <w:pStyle w:val="922"/>
              <w:pBdr/>
              <w:spacing/>
              <w:ind/>
              <w:rPr/>
            </w:pPr>
            <w:r>
              <w:t xml:space="preserve">Programación de enfrentamientos, fechas, horarios y canchas.</w:t>
            </w:r>
            <w:r/>
          </w:p>
        </w:tc>
      </w:tr>
      <w:tr>
        <w:trPr>
          <w:cantSplit/>
        </w:trPr>
        <w:tc>
          <w:tcPr>
            <w:tcBorders/>
            <w:tcW w:w="2100" w:type="dxa"/>
          </w:tcPr>
          <w:p>
            <w:pPr>
              <w:pStyle w:val="922"/>
              <w:pBdr/>
              <w:spacing/>
              <w:ind/>
              <w:rPr/>
            </w:pPr>
            <w:r>
              <w:rPr>
                <w:b/>
                <w:bCs/>
              </w:rPr>
              <w:t xml:space="preserve">Comisión Arbitral</w:t>
            </w:r>
            <w:r/>
          </w:p>
        </w:tc>
        <w:tc>
          <w:tcPr>
            <w:tcBorders/>
            <w:tcW w:w="7304" w:type="dxa"/>
          </w:tcPr>
          <w:p>
            <w:pPr>
              <w:pStyle w:val="922"/>
              <w:pBdr/>
              <w:spacing/>
              <w:ind/>
              <w:rPr/>
            </w:pPr>
            <w:r>
              <w:t xml:space="preserve">Área que administra el padrón de árbitros de los colegios contratados y asigna árbitros a los partidos programados. Su existencia formal en la Liga está por validar.</w:t>
            </w:r>
            <w:r/>
          </w:p>
        </w:tc>
      </w:tr>
    </w:tbl>
    <w:p>
      <w:pPr>
        <w:pBdr/>
        <w:spacing w:after="60" w:before="0"/>
        <w:ind/>
        <w:rPr/>
      </w:pPr>
      <w:r/>
      <w:r/>
    </w:p>
    <w:p>
      <w:pPr>
        <w:pStyle w:val="923"/>
        <w:keepNext w:val="true"/>
        <w:pBdr/>
        <w:spacing/>
        <w:ind/>
        <w:rPr/>
      </w:pPr>
      <w:r>
        <w:rPr>
          <w:b/>
          <w:bCs/>
          <w:color w:val="241a61"/>
          <w:sz w:val="18"/>
          <w:szCs w:val="18"/>
        </w:rPr>
        <w:t xml:space="preserve">Tabla 4. </w:t>
      </w:r>
      <w:r>
        <w:rPr>
          <w:sz w:val="18"/>
          <w:szCs w:val="18"/>
        </w:rPr>
        <w:t xml:space="preserve">Categorías de la temporada 2026–2027.</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500"/>
        <w:gridCol w:w="5404"/>
        <w:gridCol w:w="2500"/>
      </w:tblGrid>
      <w:tr>
        <w:trPr>
          <w:cantSplit/>
          <w:tblHeader/>
        </w:trPr>
        <w:tc>
          <w:tcPr>
            <w:shd w:val="clear" w:color="auto" w:fill="241a61"/>
            <w:tcBorders/>
            <w:tcW w:w="1500" w:type="dxa"/>
          </w:tcPr>
          <w:p>
            <w:pPr>
              <w:pStyle w:val="922"/>
              <w:pBdr/>
              <w:spacing/>
              <w:ind/>
              <w:rPr/>
            </w:pPr>
            <w:r>
              <w:rPr>
                <w:b/>
                <w:bCs/>
                <w:color w:val="ffffff"/>
              </w:rPr>
              <w:t xml:space="preserve">Rama</w:t>
            </w:r>
            <w:r/>
          </w:p>
        </w:tc>
        <w:tc>
          <w:tcPr>
            <w:shd w:val="clear" w:color="auto" w:fill="241a61"/>
            <w:tcBorders/>
            <w:tcW w:w="5404" w:type="dxa"/>
          </w:tcPr>
          <w:p>
            <w:pPr>
              <w:pStyle w:val="922"/>
              <w:pBdr/>
              <w:spacing/>
              <w:ind/>
              <w:rPr/>
            </w:pPr>
            <w:r>
              <w:rPr>
                <w:b/>
                <w:bCs/>
                <w:color w:val="ffffff"/>
              </w:rPr>
              <w:t xml:space="preserve">Categorías</w:t>
            </w:r>
            <w:r/>
          </w:p>
        </w:tc>
        <w:tc>
          <w:tcPr>
            <w:shd w:val="clear" w:color="auto" w:fill="241a61"/>
            <w:tcBorders/>
            <w:tcW w:w="2500" w:type="dxa"/>
          </w:tcPr>
          <w:p>
            <w:pPr>
              <w:pStyle w:val="922"/>
              <w:pBdr/>
              <w:spacing/>
              <w:ind/>
              <w:rPr/>
            </w:pPr>
            <w:r>
              <w:rPr>
                <w:b/>
                <w:bCs/>
                <w:color w:val="ffffff"/>
              </w:rPr>
              <w:t xml:space="preserve">Criterio de edad</w:t>
            </w:r>
            <w:r/>
          </w:p>
        </w:tc>
      </w:tr>
      <w:tr>
        <w:trPr>
          <w:cantSplit/>
        </w:trPr>
        <w:tc>
          <w:tcPr>
            <w:tcBorders/>
            <w:tcW w:w="1500" w:type="dxa"/>
          </w:tcPr>
          <w:p>
            <w:pPr>
              <w:pStyle w:val="922"/>
              <w:pBdr/>
              <w:spacing/>
              <w:ind/>
              <w:rPr/>
            </w:pPr>
            <w:r>
              <w:rPr>
                <w:b/>
                <w:bCs/>
              </w:rPr>
              <w:t xml:space="preserve">Libre</w:t>
            </w:r>
            <w:r/>
          </w:p>
        </w:tc>
        <w:tc>
          <w:tcPr>
            <w:tcBorders/>
            <w:tcW w:w="5404" w:type="dxa"/>
          </w:tcPr>
          <w:p>
            <w:pPr>
              <w:pStyle w:val="922"/>
              <w:pBdr/>
              <w:spacing/>
              <w:ind/>
              <w:rPr/>
            </w:pPr>
            <w:r>
              <w:t xml:space="preserve">Primera Especial, Primera Fuerza, Reserva, Intermedia, Segunda Fuerza, Tercera Fuerza, Cuarta Fuerza Domingo, Cuarta Sábado, Juvenil.</w:t>
            </w:r>
            <w:r/>
          </w:p>
        </w:tc>
        <w:tc>
          <w:tcPr>
            <w:tcBorders/>
            <w:tcW w:w="2500" w:type="dxa"/>
          </w:tcPr>
          <w:p>
            <w:pPr>
              <w:pStyle w:val="922"/>
              <w:pBdr/>
              <w:spacing/>
              <w:ind/>
              <w:rPr/>
            </w:pPr>
            <w:r>
              <w:t xml:space="preserve">Mayores de 18 años; Juvenil: 2009–2010.</w:t>
            </w:r>
            <w:r/>
          </w:p>
        </w:tc>
      </w:tr>
      <w:tr>
        <w:trPr>
          <w:cantSplit/>
        </w:trPr>
        <w:tc>
          <w:tcPr>
            <w:tcBorders/>
            <w:tcW w:w="1500" w:type="dxa"/>
          </w:tcPr>
          <w:p>
            <w:pPr>
              <w:pStyle w:val="922"/>
              <w:pBdr/>
              <w:spacing/>
              <w:ind/>
              <w:rPr/>
            </w:pPr>
            <w:r>
              <w:rPr>
                <w:b/>
                <w:bCs/>
              </w:rPr>
              <w:t xml:space="preserve">Veteranos</w:t>
            </w:r>
            <w:r/>
          </w:p>
        </w:tc>
        <w:tc>
          <w:tcPr>
            <w:tcBorders/>
            <w:tcW w:w="5404" w:type="dxa"/>
          </w:tcPr>
          <w:p>
            <w:pPr>
              <w:pStyle w:val="922"/>
              <w:pBdr/>
              <w:spacing/>
              <w:ind/>
              <w:rPr/>
            </w:pPr>
            <w:r>
              <w:t xml:space="preserve">Veteranos Libre (1990 o antes), Veteranos Especiales (1984), Masters (1978), Premier (1972), Diamante (1967), Dorado (1963), Platino (1959).</w:t>
            </w:r>
            <w:r/>
          </w:p>
        </w:tc>
        <w:tc>
          <w:tcPr>
            <w:tcBorders/>
            <w:tcW w:w="2500" w:type="dxa"/>
          </w:tcPr>
          <w:p>
            <w:pPr>
              <w:pStyle w:val="922"/>
              <w:pBdr/>
              <w:spacing/>
              <w:ind/>
              <w:rPr/>
            </w:pPr>
            <w:r>
              <w:t xml:space="preserve">Año de nacimiento indicado o anterior.</w:t>
            </w:r>
            <w:r/>
          </w:p>
        </w:tc>
      </w:tr>
      <w:tr>
        <w:trPr>
          <w:cantSplit/>
        </w:trPr>
        <w:tc>
          <w:tcPr>
            <w:tcBorders/>
            <w:tcW w:w="1500" w:type="dxa"/>
          </w:tcPr>
          <w:p>
            <w:pPr>
              <w:pStyle w:val="922"/>
              <w:pBdr/>
              <w:spacing/>
              <w:ind/>
              <w:rPr/>
            </w:pPr>
            <w:r>
              <w:rPr>
                <w:b/>
                <w:bCs/>
              </w:rPr>
              <w:t xml:space="preserve">Infantil</w:t>
            </w:r>
            <w:r/>
          </w:p>
        </w:tc>
        <w:tc>
          <w:tcPr>
            <w:tcBorders/>
            <w:tcW w:w="5404" w:type="dxa"/>
          </w:tcPr>
          <w:p>
            <w:pPr>
              <w:pStyle w:val="922"/>
              <w:pBdr/>
              <w:spacing/>
              <w:ind/>
              <w:rPr/>
            </w:pPr>
            <w:r>
              <w:t xml:space="preserve">Miniponys Especiales (2021 o menores), Miniponys (2019–2020), Ponys (2017–2018), Pre infantil (2015–2016), Infantil (2013–2014), Pre juvenil (2011–2012), Juvenil (2009–2010).</w:t>
            </w:r>
            <w:r/>
          </w:p>
        </w:tc>
        <w:tc>
          <w:tcPr>
            <w:tcBorders/>
            <w:tcW w:w="2500" w:type="dxa"/>
          </w:tcPr>
          <w:p>
            <w:pPr>
              <w:pStyle w:val="922"/>
              <w:pBdr/>
              <w:spacing/>
              <w:ind/>
              <w:rPr/>
            </w:pPr>
            <w:r>
              <w:t xml:space="preserve">Año de nacimiento indicado.</w:t>
            </w:r>
            <w:r/>
          </w:p>
        </w:tc>
      </w:tr>
      <w:tr>
        <w:trPr>
          <w:cantSplit/>
        </w:trPr>
        <w:tc>
          <w:tcPr>
            <w:tcBorders/>
            <w:tcW w:w="1500" w:type="dxa"/>
          </w:tcPr>
          <w:p>
            <w:pPr>
              <w:pStyle w:val="922"/>
              <w:pBdr/>
              <w:spacing/>
              <w:ind/>
              <w:rPr/>
            </w:pPr>
            <w:r>
              <w:rPr>
                <w:b/>
                <w:bCs/>
              </w:rPr>
              <w:t xml:space="preserve">Femenil</w:t>
            </w:r>
            <w:r/>
          </w:p>
        </w:tc>
        <w:tc>
          <w:tcPr>
            <w:tcBorders/>
            <w:tcW w:w="5404" w:type="dxa"/>
          </w:tcPr>
          <w:p>
            <w:pPr>
              <w:pStyle w:val="922"/>
              <w:pBdr/>
              <w:spacing/>
              <w:ind/>
              <w:rPr/>
            </w:pPr>
            <w:r>
              <w:t xml:space="preserve">Femenil Libre; Femenil 2012 o menores.</w:t>
            </w:r>
            <w:r/>
          </w:p>
        </w:tc>
        <w:tc>
          <w:tcPr>
            <w:tcBorders/>
            <w:tcW w:w="2500" w:type="dxa"/>
          </w:tcPr>
          <w:p>
            <w:pPr>
              <w:pStyle w:val="922"/>
              <w:pBdr/>
              <w:spacing/>
              <w:ind/>
              <w:rPr/>
            </w:pPr>
            <w:r>
              <w:t xml:space="preserve">Según la convocatoria.</w:t>
            </w:r>
            <w:r/>
          </w:p>
        </w:tc>
      </w:tr>
    </w:tbl>
    <w:p>
      <w:pPr>
        <w:pBdr/>
        <w:spacing w:after="60" w:before="0"/>
        <w:ind/>
        <w:rPr/>
      </w:pPr>
      <w:r/>
      <w:r/>
    </w:p>
    <w:p>
      <w:pPr>
        <w:pStyle w:val="923"/>
        <w:keepNext w:val="true"/>
        <w:pBdr/>
        <w:spacing/>
        <w:ind/>
        <w:rPr/>
      </w:pPr>
      <w:r>
        <w:rPr>
          <w:b/>
          <w:bCs/>
          <w:color w:val="241a61"/>
          <w:sz w:val="18"/>
          <w:szCs w:val="18"/>
        </w:rPr>
        <w:t xml:space="preserve">Tabla 5. </w:t>
      </w:r>
      <w:r>
        <w:rPr>
          <w:sz w:val="18"/>
          <w:szCs w:val="18"/>
        </w:rPr>
        <w:t xml:space="preserve">Acrónimos y abreviaturas.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500"/>
        <w:gridCol w:w="7904"/>
      </w:tblGrid>
      <w:tr>
        <w:trPr>
          <w:cantSplit/>
          <w:tblHeader/>
        </w:trPr>
        <w:tc>
          <w:tcPr>
            <w:shd w:val="clear" w:color="auto" w:fill="241a61"/>
            <w:tcBorders/>
            <w:tcW w:w="1500" w:type="dxa"/>
          </w:tcPr>
          <w:p>
            <w:pPr>
              <w:pStyle w:val="922"/>
              <w:pBdr/>
              <w:spacing/>
              <w:ind/>
              <w:rPr/>
            </w:pPr>
            <w:r>
              <w:rPr>
                <w:b/>
                <w:bCs/>
                <w:color w:val="ffffff"/>
              </w:rPr>
              <w:t xml:space="preserve">Sigla</w:t>
            </w:r>
            <w:r/>
          </w:p>
        </w:tc>
        <w:tc>
          <w:tcPr>
            <w:shd w:val="clear" w:color="auto" w:fill="241a61"/>
            <w:tcBorders/>
            <w:tcW w:w="7904" w:type="dxa"/>
          </w:tcPr>
          <w:p>
            <w:pPr>
              <w:pStyle w:val="922"/>
              <w:pBdr/>
              <w:spacing/>
              <w:ind/>
              <w:rPr/>
            </w:pPr>
            <w:r>
              <w:rPr>
                <w:b/>
                <w:bCs/>
                <w:color w:val="ffffff"/>
              </w:rPr>
              <w:t xml:space="preserve">Significado</w:t>
            </w:r>
            <w:r/>
          </w:p>
        </w:tc>
      </w:tr>
      <w:tr>
        <w:trPr>
          <w:cantSplit/>
        </w:trPr>
        <w:tc>
          <w:tcPr>
            <w:tcBorders/>
            <w:tcW w:w="1500" w:type="dxa"/>
          </w:tcPr>
          <w:p>
            <w:pPr>
              <w:pStyle w:val="922"/>
              <w:pBdr/>
              <w:spacing/>
              <w:ind/>
              <w:rPr/>
            </w:pPr>
            <w:r>
              <w:rPr>
                <w:b/>
                <w:bCs/>
              </w:rPr>
              <w:t xml:space="preserve">A.C.</w:t>
            </w:r>
            <w:r/>
          </w:p>
        </w:tc>
        <w:tc>
          <w:tcPr>
            <w:tcBorders/>
            <w:tcW w:w="7904" w:type="dxa"/>
          </w:tcPr>
          <w:p>
            <w:pPr>
              <w:pStyle w:val="922"/>
              <w:pBdr/>
              <w:spacing/>
              <w:ind/>
              <w:rPr/>
            </w:pPr>
            <w:r>
              <w:t xml:space="preserve">Asociación Civil.</w:t>
            </w:r>
            <w:r/>
          </w:p>
        </w:tc>
      </w:tr>
      <w:tr>
        <w:trPr>
          <w:cantSplit/>
        </w:trPr>
        <w:tc>
          <w:tcPr>
            <w:tcBorders/>
            <w:tcW w:w="1500" w:type="dxa"/>
          </w:tcPr>
          <w:p>
            <w:pPr>
              <w:pStyle w:val="922"/>
              <w:pBdr/>
              <w:spacing/>
              <w:ind/>
              <w:rPr/>
            </w:pPr>
            <w:r>
              <w:rPr>
                <w:b/>
                <w:bCs/>
              </w:rPr>
              <w:t xml:space="preserve">AF</w:t>
            </w:r>
            <w:r/>
          </w:p>
        </w:tc>
        <w:tc>
          <w:tcPr>
            <w:tcBorders/>
            <w:tcW w:w="7904" w:type="dxa"/>
          </w:tcPr>
          <w:p>
            <w:pPr>
              <w:pStyle w:val="922"/>
              <w:pBdr/>
              <w:spacing/>
              <w:ind/>
              <w:rPr/>
            </w:pPr>
            <w:r>
              <w:t xml:space="preserve">Área funcional (convención de este ERS).</w:t>
            </w:r>
            <w:r/>
          </w:p>
        </w:tc>
      </w:tr>
      <w:tr>
        <w:trPr>
          <w:cantSplit/>
        </w:trPr>
        <w:tc>
          <w:tcPr>
            <w:tcBorders/>
            <w:tcW w:w="1500" w:type="dxa"/>
          </w:tcPr>
          <w:p>
            <w:pPr>
              <w:pStyle w:val="922"/>
              <w:pBdr/>
              <w:spacing/>
              <w:ind/>
              <w:rPr/>
            </w:pPr>
            <w:r>
              <w:rPr>
                <w:b/>
                <w:bCs/>
              </w:rPr>
              <w:t xml:space="preserve">CURP / INE</w:t>
            </w:r>
            <w:r/>
          </w:p>
        </w:tc>
        <w:tc>
          <w:tcPr>
            <w:tcBorders/>
            <w:tcW w:w="7904" w:type="dxa"/>
          </w:tcPr>
          <w:p>
            <w:pPr>
              <w:pStyle w:val="922"/>
              <w:pBdr/>
              <w:spacing/>
              <w:ind/>
              <w:rPr/>
            </w:pPr>
            <w:r>
              <w:t xml:space="preserve">Clave Única de Registro de Población / Instituto Nacional Electoral (credencial usada como identificación).</w:t>
            </w:r>
            <w:r/>
          </w:p>
        </w:tc>
      </w:tr>
      <w:tr>
        <w:trPr>
          <w:cantSplit/>
        </w:trPr>
        <w:tc>
          <w:tcPr>
            <w:tcBorders/>
            <w:tcW w:w="1500" w:type="dxa"/>
          </w:tcPr>
          <w:p>
            <w:pPr>
              <w:pStyle w:val="922"/>
              <w:pBdr/>
              <w:spacing/>
              <w:ind/>
              <w:rPr/>
            </w:pPr>
            <w:r>
              <w:rPr>
                <w:b/>
                <w:bCs/>
              </w:rPr>
              <w:t xml:space="preserve">ERS (SRS)</w:t>
            </w:r>
            <w:r/>
          </w:p>
        </w:tc>
        <w:tc>
          <w:tcPr>
            <w:tcBorders/>
            <w:tcW w:w="7904" w:type="dxa"/>
          </w:tcPr>
          <w:p>
            <w:pPr>
              <w:pStyle w:val="922"/>
              <w:pBdr/>
              <w:spacing/>
              <w:ind/>
              <w:rPr/>
            </w:pPr>
            <w:r>
              <w:t xml:space="preserve">Especificación de Requisitos de Software (Software Requirements Specification).</w:t>
            </w:r>
            <w:r/>
          </w:p>
        </w:tc>
      </w:tr>
      <w:tr>
        <w:trPr>
          <w:cantSplit/>
        </w:trPr>
        <w:tc>
          <w:tcPr>
            <w:tcBorders/>
            <w:tcW w:w="1500" w:type="dxa"/>
          </w:tcPr>
          <w:p>
            <w:pPr>
              <w:pStyle w:val="922"/>
              <w:pBdr/>
              <w:spacing/>
              <w:ind/>
              <w:rPr/>
            </w:pPr>
            <w:r>
              <w:rPr>
                <w:b/>
                <w:bCs/>
              </w:rPr>
              <w:t xml:space="preserve">FMF / IFAB</w:t>
            </w:r>
            <w:r/>
          </w:p>
        </w:tc>
        <w:tc>
          <w:tcPr>
            <w:tcBorders/>
            <w:tcW w:w="7904" w:type="dxa"/>
          </w:tcPr>
          <w:p>
            <w:pPr>
              <w:pStyle w:val="922"/>
              <w:pBdr/>
              <w:spacing/>
              <w:ind/>
              <w:rPr/>
            </w:pPr>
            <w:r>
              <w:t xml:space="preserve">Federación Mexicana de Futbol Asociación / International Football Association Board.</w:t>
            </w:r>
            <w:r/>
          </w:p>
        </w:tc>
      </w:tr>
      <w:tr>
        <w:trPr>
          <w:cantSplit/>
        </w:trPr>
        <w:tc>
          <w:tcPr>
            <w:tcBorders/>
            <w:tcW w:w="1500" w:type="dxa"/>
          </w:tcPr>
          <w:p>
            <w:pPr>
              <w:pStyle w:val="922"/>
              <w:pBdr/>
              <w:spacing/>
              <w:ind/>
              <w:rPr/>
            </w:pPr>
            <w:r>
              <w:rPr>
                <w:b/>
                <w:bCs/>
              </w:rPr>
              <w:t xml:space="preserve">IMCUFIDE</w:t>
            </w:r>
            <w:r/>
          </w:p>
        </w:tc>
        <w:tc>
          <w:tcPr>
            <w:tcBorders/>
            <w:tcW w:w="7904" w:type="dxa"/>
          </w:tcPr>
          <w:p>
            <w:pPr>
              <w:pStyle w:val="922"/>
              <w:pBdr/>
              <w:spacing/>
              <w:ind/>
              <w:rPr/>
            </w:pPr>
            <w:r>
              <w:t xml:space="preserve">Instituto Municipal de Cultura Física y Deporte de Morelia (llamado «IMDE» en el levantamiento).</w:t>
            </w:r>
            <w:r/>
          </w:p>
        </w:tc>
      </w:tr>
      <w:tr>
        <w:trPr>
          <w:cantSplit/>
        </w:trPr>
        <w:tc>
          <w:tcPr>
            <w:tcBorders/>
            <w:tcW w:w="1500" w:type="dxa"/>
          </w:tcPr>
          <w:p>
            <w:pPr>
              <w:pStyle w:val="922"/>
              <w:pBdr/>
              <w:spacing/>
              <w:ind/>
              <w:rPr/>
            </w:pPr>
            <w:r>
              <w:rPr>
                <w:b/>
                <w:bCs/>
              </w:rPr>
              <w:t xml:space="preserve">ISO / IEC / IEEE</w:t>
            </w:r>
            <w:r/>
          </w:p>
        </w:tc>
        <w:tc>
          <w:tcPr>
            <w:tcBorders/>
            <w:tcW w:w="7904" w:type="dxa"/>
          </w:tcPr>
          <w:p>
            <w:pPr>
              <w:pStyle w:val="922"/>
              <w:pBdr/>
              <w:spacing/>
              <w:ind/>
              <w:rPr/>
            </w:pPr>
            <w:r>
              <w:t xml:space="preserve">Organismos de normalización que emiten las normas técnicas citadas.</w:t>
            </w:r>
            <w:r/>
          </w:p>
        </w:tc>
      </w:tr>
      <w:tr>
        <w:trPr>
          <w:cantSplit/>
        </w:trPr>
        <w:tc>
          <w:tcPr>
            <w:tcBorders/>
            <w:tcW w:w="1500" w:type="dxa"/>
          </w:tcPr>
          <w:p>
            <w:pPr>
              <w:pStyle w:val="922"/>
              <w:pBdr/>
              <w:spacing/>
              <w:ind/>
              <w:rPr/>
            </w:pPr>
            <w:r>
              <w:rPr>
                <w:b/>
                <w:bCs/>
              </w:rPr>
              <w:t xml:space="preserve">LFPDPPP</w:t>
            </w:r>
            <w:r/>
          </w:p>
        </w:tc>
        <w:tc>
          <w:tcPr>
            <w:tcBorders/>
            <w:tcW w:w="7904" w:type="dxa"/>
          </w:tcPr>
          <w:p>
            <w:pPr>
              <w:pStyle w:val="922"/>
              <w:pBdr/>
              <w:spacing/>
              <w:ind/>
              <w:rPr/>
            </w:pPr>
            <w:r>
              <w:t xml:space="preserve">Ley Federal de Protección de Datos Personales en Posesión de los Particulares.</w:t>
            </w:r>
            <w:r/>
          </w:p>
        </w:tc>
      </w:tr>
      <w:tr>
        <w:trPr>
          <w:cantSplit/>
        </w:trPr>
        <w:tc>
          <w:tcPr>
            <w:tcBorders/>
            <w:tcW w:w="1500" w:type="dxa"/>
          </w:tcPr>
          <w:p>
            <w:pPr>
              <w:pStyle w:val="922"/>
              <w:pBdr/>
              <w:spacing/>
              <w:ind/>
              <w:rPr/>
            </w:pPr>
            <w:r>
              <w:rPr>
                <w:b/>
                <w:bCs/>
              </w:rPr>
              <w:t xml:space="preserve">MoSCoW</w:t>
            </w:r>
            <w:r/>
          </w:p>
        </w:tc>
        <w:tc>
          <w:tcPr>
            <w:tcBorders/>
            <w:tcW w:w="7904" w:type="dxa"/>
          </w:tcPr>
          <w:p>
            <w:pPr>
              <w:pStyle w:val="922"/>
              <w:pBdr/>
              <w:spacing/>
              <w:ind/>
              <w:rPr/>
            </w:pPr>
            <w:r>
              <w:t xml:space="preserve">Técnica de priorización: Must (debe), Should (debería), Could (podría), Won't (no en esta versión).</w:t>
            </w:r>
            <w:r/>
          </w:p>
        </w:tc>
      </w:tr>
      <w:tr>
        <w:trPr>
          <w:cantSplit/>
        </w:trPr>
        <w:tc>
          <w:tcPr>
            <w:tcBorders/>
            <w:tcW w:w="1500" w:type="dxa"/>
          </w:tcPr>
          <w:p>
            <w:pPr>
              <w:pStyle w:val="922"/>
              <w:pBdr/>
              <w:spacing/>
              <w:ind/>
              <w:rPr/>
            </w:pPr>
            <w:r>
              <w:rPr>
                <w:b/>
                <w:bCs/>
              </w:rPr>
              <w:t xml:space="preserve">PJ, PG, PE, PP</w:t>
            </w:r>
            <w:r/>
          </w:p>
        </w:tc>
        <w:tc>
          <w:tcPr>
            <w:tcBorders/>
            <w:tcW w:w="7904" w:type="dxa"/>
          </w:tcPr>
          <w:p>
            <w:pPr>
              <w:pStyle w:val="922"/>
              <w:pBdr/>
              <w:spacing/>
              <w:ind/>
              <w:rPr/>
            </w:pPr>
            <w:r>
              <w:t xml:space="preserve">Partidos jugados, ganados, empatados y perdidos.</w:t>
            </w:r>
            <w:r/>
          </w:p>
        </w:tc>
      </w:tr>
      <w:tr>
        <w:trPr>
          <w:cantSplit/>
        </w:trPr>
        <w:tc>
          <w:tcPr>
            <w:tcBorders/>
            <w:tcW w:w="1500" w:type="dxa"/>
          </w:tcPr>
          <w:p>
            <w:pPr>
              <w:pStyle w:val="922"/>
              <w:pBdr/>
              <w:spacing/>
              <w:ind/>
              <w:rPr/>
            </w:pPr>
            <w:r>
              <w:rPr>
                <w:b/>
                <w:bCs/>
              </w:rPr>
              <w:t xml:space="preserve">GF, GC, DG, Pts.</w:t>
            </w:r>
            <w:r/>
          </w:p>
        </w:tc>
        <w:tc>
          <w:tcPr>
            <w:tcBorders/>
            <w:tcW w:w="7904" w:type="dxa"/>
          </w:tcPr>
          <w:p>
            <w:pPr>
              <w:pStyle w:val="922"/>
              <w:pBdr/>
              <w:spacing/>
              <w:ind/>
              <w:rPr/>
            </w:pPr>
            <w:r>
              <w:t xml:space="preserve">Goles a favor, goles en contra, diferencia de goles y puntos.</w:t>
            </w:r>
            <w:r/>
          </w:p>
        </w:tc>
      </w:tr>
      <w:tr>
        <w:trPr>
          <w:cantSplit/>
        </w:trPr>
        <w:tc>
          <w:tcPr>
            <w:tcBorders/>
            <w:tcW w:w="1500" w:type="dxa"/>
          </w:tcPr>
          <w:p>
            <w:pPr>
              <w:pStyle w:val="922"/>
              <w:pBdr/>
              <w:spacing/>
              <w:ind/>
              <w:rPr/>
            </w:pPr>
            <w:r>
              <w:rPr>
                <w:b/>
                <w:bCs/>
              </w:rPr>
              <w:t xml:space="preserve">PPP</w:t>
            </w:r>
            <w:r/>
          </w:p>
        </w:tc>
        <w:tc>
          <w:tcPr>
            <w:tcBorders/>
            <w:tcW w:w="7904" w:type="dxa"/>
          </w:tcPr>
          <w:p>
            <w:pPr>
              <w:pStyle w:val="922"/>
              <w:pBdr/>
              <w:spacing/>
              <w:ind/>
              <w:rPr/>
            </w:pPr>
            <w:r>
              <w:t xml:space="preserve">Promedio de puntos por partido: puntos acumulados entre partidos jugados; mide la efectividad cuando hay jornadas pendientes.</w:t>
            </w:r>
            <w:r/>
          </w:p>
        </w:tc>
      </w:tr>
      <w:tr>
        <w:trPr>
          <w:cantSplit/>
        </w:trPr>
        <w:tc>
          <w:tcPr>
            <w:tcBorders/>
            <w:tcW w:w="1500" w:type="dxa"/>
          </w:tcPr>
          <w:p>
            <w:pPr>
              <w:pStyle w:val="922"/>
              <w:pBdr/>
              <w:spacing/>
              <w:ind/>
              <w:rPr/>
            </w:pPr>
            <w:r>
              <w:rPr>
                <w:b/>
                <w:bCs/>
              </w:rPr>
              <w:t xml:space="preserve">RBAC</w:t>
            </w:r>
            <w:r/>
          </w:p>
        </w:tc>
        <w:tc>
          <w:tcPr>
            <w:tcBorders/>
            <w:tcW w:w="7904" w:type="dxa"/>
          </w:tcPr>
          <w:p>
            <w:pPr>
              <w:pStyle w:val="922"/>
              <w:pBdr/>
              <w:spacing/>
              <w:ind/>
              <w:rPr/>
            </w:pPr>
            <w:r>
              <w:t xml:space="preserve">Control de acceso basado en roles (Role-Based Access Control).</w:t>
            </w:r>
            <w:r/>
          </w:p>
        </w:tc>
      </w:tr>
      <w:tr>
        <w:trPr>
          <w:cantSplit/>
        </w:trPr>
        <w:tc>
          <w:tcPr>
            <w:tcBorders/>
            <w:tcW w:w="1500" w:type="dxa"/>
          </w:tcPr>
          <w:p>
            <w:pPr>
              <w:pStyle w:val="922"/>
              <w:pBdr/>
              <w:spacing/>
              <w:ind/>
              <w:rPr/>
            </w:pPr>
            <w:r>
              <w:rPr>
                <w:b/>
                <w:bCs/>
              </w:rPr>
              <w:t xml:space="preserve">2FA</w:t>
            </w:r>
            <w:r/>
          </w:p>
        </w:tc>
        <w:tc>
          <w:tcPr>
            <w:tcBorders/>
            <w:tcW w:w="7904" w:type="dxa"/>
          </w:tcPr>
          <w:p>
            <w:pPr>
              <w:pStyle w:val="922"/>
              <w:pBdr/>
              <w:spacing/>
              <w:ind/>
              <w:rPr/>
            </w:pPr>
            <w:r>
              <w:t xml:space="preserve">Autenticación de dos factores: contraseña más un segundo factor, como un código temporal (TOTP).</w:t>
            </w:r>
            <w:r/>
          </w:p>
        </w:tc>
      </w:tr>
      <w:tr>
        <w:trPr>
          <w:cantSplit/>
        </w:trPr>
        <w:tc>
          <w:tcPr>
            <w:tcBorders/>
            <w:tcW w:w="1500" w:type="dxa"/>
          </w:tcPr>
          <w:p>
            <w:pPr>
              <w:pStyle w:val="922"/>
              <w:pBdr/>
              <w:spacing/>
              <w:ind/>
              <w:rPr/>
            </w:pPr>
            <w:r>
              <w:rPr>
                <w:b/>
                <w:bCs/>
              </w:rPr>
              <w:t xml:space="preserve">ASVS</w:t>
            </w:r>
            <w:r/>
          </w:p>
        </w:tc>
        <w:tc>
          <w:tcPr>
            <w:tcBorders/>
            <w:tcW w:w="7904" w:type="dxa"/>
          </w:tcPr>
          <w:p>
            <w:pPr>
              <w:pStyle w:val="922"/>
              <w:pBdr/>
              <w:spacing/>
              <w:ind/>
              <w:rPr/>
            </w:pPr>
            <w:r>
              <w:t xml:space="preserve">Application Security Verification Standard de OWASP.</w:t>
            </w:r>
            <w:r/>
          </w:p>
        </w:tc>
      </w:tr>
      <w:tr>
        <w:trPr>
          <w:cantSplit/>
        </w:trPr>
        <w:tc>
          <w:tcPr>
            <w:tcBorders/>
            <w:tcW w:w="1500" w:type="dxa"/>
          </w:tcPr>
          <w:p>
            <w:pPr>
              <w:pStyle w:val="922"/>
              <w:pBdr/>
              <w:spacing/>
              <w:ind/>
              <w:rPr/>
            </w:pPr>
            <w:r>
              <w:rPr>
                <w:b/>
                <w:bCs/>
              </w:rPr>
              <w:t xml:space="preserve">CSRF</w:t>
            </w:r>
            <w:r/>
          </w:p>
        </w:tc>
        <w:tc>
          <w:tcPr>
            <w:tcBorders/>
            <w:tcW w:w="7904" w:type="dxa"/>
          </w:tcPr>
          <w:p>
            <w:pPr>
              <w:pStyle w:val="922"/>
              <w:pBdr/>
              <w:spacing/>
              <w:ind/>
              <w:rPr/>
            </w:pPr>
            <w:r>
              <w:t xml:space="preserve">Cross-Site Request Forgery: ataque que hace ejecutar acciones no deseadas a un usuario autenticado.</w:t>
            </w:r>
            <w:r/>
          </w:p>
        </w:tc>
      </w:tr>
      <w:tr>
        <w:trPr>
          <w:cantSplit/>
        </w:trPr>
        <w:tc>
          <w:tcPr>
            <w:tcBorders/>
            <w:tcW w:w="1500" w:type="dxa"/>
          </w:tcPr>
          <w:p>
            <w:pPr>
              <w:pStyle w:val="922"/>
              <w:pBdr/>
              <w:spacing/>
              <w:ind/>
              <w:rPr/>
            </w:pPr>
            <w:r>
              <w:rPr>
                <w:b/>
                <w:bCs/>
              </w:rPr>
              <w:t xml:space="preserve">LCP, INP, CLS</w:t>
            </w:r>
            <w:r/>
          </w:p>
        </w:tc>
        <w:tc>
          <w:tcPr>
            <w:tcBorders/>
            <w:tcW w:w="7904" w:type="dxa"/>
          </w:tcPr>
          <w:p>
            <w:pPr>
              <w:pStyle w:val="922"/>
              <w:pBdr/>
              <w:spacing/>
              <w:ind/>
              <w:rPr/>
            </w:pPr>
            <w:r>
              <w:t xml:space="preserve">Métricas Core Web Vitals: tiempo de carga del contenido principal, tiempo de respuesta a la interacción y estabilidad visual.</w:t>
            </w:r>
            <w:r/>
          </w:p>
        </w:tc>
      </w:tr>
      <w:tr>
        <w:trPr>
          <w:cantSplit/>
        </w:trPr>
        <w:tc>
          <w:tcPr>
            <w:tcBorders/>
            <w:tcW w:w="1500" w:type="dxa"/>
          </w:tcPr>
          <w:p>
            <w:pPr>
              <w:pStyle w:val="922"/>
              <w:pBdr/>
              <w:spacing/>
              <w:ind/>
              <w:rPr/>
            </w:pPr>
            <w:r>
              <w:rPr>
                <w:b/>
                <w:bCs/>
              </w:rPr>
              <w:t xml:space="preserve">RPO / RTO</w:t>
            </w:r>
            <w:r/>
          </w:p>
        </w:tc>
        <w:tc>
          <w:tcPr>
            <w:tcBorders/>
            <w:tcW w:w="7904" w:type="dxa"/>
          </w:tcPr>
          <w:p>
            <w:pPr>
              <w:pStyle w:val="922"/>
              <w:pBdr/>
              <w:spacing/>
              <w:ind/>
              <w:rPr/>
            </w:pPr>
            <w:r>
              <w:t xml:space="preserve">Recovery Point Objective (pérdida máxima de datos tolerada) / Recovery Time Objective (tiempo máximo de recuperación).</w:t>
            </w:r>
            <w:r/>
          </w:p>
        </w:tc>
      </w:tr>
      <w:tr>
        <w:trPr>
          <w:cantSplit/>
        </w:trPr>
        <w:tc>
          <w:tcPr>
            <w:tcBorders/>
            <w:tcW w:w="1500" w:type="dxa"/>
          </w:tcPr>
          <w:p>
            <w:pPr>
              <w:pStyle w:val="922"/>
              <w:pBdr/>
              <w:spacing/>
              <w:ind/>
              <w:rPr/>
            </w:pPr>
            <w:r>
              <w:rPr>
                <w:b/>
                <w:bCs/>
              </w:rPr>
              <w:t xml:space="preserve">SPF, DKIM, DMARC</w:t>
            </w:r>
            <w:r/>
          </w:p>
        </w:tc>
        <w:tc>
          <w:tcPr>
            <w:tcBorders/>
            <w:tcW w:w="7904" w:type="dxa"/>
          </w:tcPr>
          <w:p>
            <w:pPr>
              <w:pStyle w:val="922"/>
              <w:pBdr/>
              <w:spacing/>
              <w:ind/>
              <w:rPr/>
            </w:pPr>
            <w:r>
              <w:t xml:space="preserve">Mecanismos de autenticación de correo electrónico.</w:t>
            </w:r>
            <w:r/>
          </w:p>
        </w:tc>
      </w:tr>
      <w:tr>
        <w:trPr>
          <w:cantSplit/>
        </w:trPr>
        <w:tc>
          <w:tcPr>
            <w:tcBorders/>
            <w:tcW w:w="1500" w:type="dxa"/>
          </w:tcPr>
          <w:p>
            <w:pPr>
              <w:pStyle w:val="922"/>
              <w:pBdr/>
              <w:spacing/>
              <w:ind/>
              <w:rPr/>
            </w:pPr>
            <w:r>
              <w:rPr>
                <w:b/>
                <w:bCs/>
              </w:rPr>
              <w:t xml:space="preserve">TLS / HSTS</w:t>
            </w:r>
            <w:r/>
          </w:p>
        </w:tc>
        <w:tc>
          <w:tcPr>
            <w:tcBorders/>
            <w:tcW w:w="7904" w:type="dxa"/>
          </w:tcPr>
          <w:p>
            <w:pPr>
              <w:pStyle w:val="922"/>
              <w:pBdr/>
              <w:spacing/>
              <w:ind/>
              <w:rPr/>
            </w:pPr>
            <w:r>
              <w:t xml:space="preserve">Transport Layer Security (cifrado en tránsito) / HTTP Strict Transport Security.</w:t>
            </w:r>
            <w:r/>
          </w:p>
        </w:tc>
      </w:tr>
      <w:tr>
        <w:trPr>
          <w:cantSplit/>
        </w:trPr>
        <w:tc>
          <w:tcPr>
            <w:tcBorders/>
            <w:tcW w:w="1500" w:type="dxa"/>
          </w:tcPr>
          <w:p>
            <w:pPr>
              <w:pStyle w:val="922"/>
              <w:pBdr/>
              <w:spacing/>
              <w:ind/>
              <w:rPr/>
            </w:pPr>
            <w:r>
              <w:rPr>
                <w:b/>
                <w:bCs/>
              </w:rPr>
              <w:t xml:space="preserve">WCAG</w:t>
            </w:r>
            <w:r/>
          </w:p>
        </w:tc>
        <w:tc>
          <w:tcPr>
            <w:tcBorders/>
            <w:tcW w:w="7904" w:type="dxa"/>
          </w:tcPr>
          <w:p>
            <w:pPr>
              <w:pStyle w:val="922"/>
              <w:pBdr/>
              <w:spacing/>
              <w:ind/>
              <w:rPr/>
            </w:pPr>
            <w:r>
              <w:t xml:space="preserve">Web Content Accessibility Guidelines del W3C.</w:t>
            </w:r>
            <w:r/>
          </w:p>
        </w:tc>
      </w:tr>
      <w:tr>
        <w:trPr>
          <w:cantSplit/>
        </w:trPr>
        <w:tc>
          <w:tcPr>
            <w:tcBorders/>
            <w:tcW w:w="1500" w:type="dxa"/>
          </w:tcPr>
          <w:p>
            <w:pPr>
              <w:pStyle w:val="922"/>
              <w:pBdr/>
              <w:spacing/>
              <w:ind/>
              <w:rPr/>
            </w:pPr>
            <w:r>
              <w:rPr>
                <w:b/>
                <w:bCs/>
              </w:rPr>
              <w:t xml:space="preserve">RF / RNF</w:t>
            </w:r>
            <w:r/>
          </w:p>
        </w:tc>
        <w:tc>
          <w:tcPr>
            <w:tcBorders/>
            <w:tcW w:w="7904" w:type="dxa"/>
          </w:tcPr>
          <w:p>
            <w:pPr>
              <w:pStyle w:val="922"/>
              <w:pBdr/>
              <w:spacing/>
              <w:ind/>
              <w:rPr/>
            </w:pPr>
            <w:r>
              <w:t xml:space="preserve">Requisito funcional / requisito no funcional.</w:t>
            </w:r>
            <w:r/>
          </w:p>
        </w:tc>
      </w:tr>
      <w:tr>
        <w:trPr>
          <w:cantSplit/>
        </w:trPr>
        <w:tc>
          <w:tcPr>
            <w:tcBorders/>
            <w:tcW w:w="1500" w:type="dxa"/>
          </w:tcPr>
          <w:p>
            <w:pPr>
              <w:pStyle w:val="922"/>
              <w:pBdr/>
              <w:spacing/>
              <w:ind/>
              <w:rPr/>
            </w:pPr>
            <w:r>
              <w:rPr>
                <w:b/>
                <w:bCs/>
              </w:rPr>
              <w:t xml:space="preserve">UMSNH</w:t>
            </w:r>
            <w:r/>
          </w:p>
        </w:tc>
        <w:tc>
          <w:tcPr>
            <w:tcBorders/>
            <w:tcW w:w="7904" w:type="dxa"/>
          </w:tcPr>
          <w:p>
            <w:pPr>
              <w:pStyle w:val="922"/>
              <w:pBdr/>
              <w:spacing/>
              <w:ind/>
              <w:rPr/>
            </w:pPr>
            <w:r>
              <w:t xml:space="preserve">Universidad Michoacana de San Nicolás de Hidalgo.</w:t>
            </w:r>
            <w:r/>
          </w:p>
        </w:tc>
      </w:tr>
      <w:tr>
        <w:trPr>
          <w:cantSplit/>
        </w:trPr>
        <w:tc>
          <w:tcPr>
            <w:tcBorders/>
            <w:tcW w:w="1500" w:type="dxa"/>
          </w:tcPr>
          <w:p>
            <w:pPr>
              <w:pStyle w:val="922"/>
              <w:pBdr/>
              <w:spacing/>
              <w:ind/>
              <w:rPr/>
            </w:pPr>
            <w:r>
              <w:rPr>
                <w:b/>
                <w:bCs/>
              </w:rPr>
              <w:t xml:space="preserve">U.D.C.</w:t>
            </w:r>
            <w:r/>
          </w:p>
        </w:tc>
        <w:tc>
          <w:tcPr>
            <w:tcBorders/>
            <w:tcW w:w="7904" w:type="dxa"/>
          </w:tcPr>
          <w:p>
            <w:pPr>
              <w:pStyle w:val="922"/>
              <w:pBdr/>
              <w:spacing/>
              <w:ind/>
              <w:rPr/>
            </w:pPr>
            <w:r>
              <w:t xml:space="preserve">Unidad Deportiva Cuauhtémoc.</w:t>
            </w:r>
            <w:r/>
          </w:p>
        </w:tc>
      </w:tr>
    </w:tbl>
    <w:p>
      <w:pPr>
        <w:pBdr/>
        <w:spacing w:after="60" w:before="0"/>
        <w:ind/>
        <w:rPr/>
      </w:pPr>
      <w:r/>
      <w:r/>
    </w:p>
    <w:p w14:paraId="2D11BA6A">
      <w:pPr>
        <w:pBdr/>
        <w:spacing w:after="60" w:before="0"/>
        <w:ind/>
        <w:rPr/>
      </w:pPr>
      <w:r/>
      <w:r/>
    </w:p>
    <w:p w14:paraId="4FDF3DBD">
      <w:pPr>
        <w:pBdr/>
        <w:spacing w:after="60" w:before="0"/>
        <w:ind/>
        <w:rPr/>
      </w:pPr>
      <w:r/>
      <w:r/>
    </w:p>
    <w:p w14:paraId="322101F1">
      <w:pPr>
        <w:pBdr/>
        <w:spacing w:after="60" w:before="0"/>
        <w:ind/>
        <w:rPr/>
      </w:pPr>
      <w:r/>
      <w:r/>
    </w:p>
    <w:p w14:paraId="770EFE5B">
      <w:pPr>
        <w:pBdr/>
        <w:spacing w:after="60" w:before="0"/>
        <w:ind/>
        <w:rPr/>
      </w:pPr>
      <w:r/>
      <w:r/>
    </w:p>
    <w:p w14:paraId="6C7993E4">
      <w:pPr>
        <w:pBdr/>
        <w:spacing w:after="60" w:before="0"/>
        <w:ind/>
        <w:rPr/>
      </w:pPr>
      <w:r/>
      <w:r/>
    </w:p>
    <w:p w14:paraId="31053DF2">
      <w:pPr>
        <w:pBdr/>
        <w:spacing w:after="60" w:before="0"/>
        <w:ind/>
        <w:rPr/>
      </w:pPr>
      <w:r/>
      <w:r/>
    </w:p>
    <w:p w14:paraId="7720D977">
      <w:pPr>
        <w:pBdr/>
        <w:spacing w:after="60" w:before="0"/>
        <w:ind/>
        <w:rPr/>
      </w:pPr>
      <w:r/>
      <w:r/>
    </w:p>
    <w:p w14:paraId="3C1AB4B7">
      <w:pPr>
        <w:pBdr/>
        <w:spacing w:after="60" w:before="0"/>
        <w:ind/>
        <w:rPr/>
      </w:pPr>
      <w:r/>
      <w:r/>
    </w:p>
    <w:p w14:paraId="3EC5622D">
      <w:pPr>
        <w:pBdr/>
        <w:spacing w:after="60" w:before="0"/>
        <w:ind/>
        <w:rPr/>
      </w:pPr>
      <w:r/>
      <w:r/>
    </w:p>
    <w:p>
      <w:pPr>
        <w:pBdr/>
        <w:spacing w:after="60" w:before="0"/>
        <w:ind/>
        <w:rPr/>
      </w:pPr>
      <w:r/>
      <w:r/>
    </w:p>
    <w:p>
      <w:pPr>
        <w:pStyle w:val="916"/>
        <w:pBdr/>
        <w:spacing/>
        <w:ind/>
        <w:rPr/>
      </w:pPr>
      <w:r/>
      <w:bookmarkStart w:id="6" w:name="_Toc100006"/>
      <w:r>
        <w:t xml:space="preserve">1.5 Referencias</w:t>
      </w:r>
      <w:bookmarkEnd w:id="6"/>
      <w:r/>
      <w:r/>
    </w:p>
    <w:p>
      <w:pPr>
        <w:pBdr/>
        <w:spacing/>
        <w:ind/>
        <w:rPr/>
      </w:pPr>
      <w:r>
        <w:t xml:space="preserve">Los documentos de la Liga son públicos; las copias usadas forman parte de los archivos del equipo.</w:t>
      </w:r>
      <w:r/>
    </w:p>
    <w:p>
      <w:pPr>
        <w:pStyle w:val="923"/>
        <w:keepNext w:val="true"/>
        <w:pBdr/>
        <w:spacing/>
        <w:ind/>
        <w:rPr/>
      </w:pPr>
      <w:r>
        <w:rPr>
          <w:b/>
          <w:bCs/>
          <w:color w:val="241a61"/>
          <w:sz w:val="18"/>
          <w:szCs w:val="18"/>
        </w:rPr>
        <w:t xml:space="preserve">Tabla 6. </w:t>
      </w:r>
      <w:r>
        <w:rPr>
          <w:sz w:val="18"/>
          <w:szCs w:val="18"/>
        </w:rPr>
        <w:t xml:space="preserve">Documentos citados.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900"/>
        <w:gridCol w:w="4000"/>
        <w:gridCol w:w="2100"/>
        <w:gridCol w:w="2404"/>
      </w:tblGrid>
      <w:tr>
        <w:trPr>
          <w:cantSplit/>
          <w:tblHeader/>
        </w:trPr>
        <w:tc>
          <w:tcPr>
            <w:shd w:val="clear" w:color="auto" w:fill="241a61"/>
            <w:tcBorders/>
            <w:tcW w:w="900" w:type="dxa"/>
          </w:tcPr>
          <w:p>
            <w:pPr>
              <w:pStyle w:val="922"/>
              <w:pBdr/>
              <w:spacing/>
              <w:ind/>
              <w:rPr/>
            </w:pPr>
            <w:r>
              <w:rPr>
                <w:b/>
                <w:bCs/>
                <w:color w:val="ffffff"/>
              </w:rPr>
              <w:t xml:space="preserve">ID</w:t>
            </w:r>
            <w:r/>
          </w:p>
        </w:tc>
        <w:tc>
          <w:tcPr>
            <w:shd w:val="clear" w:color="auto" w:fill="241a61"/>
            <w:tcBorders/>
            <w:tcW w:w="4000" w:type="dxa"/>
          </w:tcPr>
          <w:p>
            <w:pPr>
              <w:pStyle w:val="922"/>
              <w:pBdr/>
              <w:spacing/>
              <w:ind/>
              <w:rPr/>
            </w:pPr>
            <w:r>
              <w:rPr>
                <w:b/>
                <w:bCs/>
                <w:color w:val="ffffff"/>
              </w:rPr>
              <w:t xml:space="preserve">Documento</w:t>
            </w:r>
            <w:r/>
          </w:p>
        </w:tc>
        <w:tc>
          <w:tcPr>
            <w:shd w:val="clear" w:color="auto" w:fill="241a61"/>
            <w:tcBorders/>
            <w:tcW w:w="2100" w:type="dxa"/>
          </w:tcPr>
          <w:p>
            <w:pPr>
              <w:pStyle w:val="922"/>
              <w:pBdr/>
              <w:spacing/>
              <w:ind/>
              <w:rPr/>
            </w:pPr>
            <w:r>
              <w:rPr>
                <w:b/>
                <w:bCs/>
                <w:color w:val="ffffff"/>
              </w:rPr>
              <w:t xml:space="preserve">Emisor y fecha</w:t>
            </w:r>
            <w:r/>
          </w:p>
        </w:tc>
        <w:tc>
          <w:tcPr>
            <w:shd w:val="clear" w:color="auto" w:fill="241a61"/>
            <w:tcBorders/>
            <w:tcW w:w="2404" w:type="dxa"/>
          </w:tcPr>
          <w:p>
            <w:pPr>
              <w:pStyle w:val="922"/>
              <w:pBdr/>
              <w:spacing/>
              <w:ind/>
              <w:rPr/>
            </w:pPr>
            <w:r>
              <w:rPr>
                <w:b/>
                <w:bCs/>
                <w:color w:val="ffffff"/>
              </w:rPr>
              <w:t xml:space="preserve">Ubicación</w:t>
            </w:r>
            <w:r/>
          </w:p>
        </w:tc>
      </w:tr>
      <w:tr>
        <w:trPr>
          <w:cantSplit/>
        </w:trPr>
        <w:tc>
          <w:tcPr>
            <w:tcBorders/>
            <w:tcW w:w="900" w:type="dxa"/>
          </w:tcPr>
          <w:p>
            <w:pPr>
              <w:pStyle w:val="922"/>
              <w:pBdr/>
              <w:spacing/>
              <w:ind/>
              <w:rPr/>
            </w:pPr>
            <w:r>
              <w:t xml:space="preserve">REF-01</w:t>
            </w:r>
            <w:r/>
          </w:p>
        </w:tc>
        <w:tc>
          <w:tcPr>
            <w:tcBorders/>
            <w:tcW w:w="4000" w:type="dxa"/>
          </w:tcPr>
          <w:p>
            <w:pPr>
              <w:pStyle w:val="922"/>
              <w:pBdr/>
              <w:spacing/>
              <w:ind/>
              <w:rPr/>
            </w:pPr>
            <w:r>
              <w:t xml:space="preserve">Convocatoria Temporada 2026–2027, ramas libre y de veteranos. </w:t>
            </w:r>
            <w:r>
              <w:rPr>
                <w:i/>
                <w:iCs/>
              </w:rPr>
              <w:t xml:space="preserve">Norma de la Liga.</w:t>
            </w:r>
            <w:r/>
          </w:p>
        </w:tc>
        <w:tc>
          <w:tcPr>
            <w:tcBorders/>
            <w:tcW w:w="2100" w:type="dxa"/>
          </w:tcPr>
          <w:p>
            <w:pPr>
              <w:pStyle w:val="922"/>
              <w:pBdr/>
              <w:spacing/>
              <w:ind/>
              <w:rPr/>
            </w:pPr>
            <w:r>
              <w:t xml:space="preserve">Consejo Directivo de la Liga, 03/08/2026.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REF-02</w:t>
            </w:r>
            <w:r/>
          </w:p>
        </w:tc>
        <w:tc>
          <w:tcPr>
            <w:tcBorders/>
            <w:tcW w:w="4000" w:type="dxa"/>
          </w:tcPr>
          <w:p>
            <w:pPr>
              <w:pStyle w:val="922"/>
              <w:pBdr/>
              <w:spacing/>
              <w:ind/>
              <w:rPr/>
            </w:pPr>
            <w:r>
              <w:t xml:space="preserve">Convocatoria Temporada 2026–2027, Rama Infantil. </w:t>
            </w:r>
            <w:r>
              <w:rPr>
                <w:i/>
                <w:iCs/>
              </w:rPr>
              <w:t xml:space="preserve">Norma de la Liga.</w:t>
            </w:r>
            <w:r/>
          </w:p>
        </w:tc>
        <w:tc>
          <w:tcPr>
            <w:tcBorders/>
            <w:tcW w:w="2100" w:type="dxa"/>
          </w:tcPr>
          <w:p>
            <w:pPr>
              <w:pStyle w:val="922"/>
              <w:pBdr/>
              <w:spacing/>
              <w:ind/>
              <w:rPr/>
            </w:pPr>
            <w:r>
              <w:t xml:space="preserve">Consejo Directivo y Comisión de la Rama Infantil, 03/08/2026.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REF-03</w:t>
            </w:r>
            <w:r/>
          </w:p>
        </w:tc>
        <w:tc>
          <w:tcPr>
            <w:tcBorders/>
            <w:tcW w:w="4000" w:type="dxa"/>
          </w:tcPr>
          <w:p>
            <w:pPr>
              <w:pStyle w:val="922"/>
              <w:pBdr/>
              <w:spacing/>
              <w:ind/>
              <w:rPr/>
            </w:pPr>
            <w:r>
              <w:t xml:space="preserve">Programación oficial, Rama Infantil, 5.º Torneo de Verano 2026, jornada 11. </w:t>
            </w:r>
            <w:r>
              <w:rPr>
                <w:i/>
                <w:iCs/>
              </w:rPr>
              <w:t xml:space="preserve">Documento operativo.</w:t>
            </w:r>
            <w:r/>
          </w:p>
        </w:tc>
        <w:tc>
          <w:tcPr>
            <w:tcBorders/>
            <w:tcW w:w="2100" w:type="dxa"/>
          </w:tcPr>
          <w:p>
            <w:pPr>
              <w:pStyle w:val="922"/>
              <w:pBdr/>
              <w:spacing/>
              <w:ind/>
              <w:rPr/>
            </w:pPr>
            <w:r>
              <w:t xml:space="preserve">Liga, 03/10/2026.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REF-04</w:t>
            </w:r>
            <w:r/>
          </w:p>
        </w:tc>
        <w:tc>
          <w:tcPr>
            <w:tcBorders/>
            <w:tcW w:w="4000" w:type="dxa"/>
          </w:tcPr>
          <w:p>
            <w:pPr>
              <w:pStyle w:val="922"/>
              <w:pBdr/>
              <w:spacing/>
              <w:ind/>
              <w:rPr/>
            </w:pPr>
            <w:r>
              <w:t xml:space="preserve">Reglas de Juego 2026/27. </w:t>
            </w:r>
            <w:r>
              <w:rPr>
                <w:i/>
                <w:iCs/>
              </w:rPr>
              <w:t xml:space="preserve">Norma de referencia (reglas del juego).</w:t>
            </w:r>
            <w:r/>
          </w:p>
        </w:tc>
        <w:tc>
          <w:tcPr>
            <w:tcBorders/>
            <w:tcW w:w="2100" w:type="dxa"/>
          </w:tcPr>
          <w:p>
            <w:pPr>
              <w:pStyle w:val="922"/>
              <w:pBdr/>
              <w:spacing/>
              <w:ind/>
              <w:rPr/>
            </w:pPr>
            <w:r>
              <w:t xml:space="preserve">IFAB; en vigor desde el 01/07/2026.</w:t>
            </w:r>
            <w:r/>
          </w:p>
        </w:tc>
        <w:tc>
          <w:tcPr>
            <w:tcBorders/>
            <w:tcW w:w="2404" w:type="dxa"/>
          </w:tcPr>
          <w:p>
            <w:pPr>
              <w:pStyle w:val="922"/>
              <w:pBdr/>
              <w:spacing/>
              <w:ind/>
              <w:rPr/>
            </w:pPr>
            <w:r/>
            <w:hyperlink r:id="rId11" w:tooltip="https://www.theifab.com/es/laws-of-the-game-documents/" w:history="1">
              <w:r>
                <w:rPr>
                  <w:rStyle w:val="929"/>
                </w:rPr>
                <w:t xml:space="preserve">https://www.theifab.com/es/laws-of-the-game-documents/</w:t>
              </w:r>
            </w:hyperlink>
            <w:r/>
            <w:r/>
          </w:p>
        </w:tc>
      </w:tr>
      <w:tr>
        <w:trPr>
          <w:cantSplit/>
        </w:trPr>
        <w:tc>
          <w:tcPr>
            <w:tcBorders/>
            <w:tcW w:w="900" w:type="dxa"/>
          </w:tcPr>
          <w:p>
            <w:pPr>
              <w:pStyle w:val="922"/>
              <w:pBdr/>
              <w:spacing/>
              <w:ind/>
              <w:rPr/>
            </w:pPr>
            <w:r>
              <w:t xml:space="preserve">REF-05</w:t>
            </w:r>
            <w:r/>
          </w:p>
        </w:tc>
        <w:tc>
          <w:tcPr>
            <w:tcBorders/>
            <w:tcW w:w="4000" w:type="dxa"/>
          </w:tcPr>
          <w:p>
            <w:pPr>
              <w:pStyle w:val="922"/>
              <w:pBdr/>
              <w:spacing/>
              <w:ind/>
              <w:rPr/>
            </w:pPr>
            <w:r>
              <w:t xml:space="preserve">Reglamento de Sanciones del Sector Amateur. </w:t>
            </w:r>
            <w:r>
              <w:rPr>
                <w:i/>
                <w:iCs/>
              </w:rPr>
              <w:t xml:space="preserve">Norma de referencia (disciplina).</w:t>
            </w:r>
            <w:r/>
          </w:p>
        </w:tc>
        <w:tc>
          <w:tcPr>
            <w:tcBorders/>
            <w:tcW w:w="2100" w:type="dxa"/>
          </w:tcPr>
          <w:p>
            <w:pPr>
              <w:pStyle w:val="922"/>
              <w:pBdr/>
              <w:spacing/>
              <w:ind/>
              <w:rPr/>
            </w:pPr>
            <w:r>
              <w:t xml:space="preserve">FMF, Comité Directivo del Sector Amateur; 07/12/2018.</w:t>
            </w:r>
            <w:r/>
          </w:p>
        </w:tc>
        <w:tc>
          <w:tcPr>
            <w:tcBorders/>
            <w:tcW w:w="2404" w:type="dxa"/>
          </w:tcPr>
          <w:p>
            <w:pPr>
              <w:pStyle w:val="922"/>
              <w:pBdr/>
              <w:spacing/>
              <w:ind/>
              <w:rPr/>
            </w:pPr>
            <w:r/>
            <w:hyperlink r:id="rId12" w:tooltip="https://amateur.fmf.mx/assets/Docs/Reglamentos/Sanciones.pdf" w:history="1">
              <w:r>
                <w:rPr>
                  <w:rStyle w:val="929"/>
                </w:rPr>
                <w:t xml:space="preserve">https://amateur.fmf.mx/assets/Docs/Reglamentos/Sanciones.pdf</w:t>
              </w:r>
            </w:hyperlink>
            <w:r/>
            <w:r/>
          </w:p>
        </w:tc>
      </w:tr>
      <w:tr>
        <w:trPr>
          <w:cantSplit/>
        </w:trPr>
        <w:tc>
          <w:tcPr>
            <w:tcBorders/>
            <w:tcW w:w="900" w:type="dxa"/>
          </w:tcPr>
          <w:p>
            <w:pPr>
              <w:pStyle w:val="922"/>
              <w:pBdr/>
              <w:spacing/>
              <w:ind/>
              <w:rPr/>
            </w:pPr>
            <w:r>
              <w:t xml:space="preserve">REF-06</w:t>
            </w:r>
            <w:r/>
          </w:p>
        </w:tc>
        <w:tc>
          <w:tcPr>
            <w:tcBorders/>
            <w:tcW w:w="4000" w:type="dxa"/>
          </w:tcPr>
          <w:p>
            <w:pPr>
              <w:pStyle w:val="922"/>
              <w:pBdr/>
              <w:spacing/>
              <w:ind/>
              <w:rPr/>
            </w:pPr>
            <w:r>
              <w:t xml:space="preserve">Sistema de Gestión de la Liga Municipal de Futbol Amateur Morelia: documento de visión, alcance y requerimientos preliminares (presentación). </w:t>
            </w:r>
            <w:r>
              <w:rPr>
                <w:i/>
                <w:iCs/>
              </w:rPr>
              <w:t xml:space="preserve">Fuente secundaria.</w:t>
            </w:r>
            <w:r/>
          </w:p>
        </w:tc>
        <w:tc>
          <w:tcPr>
            <w:tcBorders/>
            <w:tcW w:w="2100" w:type="dxa"/>
          </w:tcPr>
          <w:p>
            <w:pPr>
              <w:pStyle w:val="922"/>
              <w:pBdr/>
              <w:spacing/>
              <w:ind/>
              <w:rPr/>
            </w:pPr>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REF-07</w:t>
            </w:r>
            <w:r/>
          </w:p>
        </w:tc>
        <w:tc>
          <w:tcPr>
            <w:tcBorders/>
            <w:tcW w:w="4000" w:type="dxa"/>
          </w:tcPr>
          <w:p>
            <w:pPr>
              <w:pStyle w:val="922"/>
              <w:pBdr/>
              <w:spacing/>
              <w:ind/>
              <w:rPr/>
            </w:pPr>
            <w:r>
              <w:t xml:space="preserve">Respuestas al cuestionario de levantamiento (P1 a P23) y aclaraciones posteriores. </w:t>
            </w:r>
            <w:r>
              <w:rPr>
                <w:i/>
                <w:iCs/>
              </w:rPr>
              <w:t xml:space="preserve">Información del cliente.</w:t>
            </w:r>
            <w:r/>
          </w:p>
        </w:tc>
        <w:tc>
          <w:tcPr>
            <w:tcBorders/>
            <w:tcW w:w="2100" w:type="dxa"/>
          </w:tcPr>
          <w:p>
            <w:pPr>
              <w:pStyle w:val="922"/>
              <w:pBdr/>
              <w:spacing/>
              <w:ind/>
              <w:rPr/>
            </w:pPr>
            <w:r>
              <w:t xml:space="preserve">Equipo del proyecto, octubre de 2026.</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REF-08</w:t>
            </w:r>
            <w:r/>
          </w:p>
        </w:tc>
        <w:tc>
          <w:tcPr>
            <w:tcBorders/>
            <w:tcW w:w="4000" w:type="dxa"/>
          </w:tcPr>
          <w:p>
            <w:pPr>
              <w:pStyle w:val="922"/>
              <w:pBdr/>
              <w:spacing/>
              <w:ind/>
              <w:rPr/>
            </w:pPr>
            <w:r>
              <w:t xml:space="preserve">Plantilla «Especificación de requisitos de software» (ERS simplificado), basada en IEEE Std 830-1998.</w:t>
            </w:r>
            <w:r/>
          </w:p>
        </w:tc>
        <w:tc>
          <w:tcPr>
            <w:tcBorders/>
            <w:tcW w:w="2100" w:type="dxa"/>
          </w:tcPr>
          <w:p>
            <w:pPr>
              <w:pStyle w:val="922"/>
              <w:pBdr/>
              <w:spacing/>
              <w:ind/>
              <w:rPr/>
            </w:pPr>
            <w:r>
              <w:t xml:space="preserve">27/02/2023.</w:t>
            </w:r>
            <w:r/>
          </w:p>
        </w:tc>
        <w:tc>
          <w:tcPr>
            <w:tcBorders/>
            <w:tcW w:w="2404" w:type="dxa"/>
          </w:tcPr>
          <w:p>
            <w:pPr>
              <w:pStyle w:val="922"/>
              <w:pBdr/>
              <w:spacing/>
              <w:ind/>
              <w:rPr/>
            </w:pPr>
            <w:r>
              <w:t xml:space="preserve">Archivos del equipo</w:t>
            </w:r>
            <w:r/>
          </w:p>
        </w:tc>
      </w:tr>
      <w:tr>
        <w:trPr>
          <w:cantSplit/>
        </w:trPr>
        <w:tc>
          <w:tcPr>
            <w:tcBorders/>
            <w:tcW w:w="900" w:type="dxa"/>
          </w:tcPr>
          <w:p>
            <w:pPr>
              <w:pStyle w:val="922"/>
              <w:pBdr/>
              <w:spacing/>
              <w:ind/>
              <w:rPr/>
            </w:pPr>
            <w:r>
              <w:t xml:space="preserve">REF-09</w:t>
            </w:r>
            <w:r/>
          </w:p>
        </w:tc>
        <w:tc>
          <w:tcPr>
            <w:tcBorders/>
            <w:tcW w:w="4000" w:type="dxa"/>
          </w:tcPr>
          <w:p>
            <w:pPr>
              <w:pStyle w:val="922"/>
              <w:pBdr/>
              <w:spacing/>
              <w:ind/>
              <w:rPr/>
            </w:pPr>
            <w:r>
              <w:t xml:space="preserve">ISO/IEC/IEEE 29148:2018, Requirements engineering. </w:t>
            </w:r>
            <w:r>
              <w:rPr>
                <w:i/>
                <w:iCs/>
              </w:rPr>
              <w:t xml:space="preserve">Norma técnica.</w:t>
            </w:r>
            <w:r/>
          </w:p>
        </w:tc>
        <w:tc>
          <w:tcPr>
            <w:tcBorders/>
            <w:tcW w:w="2100" w:type="dxa"/>
          </w:tcPr>
          <w:p>
            <w:pPr>
              <w:pStyle w:val="922"/>
              <w:pBdr/>
              <w:spacing/>
              <w:ind/>
              <w:rPr/>
            </w:pPr>
            <w:r>
              <w:t xml:space="preserve">ISO, IEC e IEEE, noviembre de 2018.</w:t>
            </w:r>
            <w:r/>
          </w:p>
        </w:tc>
        <w:tc>
          <w:tcPr>
            <w:tcBorders/>
            <w:tcW w:w="2404" w:type="dxa"/>
          </w:tcPr>
          <w:p>
            <w:pPr>
              <w:pStyle w:val="922"/>
              <w:pBdr/>
              <w:spacing/>
              <w:ind/>
              <w:rPr/>
            </w:pPr>
            <w:r/>
            <w:hyperlink r:id="rId13" w:tooltip="https://www.iso.org/standard/72089.html" w:history="1">
              <w:r>
                <w:rPr>
                  <w:rStyle w:val="929"/>
                </w:rPr>
                <w:t xml:space="preserve">https://www.iso.org/standard/72089.html</w:t>
              </w:r>
            </w:hyperlink>
            <w:r/>
            <w:r/>
          </w:p>
        </w:tc>
      </w:tr>
      <w:tr>
        <w:trPr>
          <w:cantSplit/>
        </w:trPr>
        <w:tc>
          <w:tcPr>
            <w:tcBorders/>
            <w:tcW w:w="900" w:type="dxa"/>
          </w:tcPr>
          <w:p>
            <w:pPr>
              <w:pStyle w:val="922"/>
              <w:pBdr/>
              <w:spacing/>
              <w:ind/>
              <w:rPr/>
            </w:pPr>
            <w:r>
              <w:t xml:space="preserve">REF-10</w:t>
            </w:r>
            <w:r/>
          </w:p>
        </w:tc>
        <w:tc>
          <w:tcPr>
            <w:tcBorders/>
            <w:tcW w:w="4000" w:type="dxa"/>
          </w:tcPr>
          <w:p>
            <w:pPr>
              <w:pStyle w:val="922"/>
              <w:pBdr/>
              <w:spacing/>
              <w:ind/>
              <w:rPr/>
            </w:pPr>
            <w:r>
              <w:t xml:space="preserve">IEEE Std 830-1998, Recommended Practice for Software Requirements Specifications. </w:t>
            </w:r>
            <w:r>
              <w:rPr>
                <w:i/>
                <w:iCs/>
              </w:rPr>
              <w:t xml:space="preserve">Referencia histórica.</w:t>
            </w:r>
            <w:r/>
          </w:p>
        </w:tc>
        <w:tc>
          <w:tcPr>
            <w:tcBorders/>
            <w:tcW w:w="2100" w:type="dxa"/>
          </w:tcPr>
          <w:p>
            <w:pPr>
              <w:pStyle w:val="922"/>
              <w:pBdr/>
              <w:spacing/>
              <w:ind/>
              <w:rPr/>
            </w:pPr>
            <w:r>
              <w:t xml:space="preserve">IEEE, 1998.</w:t>
            </w:r>
            <w:r/>
          </w:p>
        </w:tc>
        <w:tc>
          <w:tcPr>
            <w:tcBorders/>
            <w:tcW w:w="2404" w:type="dxa"/>
          </w:tcPr>
          <w:p>
            <w:pPr>
              <w:pStyle w:val="922"/>
              <w:pBdr/>
              <w:spacing/>
              <w:ind/>
              <w:rPr/>
            </w:pPr>
            <w:r>
              <w:t xml:space="preserve">Antecedente de REF-08.</w:t>
            </w:r>
            <w:r/>
          </w:p>
        </w:tc>
      </w:tr>
      <w:tr>
        <w:trPr>
          <w:cantSplit/>
        </w:trPr>
        <w:tc>
          <w:tcPr>
            <w:tcBorders/>
            <w:tcW w:w="900" w:type="dxa"/>
          </w:tcPr>
          <w:p>
            <w:pPr>
              <w:pStyle w:val="922"/>
              <w:pBdr/>
              <w:spacing/>
              <w:ind/>
              <w:rPr/>
            </w:pPr>
            <w:r>
              <w:t xml:space="preserve">REF-11</w:t>
            </w:r>
            <w:r/>
          </w:p>
        </w:tc>
        <w:tc>
          <w:tcPr>
            <w:tcBorders/>
            <w:tcW w:w="4000" w:type="dxa"/>
          </w:tcPr>
          <w:p>
            <w:pPr>
              <w:pStyle w:val="922"/>
              <w:pBdr/>
              <w:spacing/>
              <w:ind/>
              <w:rPr/>
            </w:pPr>
            <w:r>
              <w:t xml:space="preserve">ISO/IEC 25010:2023, Systems and software engineering — SQuaRE — Product quality model. Norma técnica para los RNF (sección 3.3).</w:t>
            </w:r>
            <w:r>
              <w:rPr>
                <w:i/>
                <w:iCs/>
              </w:rPr>
            </w:r>
            <w:r/>
          </w:p>
        </w:tc>
        <w:tc>
          <w:tcPr>
            <w:tcBorders/>
            <w:tcW w:w="2100" w:type="dxa"/>
          </w:tcPr>
          <w:p>
            <w:pPr>
              <w:pStyle w:val="922"/>
              <w:pBdr/>
              <w:spacing/>
              <w:ind/>
              <w:rPr/>
            </w:pPr>
            <w:r>
              <w:t xml:space="preserve">ISO e IEC, 15/11/2023 (2.ª edición; sustituye a la de 2011).</w:t>
            </w:r>
            <w:r/>
          </w:p>
        </w:tc>
        <w:tc>
          <w:tcPr>
            <w:tcBorders/>
            <w:tcW w:w="2404" w:type="dxa"/>
          </w:tcPr>
          <w:p>
            <w:pPr>
              <w:pStyle w:val="922"/>
              <w:pBdr/>
              <w:spacing/>
              <w:ind/>
              <w:rPr/>
            </w:pPr>
            <w:r>
              <w:t xml:space="preserve">https://www.iso.org/standard/78176.html</w:t>
            </w:r>
            <w:r/>
          </w:p>
        </w:tc>
      </w:tr>
      <w:tr>
        <w:trPr>
          <w:cantSplit/>
        </w:trPr>
        <w:tc>
          <w:tcPr>
            <w:tcBorders/>
            <w:tcW w:w="900" w:type="dxa"/>
          </w:tcPr>
          <w:p>
            <w:pPr>
              <w:pStyle w:val="922"/>
              <w:pBdr/>
              <w:spacing/>
              <w:ind/>
              <w:rPr/>
            </w:pPr>
            <w:r>
              <w:t xml:space="preserve">REF-12</w:t>
            </w:r>
            <w:r/>
          </w:p>
        </w:tc>
        <w:tc>
          <w:tcPr>
            <w:tcBorders/>
            <w:tcW w:w="4000" w:type="dxa"/>
          </w:tcPr>
          <w:p>
            <w:pPr>
              <w:pStyle w:val="922"/>
              <w:pBdr/>
              <w:spacing/>
              <w:ind/>
              <w:rPr/>
            </w:pPr>
            <w:r>
              <w:t xml:space="preserve">Ley Federal de Protección de Datos Personales en Posesión de los Particulares. </w:t>
            </w:r>
            <w:r>
              <w:rPr>
                <w:i/>
                <w:iCs/>
              </w:rPr>
              <w:t xml:space="preserve">Norma legal.</w:t>
            </w:r>
            <w:r/>
          </w:p>
        </w:tc>
        <w:tc>
          <w:tcPr>
            <w:tcBorders/>
            <w:tcW w:w="2100" w:type="dxa"/>
          </w:tcPr>
          <w:p>
            <w:pPr>
              <w:pStyle w:val="922"/>
              <w:pBdr/>
              <w:spacing/>
              <w:ind/>
              <w:rPr/>
            </w:pPr>
            <w:r>
              <w:t xml:space="preserve">DOF 20/03/2025; vigente desde el 21/03/2025.</w:t>
            </w:r>
            <w:r/>
          </w:p>
        </w:tc>
        <w:tc>
          <w:tcPr>
            <w:tcBorders/>
            <w:tcW w:w="2404" w:type="dxa"/>
          </w:tcPr>
          <w:p>
            <w:pPr>
              <w:pStyle w:val="922"/>
              <w:pBdr/>
              <w:spacing/>
              <w:ind/>
              <w:rPr/>
            </w:pPr>
            <w:r/>
            <w:hyperlink r:id="rId14" w:tooltip="https://www.diputados.gob.mx/LeyesBiblio/pdf/LFPDPPP.pdf" w:history="1">
              <w:r>
                <w:rPr>
                  <w:rStyle w:val="929"/>
                </w:rPr>
                <w:t xml:space="preserve">https://www.diputados.gob.mx/LeyesBiblio/pdf/LFPDPPP.pdf</w:t>
              </w:r>
            </w:hyperlink>
            <w:r/>
            <w:r/>
          </w:p>
        </w:tc>
      </w:tr>
      <w:tr>
        <w:trPr>
          <w:cantSplit/>
        </w:trPr>
        <w:tc>
          <w:tcPr>
            <w:tcBorders/>
            <w:tcW w:w="900" w:type="dxa"/>
          </w:tcPr>
          <w:p>
            <w:pPr>
              <w:pStyle w:val="922"/>
              <w:pBdr/>
              <w:spacing/>
              <w:ind/>
              <w:rPr/>
            </w:pPr>
            <w:r>
              <w:t xml:space="preserve">REF-13</w:t>
            </w:r>
            <w:r/>
          </w:p>
        </w:tc>
        <w:tc>
          <w:tcPr>
            <w:tcBorders/>
            <w:tcW w:w="4000" w:type="dxa"/>
          </w:tcPr>
          <w:p>
            <w:pPr>
              <w:pStyle w:val="922"/>
              <w:pBdr/>
              <w:spacing/>
              <w:ind/>
              <w:rPr/>
            </w:pPr>
            <w:r>
              <w:t xml:space="preserve">«Nosotros», sitio oficial del IMCUFIDE. </w:t>
            </w:r>
            <w:r>
              <w:rPr>
                <w:i/>
                <w:iCs/>
              </w:rPr>
              <w:t xml:space="preserve">Fuente secundaria.</w:t>
            </w:r>
            <w:r/>
          </w:p>
        </w:tc>
        <w:tc>
          <w:tcPr>
            <w:tcBorders/>
            <w:tcW w:w="2100" w:type="dxa"/>
          </w:tcPr>
          <w:p>
            <w:pPr>
              <w:pStyle w:val="922"/>
              <w:pBdr/>
              <w:spacing/>
              <w:ind/>
              <w:rPr/>
            </w:pPr>
            <w:r>
              <w:t xml:space="preserve">IMCUFIDE, consulta de octubre de 2026.</w:t>
            </w:r>
            <w:r/>
          </w:p>
        </w:tc>
        <w:tc>
          <w:tcPr>
            <w:tcBorders/>
            <w:tcW w:w="2404" w:type="dxa"/>
          </w:tcPr>
          <w:p>
            <w:pPr>
              <w:pStyle w:val="922"/>
              <w:pBdr/>
              <w:spacing/>
              <w:ind/>
              <w:rPr/>
            </w:pPr>
            <w:r/>
            <w:hyperlink r:id="rId15" w:tooltip="https://imcufide.org/nosotros/" w:history="1">
              <w:r>
                <w:rPr>
                  <w:rStyle w:val="929"/>
                </w:rPr>
                <w:t xml:space="preserve">https://imcufide.org/nosotros/</w:t>
              </w:r>
            </w:hyperlink>
            <w:r/>
            <w:r/>
          </w:p>
        </w:tc>
      </w:tr>
      <w:tr>
        <w:trPr>
          <w:cantSplit/>
        </w:trPr>
        <w:tc>
          <w:tcPr>
            <w:tcBorders/>
            <w:tcW w:w="900" w:type="dxa"/>
          </w:tcPr>
          <w:p>
            <w:pPr>
              <w:pStyle w:val="922"/>
              <w:pBdr/>
              <w:spacing/>
              <w:ind/>
              <w:rPr/>
            </w:pPr>
            <w:r>
              <w:t xml:space="preserve">REF-14</w:t>
            </w:r>
            <w:r/>
          </w:p>
        </w:tc>
        <w:tc>
          <w:tcPr>
            <w:tcBorders/>
            <w:tcW w:w="4000" w:type="dxa"/>
          </w:tcPr>
          <w:p>
            <w:pPr>
              <w:pStyle w:val="922"/>
              <w:pBdr/>
              <w:spacing/>
              <w:ind/>
              <w:rPr/>
            </w:pPr>
            <w:r>
              <w:t xml:space="preserve">«Abre convocatoria la Liga Municipal de Futbol Amateur Morelia para la nueva temporada 2025-2026». </w:t>
            </w:r>
            <w:r>
              <w:rPr>
                <w:i/>
                <w:iCs/>
              </w:rPr>
              <w:t xml:space="preserve">Prensa.</w:t>
            </w:r>
            <w:r/>
          </w:p>
        </w:tc>
        <w:tc>
          <w:tcPr>
            <w:tcBorders/>
            <w:tcW w:w="2100" w:type="dxa"/>
          </w:tcPr>
          <w:p>
            <w:pPr>
              <w:pStyle w:val="922"/>
              <w:pBdr/>
              <w:spacing/>
              <w:ind/>
              <w:rPr/>
            </w:pPr>
            <w:r>
              <w:t xml:space="preserve">Contramuro, 27/08/2025.</w:t>
            </w:r>
            <w:r/>
          </w:p>
        </w:tc>
        <w:tc>
          <w:tcPr>
            <w:tcBorders/>
            <w:tcW w:w="2404" w:type="dxa"/>
          </w:tcPr>
          <w:p>
            <w:pPr>
              <w:pStyle w:val="922"/>
              <w:pBdr/>
              <w:spacing/>
              <w:ind/>
              <w:rPr/>
            </w:pPr>
            <w:r/>
            <w:hyperlink r:id="rId16" w:tooltip="https://www.contramuro.com/convocatoria-para-liga-municipal-de-futbol-morelia-2025-2026/" w:history="1">
              <w:r>
                <w:rPr>
                  <w:rStyle w:val="929"/>
                </w:rPr>
                <w:t xml:space="preserve">https://www.contramuro.com/convocatoria-para-liga-municipal-de-futbol-morelia-2025-2026/</w:t>
              </w:r>
            </w:hyperlink>
            <w:r/>
            <w:r/>
          </w:p>
        </w:tc>
      </w:tr>
      <w:tr>
        <w:trPr>
          <w:cantSplit/>
        </w:trPr>
        <w:tc>
          <w:tcPr>
            <w:tcBorders/>
            <w:tcW w:w="900" w:type="dxa"/>
          </w:tcPr>
          <w:p>
            <w:pPr>
              <w:pStyle w:val="922"/>
              <w:pBdr/>
              <w:spacing/>
              <w:ind/>
              <w:rPr/>
            </w:pPr>
            <w:r>
              <w:t xml:space="preserve">REF-15</w:t>
            </w:r>
            <w:r/>
          </w:p>
        </w:tc>
        <w:tc>
          <w:tcPr>
            <w:tcBorders/>
            <w:tcW w:w="4000" w:type="dxa"/>
          </w:tcPr>
          <w:p>
            <w:pPr>
              <w:pStyle w:val="922"/>
              <w:pBdr/>
              <w:spacing/>
              <w:ind/>
              <w:rPr/>
            </w:pPr>
            <w:r>
              <w:t xml:space="preserve">«Regresa la Liga Municipal de Futbol Amateur Morelia». </w:t>
            </w:r>
            <w:r>
              <w:rPr>
                <w:i/>
                <w:iCs/>
              </w:rPr>
              <w:t xml:space="preserve">Prensa.</w:t>
            </w:r>
            <w:r/>
          </w:p>
        </w:tc>
        <w:tc>
          <w:tcPr>
            <w:tcBorders/>
            <w:tcW w:w="2100" w:type="dxa"/>
          </w:tcPr>
          <w:p>
            <w:pPr>
              <w:pStyle w:val="922"/>
              <w:pBdr/>
              <w:spacing/>
              <w:ind/>
              <w:rPr/>
            </w:pPr>
            <w:r>
              <w:t xml:space="preserve">Contramuro, 03/11/2025.</w:t>
            </w:r>
            <w:r/>
          </w:p>
        </w:tc>
        <w:tc>
          <w:tcPr>
            <w:tcBorders/>
            <w:tcW w:w="2404" w:type="dxa"/>
          </w:tcPr>
          <w:p>
            <w:pPr>
              <w:pStyle w:val="922"/>
              <w:pBdr/>
              <w:spacing/>
              <w:ind/>
              <w:rPr/>
            </w:pPr>
            <w:r/>
            <w:hyperlink r:id="rId17" w:tooltip="https://www.contramuro.com/liga-municipal-futbol-morelia-regresa-2025-2026/" w:history="1">
              <w:r>
                <w:rPr>
                  <w:rStyle w:val="929"/>
                </w:rPr>
                <w:t xml:space="preserve">https://www.contramuro.com/liga-municipal-futbol-morelia-regresa-2025-2026/</w:t>
              </w:r>
            </w:hyperlink>
            <w:r/>
            <w:r/>
          </w:p>
        </w:tc>
      </w:tr>
      <w:tr>
        <w:trPr>
          <w:cantSplit/>
        </w:trPr>
        <w:tc>
          <w:tcPr>
            <w:tcBorders/>
            <w:tcW w:w="900" w:type="dxa"/>
          </w:tcPr>
          <w:p>
            <w:pPr>
              <w:pStyle w:val="922"/>
              <w:pBdr/>
              <w:spacing/>
              <w:ind/>
              <w:rPr/>
            </w:pPr>
            <w:r>
              <w:t xml:space="preserve">REF-16</w:t>
            </w:r>
            <w:r/>
          </w:p>
        </w:tc>
        <w:tc>
          <w:tcPr>
            <w:tcBorders/>
            <w:tcW w:w="4000" w:type="dxa"/>
          </w:tcPr>
          <w:p>
            <w:pPr>
              <w:pStyle w:val="922"/>
              <w:pBdr/>
              <w:spacing/>
              <w:ind/>
              <w:rPr/>
            </w:pPr>
            <w:r>
              <w:t xml:space="preserve">OWASP Application Security Verification Standard (ASVS) 5.0.0. Norma de referencia (seguridad).</w:t>
            </w:r>
            <w:r>
              <w:rPr>
                <w:i/>
                <w:iCs/>
              </w:rPr>
            </w:r>
            <w:r/>
          </w:p>
        </w:tc>
        <w:tc>
          <w:tcPr>
            <w:tcBorders/>
            <w:tcW w:w="2100" w:type="dxa"/>
          </w:tcPr>
          <w:p>
            <w:pPr>
              <w:pStyle w:val="922"/>
              <w:pBdr/>
              <w:spacing/>
              <w:ind/>
              <w:rPr/>
            </w:pPr>
            <w:r>
              <w:t xml:space="preserve">OWASP Foundation, mayo de 2025.</w:t>
            </w:r>
            <w:r/>
          </w:p>
        </w:tc>
        <w:tc>
          <w:tcPr>
            <w:tcBorders/>
            <w:tcW w:w="2404" w:type="dxa"/>
          </w:tcPr>
          <w:p>
            <w:pPr>
              <w:pStyle w:val="922"/>
              <w:pBdr/>
              <w:spacing/>
              <w:ind/>
              <w:rPr/>
            </w:pPr>
            <w:r/>
            <w:hyperlink r:id="rId18" w:tooltip="https://www.iso.org/standard/72089.html" w:history="1">
              <w:r>
                <w:rPr>
                  <w:rStyle w:val="929"/>
                </w:rPr>
                <w:t xml:space="preserve">https://owasp.org/www-project-application-security-verification-standard/</w:t>
              </w:r>
            </w:hyperlink>
            <w:r/>
            <w:r/>
          </w:p>
        </w:tc>
      </w:tr>
      <w:tr>
        <w:trPr>
          <w:cantSplit/>
        </w:trPr>
        <w:tc>
          <w:tcPr>
            <w:tcBorders/>
            <w:tcW w:w="900" w:type="dxa"/>
          </w:tcPr>
          <w:p>
            <w:pPr>
              <w:pStyle w:val="922"/>
              <w:pBdr/>
              <w:spacing/>
              <w:ind/>
              <w:rPr/>
            </w:pPr>
            <w:r>
              <w:t xml:space="preserve">REF-17</w:t>
            </w:r>
            <w:r/>
          </w:p>
        </w:tc>
        <w:tc>
          <w:tcPr>
            <w:tcBorders/>
            <w:tcW w:w="4000" w:type="dxa"/>
          </w:tcPr>
          <w:p>
            <w:pPr>
              <w:pStyle w:val="922"/>
              <w:pBdr/>
              <w:spacing/>
              <w:ind/>
              <w:rPr/>
            </w:pPr>
            <w:r>
              <w:t xml:space="preserve">NIST SP 800-63B-4, Digital Identity Guidelines: Authentication and Authenticator Management. Norma de referencia (contraseñas).</w:t>
            </w:r>
            <w:r>
              <w:rPr>
                <w:i/>
                <w:iCs/>
              </w:rPr>
            </w:r>
            <w:r/>
          </w:p>
        </w:tc>
        <w:tc>
          <w:tcPr>
            <w:tcBorders/>
            <w:tcW w:w="2100" w:type="dxa"/>
          </w:tcPr>
          <w:p>
            <w:pPr>
              <w:pStyle w:val="922"/>
              <w:pBdr/>
              <w:spacing/>
              <w:ind/>
              <w:rPr/>
            </w:pPr>
            <w:r>
              <w:t xml:space="preserve">NIST, 2025.</w:t>
            </w:r>
            <w:r/>
          </w:p>
        </w:tc>
        <w:tc>
          <w:tcPr>
            <w:tcBorders/>
            <w:tcW w:w="2404" w:type="dxa"/>
          </w:tcPr>
          <w:p>
            <w:pPr>
              <w:pStyle w:val="922"/>
              <w:pBdr/>
              <w:spacing/>
              <w:ind/>
              <w:rPr/>
            </w:pPr>
            <w:r/>
            <w:hyperlink r:id="rId19" w:tooltip="https://www.iso.org/standard/72089.html" w:history="1">
              <w:r>
                <w:rPr>
                  <w:rStyle w:val="929"/>
                </w:rPr>
                <w:t xml:space="preserve">https://pages.nist.gov/800-63-4/sp800-63b.html</w:t>
              </w:r>
            </w:hyperlink>
            <w:r/>
            <w:r/>
          </w:p>
        </w:tc>
      </w:tr>
      <w:tr>
        <w:trPr>
          <w:cantSplit/>
        </w:trPr>
        <w:tc>
          <w:tcPr>
            <w:tcBorders/>
            <w:tcW w:w="900" w:type="dxa"/>
          </w:tcPr>
          <w:p>
            <w:pPr>
              <w:pStyle w:val="922"/>
              <w:pBdr/>
              <w:spacing/>
              <w:ind/>
              <w:rPr/>
            </w:pPr>
            <w:r>
              <w:t xml:space="preserve">REF-18</w:t>
            </w:r>
            <w:r/>
          </w:p>
        </w:tc>
        <w:tc>
          <w:tcPr>
            <w:tcBorders/>
            <w:tcW w:w="4000" w:type="dxa"/>
          </w:tcPr>
          <w:p>
            <w:pPr>
              <w:pStyle w:val="922"/>
              <w:pBdr/>
              <w:spacing/>
              <w:ind/>
              <w:rPr/>
            </w:pPr>
            <w:r>
              <w:t xml:space="preserve">Web Content Accessibility Guidelines (WCAG) 2.2. Norma de referencia (accesibilidad).</w:t>
            </w:r>
            <w:r>
              <w:rPr>
                <w:i/>
                <w:iCs/>
              </w:rPr>
            </w:r>
            <w:r/>
          </w:p>
        </w:tc>
        <w:tc>
          <w:tcPr>
            <w:tcBorders/>
            <w:tcW w:w="2100" w:type="dxa"/>
          </w:tcPr>
          <w:p>
            <w:pPr>
              <w:pStyle w:val="922"/>
              <w:pBdr/>
              <w:spacing/>
              <w:ind/>
              <w:rPr/>
            </w:pPr>
            <w:r>
              <w:t xml:space="preserve">W3C, 05/10/2023.</w:t>
            </w:r>
            <w:r/>
          </w:p>
        </w:tc>
        <w:tc>
          <w:tcPr>
            <w:tcBorders/>
            <w:tcW w:w="2404" w:type="dxa"/>
          </w:tcPr>
          <w:p>
            <w:pPr>
              <w:pStyle w:val="922"/>
              <w:pBdr/>
              <w:spacing/>
              <w:ind/>
              <w:rPr/>
            </w:pPr>
            <w:r/>
            <w:hyperlink r:id="rId20" w:tooltip="https://www.iso.org/standard/72089.html" w:history="1">
              <w:r>
                <w:rPr>
                  <w:rStyle w:val="929"/>
                </w:rPr>
                <w:t xml:space="preserve">https://www.w3.org/TR/WCAG22/</w:t>
              </w:r>
            </w:hyperlink>
            <w:r/>
            <w:r/>
          </w:p>
        </w:tc>
      </w:tr>
      <w:tr>
        <w:trPr>
          <w:cantSplit/>
        </w:trPr>
        <w:tc>
          <w:tcPr>
            <w:tcBorders/>
            <w:tcW w:w="900" w:type="dxa"/>
          </w:tcPr>
          <w:p>
            <w:pPr>
              <w:pStyle w:val="922"/>
              <w:pBdr/>
              <w:spacing/>
              <w:ind/>
              <w:rPr/>
            </w:pPr>
            <w:r>
              <w:t xml:space="preserve">REF-19</w:t>
            </w:r>
            <w:r/>
          </w:p>
        </w:tc>
        <w:tc>
          <w:tcPr>
            <w:tcBorders/>
            <w:tcW w:w="4000" w:type="dxa"/>
          </w:tcPr>
          <w:p>
            <w:pPr>
              <w:pStyle w:val="922"/>
              <w:pBdr/>
              <w:spacing/>
              <w:ind/>
              <w:rPr/>
            </w:pPr>
            <w:r>
              <w:t xml:space="preserve">Core Web Vitals (LCP, INP y CLS) y sus umbrales. Referencia técnica (rendimiento web).</w:t>
            </w:r>
            <w:r>
              <w:rPr>
                <w:i/>
                <w:iCs/>
              </w:rPr>
            </w:r>
            <w:r/>
          </w:p>
        </w:tc>
        <w:tc>
          <w:tcPr>
            <w:tcBorders/>
            <w:tcW w:w="2100" w:type="dxa"/>
          </w:tcPr>
          <w:p>
            <w:pPr>
              <w:pStyle w:val="922"/>
              <w:pBdr/>
              <w:spacing/>
              <w:ind/>
              <w:rPr/>
            </w:pPr>
            <w:r>
              <w:t xml:space="preserve">Google, web.dev.</w:t>
            </w:r>
            <w:r/>
          </w:p>
        </w:tc>
        <w:tc>
          <w:tcPr>
            <w:tcBorders/>
            <w:tcW w:w="2404" w:type="dxa"/>
          </w:tcPr>
          <w:p>
            <w:pPr>
              <w:pStyle w:val="922"/>
              <w:pBdr/>
              <w:spacing/>
              <w:ind/>
              <w:rPr/>
            </w:pPr>
            <w:r/>
            <w:hyperlink r:id="rId21" w:tooltip="https://www.iso.org/standard/72089.html" w:history="1">
              <w:r>
                <w:rPr>
                  <w:rStyle w:val="929"/>
                </w:rPr>
                <w:t xml:space="preserve">https://web.dev/articles/vitals</w:t>
              </w:r>
            </w:hyperlink>
            <w:r/>
            <w:r/>
          </w:p>
        </w:tc>
      </w:tr>
      <w:tr>
        <w:trPr>
          <w:cantSplit/>
        </w:trPr>
        <w:tc>
          <w:tcPr>
            <w:tcBorders/>
            <w:tcW w:w="900" w:type="dxa"/>
          </w:tcPr>
          <w:p>
            <w:pPr>
              <w:pStyle w:val="922"/>
              <w:pBdr/>
              <w:spacing/>
              <w:ind/>
              <w:rPr/>
            </w:pPr>
            <w:r>
              <w:t xml:space="preserve">REF-20</w:t>
            </w:r>
            <w:r/>
          </w:p>
        </w:tc>
        <w:tc>
          <w:tcPr>
            <w:tcBorders/>
            <w:tcW w:w="4000" w:type="dxa"/>
          </w:tcPr>
          <w:p>
            <w:pPr>
              <w:pStyle w:val="922"/>
              <w:pBdr/>
              <w:spacing/>
              <w:ind/>
              <w:rPr/>
            </w:pPr>
            <w:r>
              <w:t xml:space="preserve">RFC 7208 (SPF), RFC 6376 (DKIM) y RFC 7489 (DMARC). Normas de autenticación de correo.</w:t>
            </w:r>
            <w:r>
              <w:rPr>
                <w:i/>
                <w:iCs/>
              </w:rPr>
            </w:r>
            <w:r/>
          </w:p>
        </w:tc>
        <w:tc>
          <w:tcPr>
            <w:tcBorders/>
            <w:tcW w:w="2100" w:type="dxa"/>
          </w:tcPr>
          <w:p>
            <w:pPr>
              <w:pStyle w:val="922"/>
              <w:pBdr/>
              <w:spacing/>
              <w:ind/>
              <w:rPr/>
            </w:pPr>
            <w:r>
              <w:t xml:space="preserve">IETF, 2011 a 2015.</w:t>
            </w:r>
            <w:r/>
          </w:p>
        </w:tc>
        <w:tc>
          <w:tcPr>
            <w:tcBorders/>
            <w:tcW w:w="2404" w:type="dxa"/>
          </w:tcPr>
          <w:p>
            <w:pPr>
              <w:pStyle w:val="922"/>
              <w:pBdr/>
              <w:spacing/>
              <w:ind/>
              <w:rPr/>
            </w:pPr>
            <w:r/>
            <w:hyperlink r:id="rId22" w:tooltip="https://www.iso.org/standard/72089.html" w:history="1">
              <w:r>
                <w:rPr>
                  <w:rStyle w:val="929"/>
                </w:rPr>
                <w:t xml:space="preserve">https://www.rfc-editor.org/rfc/rfc7489</w:t>
              </w:r>
            </w:hyperlink>
            <w:r/>
            <w:r/>
          </w:p>
        </w:tc>
      </w:tr>
    </w:tbl>
    <w:p>
      <w:pPr>
        <w:pBdr/>
        <w:spacing w:after="60" w:before="0"/>
        <w:ind/>
        <w:rPr/>
      </w:pPr>
      <w:r/>
      <w:r/>
    </w:p>
    <w:p>
      <w:pPr>
        <w:pStyle w:val="915"/>
        <w:pageBreakBefore w:val="true"/>
        <w:pBdr/>
        <w:spacing/>
        <w:ind/>
        <w:rPr/>
      </w:pPr>
      <w:r/>
      <w:bookmarkStart w:id="7" w:name="_Toc100007"/>
      <w:r>
        <w:t xml:space="preserve">2. Descripción general</w:t>
      </w:r>
      <w:bookmarkEnd w:id="7"/>
      <w:r/>
      <w:r/>
    </w:p>
    <w:p>
      <w:pPr>
        <w:pBdr/>
        <w:spacing/>
        <w:ind/>
        <w:rPr/>
      </w:pPr>
      <w:r>
        <w:t xml:space="preserve">En esta sección se presenta una descripción general del Sistema de Gestión para la Liga Municipal de Morelia. Se deta</w:t>
      </w:r>
      <w:r>
        <w:t xml:space="preserve">lla la perspectiva del producto, sus límites de integración, las principales áreas funcionales, las características y permisos de los actores del sistema, así como las restricciones operativas, técnicas y normativas que condicionan su diseño y desarrollo. </w:t>
      </w:r>
      <w:r/>
    </w:p>
    <w:p>
      <w:pPr>
        <w:pBdr/>
        <w:spacing/>
        <w:ind/>
        <w:rPr/>
      </w:pPr>
      <w:r>
        <w:t xml:space="preserve">Esta sección presenta las capacidades generales del sistema, pero no constituye todavía la especificación detallada de los requisitos funcionales. Estos serán definidos posteriormente mediante requisitos identificables, verificables y trazables.</w:t>
      </w:r>
      <w:r/>
    </w:p>
    <w:p>
      <w:pPr>
        <w:pStyle w:val="916"/>
        <w:pBdr/>
        <w:spacing/>
        <w:ind/>
        <w:rPr/>
      </w:pPr>
      <w:r/>
      <w:bookmarkStart w:id="8" w:name="_Toc100008"/>
      <w:r>
        <w:t xml:space="preserve">2.1 Perspectiva del producto</w:t>
      </w:r>
      <w:bookmarkEnd w:id="8"/>
      <w:r/>
      <w:r/>
    </w:p>
    <w:p>
      <w:pPr>
        <w:pBdr/>
        <w:spacing/>
        <w:ind/>
        <w:rPr/>
      </w:pPr>
      <w:r>
        <w:t xml:space="preserve">El Sistema de Gestión para la Liga Municipal de Morelia es una plataforma web integral y responsiva (optimizada para laptops, tabletas y teléfonos inteligentes).</w:t>
      </w:r>
      <w:r/>
    </w:p>
    <w:p>
      <w:pPr>
        <w:pBdr/>
        <w:spacing/>
        <w:ind/>
        <w:rPr/>
      </w:pPr>
      <w:r>
        <w:t xml:space="preserve">El sistema mejora la gestión manual y distribuida tradicional basada en cédulas de papel, transcripciones redundantes en hojas de cálculo de Excel y difusión</w:t>
      </w:r>
      <w:r>
        <w:t xml:space="preserve"> fragmentada de programaciones y sanciones mediante imágenes en redes sociales (Facebook) o medios informativos locales, centralizando la administración deportiva, disciplinaria y financiera en una única fuente de verdad auditable y accesible por Internet.</w:t>
      </w:r>
      <w:r/>
    </w:p>
    <w:p>
      <w:pPr>
        <w:pStyle w:val="916"/>
        <w:pBdr/>
        <w:spacing/>
        <w:ind/>
        <w:rPr/>
      </w:pPr>
      <w:r/>
      <w:bookmarkStart w:id="9" w:name="_Toc100009"/>
      <w:r>
        <w:t xml:space="preserve">2.2 Funcionalidad del producto</w:t>
      </w:r>
      <w:bookmarkEnd w:id="9"/>
      <w:r/>
      <w:r/>
    </w:p>
    <w:p>
      <w:pPr>
        <w:pBdr/>
        <w:spacing/>
        <w:ind/>
        <w:rPr/>
      </w:pPr>
      <w:r>
        <w:t xml:space="preserve">Resumen de Procesos Principales:</w:t>
      </w:r>
      <w:r/>
    </w:p>
    <w:p>
      <w:pPr>
        <w:pStyle w:val="920"/>
        <w:numPr>
          <w:ilvl w:val="0"/>
          <w:numId w:val="1"/>
        </w:numPr>
        <w:pBdr/>
        <w:spacing/>
        <w:ind/>
        <w:rPr/>
      </w:pPr>
      <w:r>
        <w:rPr>
          <w:b/>
          <w:bCs/>
        </w:rPr>
        <w:t xml:space="preserve">Afiliación e Inscripción (Tarjetón Digital):</w:t>
      </w:r>
      <w:r>
        <w:t xml:space="preserve"> </w:t>
      </w:r>
      <w:r>
        <w:t xml:space="preserve">Registro de clubes, franquicias y equipos por rama y categoría. Validación documental de identidad diferenciada (CURP, constancias de estudio, INE, fotos y comprobantes de domicilio) y emisión del Tarjetón Digital de afiliación con firmas de la directiva. </w:t>
      </w:r>
      <w:r/>
    </w:p>
    <w:p>
      <w:pPr>
        <w:pStyle w:val="920"/>
        <w:numPr>
          <w:ilvl w:val="0"/>
          <w:numId w:val="1"/>
        </w:numPr>
        <w:pBdr/>
        <w:spacing/>
        <w:ind/>
        <w:rPr/>
      </w:pPr>
      <w:r>
        <w:rPr>
          <w:b/>
          <w:bCs/>
        </w:rPr>
        <w:t xml:space="preserve">Gestión Financiera Transversal:</w:t>
      </w:r>
      <w:r>
        <w:t xml:space="preserve"> Control de pagos de inscripción, arbitraje y registro/seguimiento de multas o sanciones económicas.</w:t>
      </w:r>
      <w:r/>
    </w:p>
    <w:p>
      <w:pPr>
        <w:pStyle w:val="920"/>
        <w:numPr>
          <w:ilvl w:val="0"/>
          <w:numId w:val="1"/>
        </w:numPr>
        <w:pBdr/>
        <w:spacing/>
        <w:ind/>
        <w:rPr/>
      </w:pPr>
      <w:r>
        <w:rPr>
          <w:b/>
          <w:bCs/>
        </w:rPr>
        <w:t xml:space="preserve">Programación Deportiva (Fixture):</w:t>
      </w:r>
      <w:r>
        <w:t xml:space="preserve"> Generación algorítmica de roles de juego, asignación automática/manual de canchas, manejo de préstamos de canchas y validación de disponibilidad.</w:t>
      </w:r>
      <w:r/>
    </w:p>
    <w:p>
      <w:pPr>
        <w:pStyle w:val="920"/>
        <w:numPr>
          <w:ilvl w:val="0"/>
          <w:numId w:val="1"/>
        </w:numPr>
        <w:pBdr/>
        <w:spacing/>
        <w:ind/>
        <w:rPr/>
      </w:pPr>
      <w:r>
        <w:rPr>
          <w:b/>
          <w:bCs/>
        </w:rPr>
        <w:t xml:space="preserve">Arbitraje y Resultados:</w:t>
      </w:r>
      <w:r>
        <w:t xml:space="preserve"> Asignación de cuerpos arbitrales, captura digital de la cédula en campo (goles, tarjetas, incidencias, firmas) y actualización automática de la tabla de posiciones.</w:t>
      </w:r>
      <w:r/>
    </w:p>
    <w:p>
      <w:pPr>
        <w:pStyle w:val="920"/>
        <w:numPr>
          <w:ilvl w:val="0"/>
          <w:numId w:val="1"/>
        </w:numPr>
        <w:pBdr/>
        <w:spacing/>
        <w:ind/>
        <w:rPr/>
      </w:pPr>
      <w:r>
        <w:rPr>
          <w:b/>
          <w:bCs/>
        </w:rPr>
        <w:t xml:space="preserve">Comisión Disciplinaria:</w:t>
      </w:r>
      <w:r>
        <w:t xml:space="preserve"> Propuestas automáticas de sanción basadas en un catálogo de artículos reglamentarios, gestión de inconformidades y recursos y auditoría de la baja de equipos por acumulación de 5 </w:t>
      </w:r>
      <w:r>
        <w:rPr>
          <w:i/>
          <w:iCs/>
        </w:rPr>
        <w:t xml:space="preserve">defaults</w:t>
      </w:r>
      <w:r>
        <w:t xml:space="preserve">.</w:t>
      </w:r>
      <w:r/>
    </w:p>
    <w:p>
      <w:pPr>
        <w:pStyle w:val="920"/>
        <w:numPr>
          <w:ilvl w:val="0"/>
          <w:numId w:val="1"/>
        </w:numPr>
        <w:pBdr/>
        <w:spacing/>
        <w:ind/>
        <w:rPr/>
      </w:pPr>
      <w:r>
        <w:rPr>
          <w:b/>
          <w:bCs/>
        </w:rPr>
        <w:t xml:space="preserve">Liguilla y Fases Finales:</w:t>
      </w:r>
      <w:r>
        <w:t xml:space="preserve"> Generación de llaves, reglas de desempate configurables y determinación de ascensos/descensos.</w:t>
      </w:r>
      <w:r/>
    </w:p>
    <w:p>
      <w:pPr>
        <w:pStyle w:val="920"/>
        <w:numPr>
          <w:ilvl w:val="0"/>
          <w:numId w:val="1"/>
        </w:numPr>
        <w:pBdr/>
        <w:spacing/>
        <w:ind/>
        <w:rPr/>
      </w:pPr>
      <w:r>
        <w:rPr>
          <w:b/>
          <w:bCs/>
        </w:rPr>
        <w:t xml:space="preserve">Portal Público y Difusión:</w:t>
      </w:r>
      <w:r>
        <w:t xml:space="preserve"> Difusión transparente y de solo lectura de la programación semanal, marcadores oficiales, tablas de clasificación, estadísticas individuales, boletín de castigados y avisos oficiales para la comunidad deportiva y el público general. </w:t>
      </w:r>
      <w:r/>
    </w:p>
    <w:p w14:paraId="2D73F0B9">
      <w:pPr>
        <w:pBdr/>
        <w:spacing/>
        <w:ind/>
        <w:rPr/>
      </w:pPr>
      <w:r/>
      <w:r/>
    </w:p>
    <w:p w14:paraId="26A3AE86">
      <w:pPr>
        <w:pBdr/>
        <w:spacing/>
        <w:ind/>
        <w:rPr/>
      </w:pPr>
      <w:r/>
      <w:r/>
    </w:p>
    <w:p w14:paraId="35B1C983">
      <w:pPr>
        <w:pBdr/>
        <w:spacing/>
        <w:ind/>
        <w:rPr/>
      </w:pPr>
      <w:r>
        <w:rPr>
          <w:highlight w:val="none"/>
        </w:rPr>
      </w:r>
      <w:r>
        <w:rPr>
          <w:highlight w:val="none"/>
        </w:rPr>
      </w:r>
      <w:r/>
    </w:p>
    <w:p>
      <w:pPr>
        <w:pBdr/>
        <w:spacing/>
        <w:ind/>
        <w:rPr/>
      </w:pPr>
      <w:r>
        <w:t xml:space="preserve">Las áreas funcionales del Sistema, su alcance y su prioridad para la primera versión se detallan en la Tabla 2 (sección 1.2).</w:t>
      </w:r>
      <w:r/>
    </w:p>
    <w:p>
      <w:pPr>
        <w:pBdr/>
        <w:spacing w:after="60" w:before="0"/>
        <w:ind/>
        <w:rPr/>
      </w:pPr>
      <w:r/>
      <w:r/>
    </w:p>
    <w:p>
      <w:pPr>
        <w:pStyle w:val="916"/>
        <w:pBdr/>
        <w:spacing/>
        <w:ind/>
        <w:rPr/>
      </w:pPr>
      <w:r/>
      <w:bookmarkStart w:id="10" w:name="_Toc100010"/>
      <w:r>
        <w:t xml:space="preserve">2.3 Características de los usuarios</w:t>
      </w:r>
      <w:bookmarkEnd w:id="10"/>
      <w:r/>
      <w:r/>
    </w:p>
    <w:p>
      <w:pPr>
        <w:pBdr/>
        <w:spacing/>
        <w:ind/>
        <w:rPr/>
      </w:pPr>
      <w:r>
        <w:t xml:space="preserve">El sistema implementa un Control de Acceso Basado en Roles (RBAC), separando estrictamente las funciones operativas de las funciones de aprobación y consulta. </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659"/>
        <w:gridCol w:w="2496"/>
        <w:gridCol w:w="5249"/>
      </w:tblGrid>
      <w:tr>
        <w:trPr>
          <w:cantSplit/>
          <w:tblHeader/>
        </w:trPr>
        <w:tc>
          <w:tcPr>
            <w:shd w:val="clear" w:color="auto" w:fill="241a61"/>
            <w:tcBorders/>
            <w:tcW w:w="1659" w:type="dxa"/>
          </w:tcPr>
          <w:p>
            <w:pPr>
              <w:pStyle w:val="922"/>
              <w:pBdr/>
              <w:spacing/>
              <w:ind/>
              <w:rPr/>
            </w:pPr>
            <w:r>
              <w:rPr>
                <w:b/>
                <w:bCs/>
                <w:color w:val="ffffff"/>
              </w:rPr>
              <w:t xml:space="preserve">Usuario</w:t>
            </w:r>
            <w:r/>
          </w:p>
        </w:tc>
        <w:tc>
          <w:tcPr>
            <w:shd w:val="clear" w:color="auto" w:fill="241a61"/>
            <w:tcBorders/>
            <w:tcW w:w="2496" w:type="dxa"/>
          </w:tcPr>
          <w:p>
            <w:pPr>
              <w:pStyle w:val="922"/>
              <w:pBdr/>
              <w:spacing/>
              <w:ind/>
              <w:rPr/>
            </w:pPr>
            <w:r>
              <w:rPr>
                <w:b/>
                <w:bCs/>
                <w:color w:val="ffffff"/>
              </w:rPr>
              <w:t xml:space="preserve">Formación / Experiencia</w:t>
            </w:r>
            <w:r/>
          </w:p>
        </w:tc>
        <w:tc>
          <w:tcPr>
            <w:shd w:val="clear" w:color="auto" w:fill="241a61"/>
            <w:tcBorders/>
            <w:tcW w:w="5249" w:type="dxa"/>
          </w:tcPr>
          <w:p>
            <w:pPr>
              <w:pStyle w:val="922"/>
              <w:pBdr/>
              <w:spacing/>
              <w:ind/>
              <w:rPr/>
            </w:pPr>
            <w:r>
              <w:rPr>
                <w:b/>
                <w:bCs/>
                <w:color w:val="ffffff"/>
              </w:rPr>
              <w:t xml:space="preserve">Necesidades y Permisos Principales</w:t>
            </w:r>
            <w:r/>
          </w:p>
        </w:tc>
      </w:tr>
      <w:tr>
        <w:trPr>
          <w:cantSplit/>
        </w:trPr>
        <w:tc>
          <w:tcPr>
            <w:tcBorders/>
            <w:tcW w:w="1659" w:type="dxa"/>
          </w:tcPr>
          <w:p>
            <w:pPr>
              <w:pStyle w:val="922"/>
              <w:pBdr/>
              <w:spacing/>
              <w:ind/>
              <w:rPr/>
            </w:pPr>
            <w:r>
              <w:t xml:space="preserve">Administrador General</w:t>
            </w:r>
            <w:r/>
          </w:p>
        </w:tc>
        <w:tc>
          <w:tcPr>
            <w:tcBorders/>
            <w:tcW w:w="2496" w:type="dxa"/>
          </w:tcPr>
          <w:p>
            <w:pPr>
              <w:pStyle w:val="922"/>
              <w:pBdr/>
              <w:spacing/>
              <w:ind/>
              <w:rPr/>
            </w:pPr>
            <w:r>
              <w:t xml:space="preserve">Alta experiencia administrativa/técnica</w:t>
            </w:r>
            <w:r/>
          </w:p>
        </w:tc>
        <w:tc>
          <w:tcPr>
            <w:tcBorders/>
            <w:tcW w:w="5249" w:type="dxa"/>
          </w:tcPr>
          <w:p>
            <w:pPr>
              <w:pStyle w:val="922"/>
              <w:pBdr/>
              <w:spacing/>
              <w:ind/>
              <w:rPr/>
            </w:pPr>
            <w:r>
              <w:t xml:space="preserve">Control total del sistema, administración de cuentas, gestión de catálogos maestros y acceso integral a las bitácoras de auditoría. </w:t>
            </w:r>
            <w:r/>
          </w:p>
        </w:tc>
      </w:tr>
      <w:tr>
        <w:trPr>
          <w:cantSplit/>
        </w:trPr>
        <w:tc>
          <w:tcPr>
            <w:tcBorders/>
            <w:tcW w:w="1659" w:type="dxa"/>
          </w:tcPr>
          <w:p>
            <w:pPr>
              <w:pStyle w:val="922"/>
              <w:pBdr/>
              <w:spacing/>
              <w:ind/>
              <w:rPr/>
            </w:pPr>
            <w:r>
              <w:t xml:space="preserve">Presidente (Consejo Directivo)</w:t>
            </w:r>
            <w:r/>
          </w:p>
        </w:tc>
        <w:tc>
          <w:tcPr>
            <w:tcBorders/>
            <w:tcW w:w="2496" w:type="dxa"/>
          </w:tcPr>
          <w:p>
            <w:pPr>
              <w:pStyle w:val="922"/>
              <w:pBdr/>
              <w:spacing/>
              <w:ind/>
              <w:rPr/>
            </w:pPr>
            <w:r>
              <w:t xml:space="preserve">Administración Deportiva</w:t>
            </w:r>
            <w:r/>
          </w:p>
        </w:tc>
        <w:tc>
          <w:tcPr>
            <w:tcBorders/>
            <w:tcW w:w="5249" w:type="dxa"/>
          </w:tcPr>
          <w:p>
            <w:pPr>
              <w:pStyle w:val="922"/>
              <w:pBdr/>
              <w:spacing/>
              <w:ind/>
              <w:rPr/>
            </w:pPr>
            <w:r>
              <w:t xml:space="preserve">Gobierno de la Liga, aprobación de convocatorias, validación de acuerdos extraordinarios y autorización de periodos de temporada. </w:t>
            </w:r>
            <w:r/>
          </w:p>
        </w:tc>
      </w:tr>
      <w:tr>
        <w:trPr>
          <w:cantSplit/>
        </w:trPr>
        <w:tc>
          <w:tcPr>
            <w:tcBorders/>
            <w:tcW w:w="1659" w:type="dxa"/>
          </w:tcPr>
          <w:p>
            <w:pPr>
              <w:pStyle w:val="922"/>
              <w:pBdr/>
              <w:spacing/>
              <w:ind/>
              <w:rPr/>
            </w:pPr>
            <w:r>
              <w:t xml:space="preserve">Secretario (Consejo Directivo)</w:t>
            </w:r>
            <w:r/>
          </w:p>
        </w:tc>
        <w:tc>
          <w:tcPr>
            <w:tcBorders/>
            <w:tcW w:w="2496" w:type="dxa"/>
          </w:tcPr>
          <w:p>
            <w:pPr>
              <w:pStyle w:val="922"/>
              <w:pBdr/>
              <w:spacing/>
              <w:ind/>
              <w:rPr/>
            </w:pPr>
            <w:r>
              <w:t xml:space="preserve">Gestión documental</w:t>
            </w:r>
            <w:r/>
          </w:p>
        </w:tc>
        <w:tc>
          <w:tcPr>
            <w:tcBorders/>
            <w:tcW w:w="5249" w:type="dxa"/>
          </w:tcPr>
          <w:p>
            <w:pPr>
              <w:pStyle w:val="922"/>
              <w:pBdr/>
              <w:spacing/>
              <w:ind/>
              <w:rPr/>
            </w:pPr>
            <w:r>
              <w:t xml:space="preserve">Cotejo de expedientes de clubes y jugadores, emisión de credenciales, redacción de comunicados oficiales y control de actas de asambleas. </w:t>
            </w:r>
            <w:r/>
          </w:p>
        </w:tc>
      </w:tr>
      <w:tr>
        <w:trPr>
          <w:cantSplit/>
        </w:trPr>
        <w:tc>
          <w:tcPr>
            <w:tcBorders/>
            <w:tcW w:w="1659" w:type="dxa"/>
          </w:tcPr>
          <w:p>
            <w:pPr>
              <w:pStyle w:val="922"/>
              <w:pBdr/>
              <w:spacing/>
              <w:ind/>
              <w:rPr/>
            </w:pPr>
            <w:r>
              <w:t xml:space="preserve">Tesorero (Consejo Directivo)</w:t>
            </w:r>
            <w:r/>
          </w:p>
        </w:tc>
        <w:tc>
          <w:tcPr>
            <w:tcBorders/>
            <w:tcW w:w="2496" w:type="dxa"/>
          </w:tcPr>
          <w:p>
            <w:pPr>
              <w:pStyle w:val="922"/>
              <w:pBdr/>
              <w:spacing/>
              <w:ind/>
              <w:rPr/>
            </w:pPr>
            <w:r>
              <w:t xml:space="preserve">Administración financiera</w:t>
            </w:r>
            <w:r/>
          </w:p>
        </w:tc>
        <w:tc>
          <w:tcPr>
            <w:tcBorders/>
            <w:tcW w:w="5249" w:type="dxa"/>
          </w:tcPr>
          <w:p>
            <w:pPr>
              <w:pStyle w:val="922"/>
              <w:pBdr/>
              <w:spacing/>
              <w:ind/>
              <w:rPr/>
            </w:pPr>
            <w:r>
              <w:t xml:space="preserve">Registro de cobros de inscripciones, credenciales y arbitrajes, validación de comprobantes, control de adeudos y expedición de recibos. </w:t>
            </w:r>
            <w:r/>
          </w:p>
        </w:tc>
      </w:tr>
      <w:tr>
        <w:trPr>
          <w:cantSplit/>
        </w:trPr>
        <w:tc>
          <w:tcPr>
            <w:tcBorders/>
            <w:tcW w:w="1659" w:type="dxa"/>
          </w:tcPr>
          <w:p>
            <w:pPr>
              <w:pStyle w:val="922"/>
              <w:pBdr/>
              <w:spacing/>
              <w:ind/>
              <w:rPr/>
            </w:pPr>
            <w:r>
              <w:t xml:space="preserve">Comisión de la Rama Infantil </w:t>
            </w:r>
            <w:r/>
          </w:p>
        </w:tc>
        <w:tc>
          <w:tcPr>
            <w:tcBorders/>
            <w:tcW w:w="2496" w:type="dxa"/>
          </w:tcPr>
          <w:p>
            <w:pPr>
              <w:pStyle w:val="922"/>
              <w:pBdr/>
              <w:spacing/>
              <w:ind/>
              <w:rPr/>
            </w:pPr>
            <w:r>
              <w:t xml:space="preserve">Gestión deportiva y formativa </w:t>
            </w:r>
            <w:r/>
          </w:p>
        </w:tc>
        <w:tc>
          <w:tcPr>
            <w:tcBorders/>
            <w:tcW w:w="5249" w:type="dxa"/>
          </w:tcPr>
          <w:p>
            <w:pPr>
              <w:pStyle w:val="922"/>
              <w:pBdr/>
              <w:spacing/>
              <w:ind/>
              <w:rPr/>
            </w:pPr>
            <w:r>
              <w:t xml:space="preserve">Supervisión del registro de menores de edad, validación de CURPs y constancias escolares según el año de nacimiento reglamentario. </w:t>
            </w:r>
            <w:r/>
          </w:p>
        </w:tc>
      </w:tr>
      <w:tr>
        <w:trPr>
          <w:cantSplit/>
        </w:trPr>
        <w:tc>
          <w:tcPr>
            <w:tcBorders/>
            <w:tcW w:w="1659" w:type="dxa"/>
          </w:tcPr>
          <w:p>
            <w:pPr>
              <w:pStyle w:val="922"/>
              <w:pBdr/>
              <w:spacing/>
              <w:ind/>
              <w:rPr/>
            </w:pPr>
            <w:r>
              <w:t xml:space="preserve">Programador de Partidos</w:t>
            </w:r>
            <w:r/>
          </w:p>
        </w:tc>
        <w:tc>
          <w:tcPr>
            <w:tcBorders/>
            <w:tcW w:w="2496" w:type="dxa"/>
          </w:tcPr>
          <w:p>
            <w:pPr>
              <w:pStyle w:val="922"/>
              <w:pBdr/>
              <w:spacing/>
              <w:ind/>
              <w:rPr/>
            </w:pPr>
            <w:r>
              <w:t xml:space="preserve">Logística y calendario deportivo </w:t>
            </w:r>
            <w:r/>
          </w:p>
        </w:tc>
        <w:tc>
          <w:tcPr>
            <w:tcBorders/>
            <w:tcW w:w="5249" w:type="dxa"/>
          </w:tcPr>
          <w:p>
            <w:pPr>
              <w:pStyle w:val="922"/>
              <w:pBdr/>
              <w:spacing/>
              <w:ind/>
              <w:rPr/>
            </w:pPr>
            <w:r>
              <w:t xml:space="preserve">Visualización integral de calendarios, ejecución del motor de fixture asistido, resolución de conflictos de canchas/horarios y publicación del rol oficial. </w:t>
            </w:r>
            <w:r/>
          </w:p>
        </w:tc>
      </w:tr>
      <w:tr>
        <w:trPr>
          <w:cantSplit/>
        </w:trPr>
        <w:tc>
          <w:tcPr>
            <w:tcBorders/>
            <w:tcW w:w="1659" w:type="dxa"/>
          </w:tcPr>
          <w:p>
            <w:pPr>
              <w:pStyle w:val="922"/>
              <w:pBdr/>
              <w:spacing/>
              <w:ind/>
              <w:rPr/>
            </w:pPr>
            <w:r>
              <w:t xml:space="preserve">Capturista</w:t>
            </w:r>
            <w:r/>
          </w:p>
        </w:tc>
        <w:tc>
          <w:tcPr>
            <w:tcBorders/>
            <w:tcW w:w="2496" w:type="dxa"/>
          </w:tcPr>
          <w:p>
            <w:pPr>
              <w:pStyle w:val="922"/>
              <w:pBdr/>
              <w:spacing/>
              <w:ind/>
              <w:rPr/>
            </w:pPr>
            <w:r>
              <w:t xml:space="preserve">Manejo básico de ofimática</w:t>
            </w:r>
            <w:r/>
          </w:p>
        </w:tc>
        <w:tc>
          <w:tcPr>
            <w:tcBorders/>
            <w:tcW w:w="5249" w:type="dxa"/>
          </w:tcPr>
          <w:p>
            <w:pPr>
              <w:pStyle w:val="922"/>
              <w:pBdr/>
              <w:spacing/>
              <w:ind/>
              <w:rPr/>
            </w:pPr>
            <w:r>
              <w:t xml:space="preserve">Uso de formularios rápidos con validaciones para capturar resultados físicos o cédulas en papel</w:t>
            </w:r>
            <w:r/>
          </w:p>
        </w:tc>
      </w:tr>
      <w:tr>
        <w:trPr>
          <w:cantSplit/>
        </w:trPr>
        <w:tc>
          <w:tcPr>
            <w:tcBorders/>
            <w:tcW w:w="1659" w:type="dxa"/>
          </w:tcPr>
          <w:p>
            <w:pPr>
              <w:pStyle w:val="922"/>
              <w:pBdr/>
              <w:spacing/>
              <w:ind/>
              <w:rPr/>
            </w:pPr>
            <w:r>
              <w:t xml:space="preserve">Tribunal de Penas (Comisión Disciplinaria) </w:t>
            </w:r>
            <w:r/>
          </w:p>
        </w:tc>
        <w:tc>
          <w:tcPr>
            <w:tcBorders/>
            <w:tcW w:w="2496" w:type="dxa"/>
          </w:tcPr>
          <w:p>
            <w:pPr>
              <w:pStyle w:val="922"/>
              <w:pBdr/>
              <w:spacing/>
              <w:ind/>
              <w:rPr/>
            </w:pPr>
            <w:r>
              <w:t xml:space="preserve">Normativa y reglamentaria deportiva </w:t>
            </w:r>
            <w:r/>
          </w:p>
        </w:tc>
        <w:tc>
          <w:tcPr>
            <w:tcBorders/>
            <w:tcW w:w="5249" w:type="dxa"/>
          </w:tcPr>
          <w:p>
            <w:pPr>
              <w:pStyle w:val="922"/>
              <w:pBdr/>
              <w:spacing/>
              <w:ind/>
              <w:rPr/>
            </w:pPr>
            <w:r>
              <w:t xml:space="preserve">Análisis de reportes arbitrales, apertura de expedientes disciplinarios, dictamen de suspensiones, resolución de inconformidades y emisión del boletín de castigados. </w:t>
            </w:r>
            <w:r/>
          </w:p>
        </w:tc>
      </w:tr>
      <w:tr>
        <w:trPr>
          <w:cantSplit/>
        </w:trPr>
        <w:tc>
          <w:tcPr>
            <w:tcBorders/>
            <w:tcW w:w="1659" w:type="dxa"/>
          </w:tcPr>
          <w:p>
            <w:pPr>
              <w:pStyle w:val="922"/>
              <w:pBdr/>
              <w:spacing/>
              <w:ind/>
              <w:rPr/>
            </w:pPr>
            <w:r>
              <w:t xml:space="preserve">Comisión Arbitral</w:t>
            </w:r>
            <w:r/>
          </w:p>
        </w:tc>
        <w:tc>
          <w:tcPr>
            <w:tcBorders/>
            <w:tcW w:w="2496" w:type="dxa"/>
          </w:tcPr>
          <w:p>
            <w:pPr>
              <w:pStyle w:val="922"/>
              <w:pBdr/>
              <w:spacing/>
              <w:ind/>
              <w:rPr/>
            </w:pPr>
            <w:r>
              <w:t xml:space="preserve">Gestión técnica arbitral </w:t>
            </w:r>
            <w:r/>
          </w:p>
        </w:tc>
        <w:tc>
          <w:tcPr>
            <w:tcBorders/>
            <w:tcW w:w="5249" w:type="dxa"/>
          </w:tcPr>
          <w:p>
            <w:pPr>
              <w:pStyle w:val="922"/>
              <w:pBdr/>
              <w:spacing/>
              <w:ind/>
              <w:rPr/>
            </w:pPr>
            <w:r>
              <w:t xml:space="preserve">Administración del padrón de árbitros colegiados, control de disponibilidad y asignación de ternas a los partidos programados. </w:t>
            </w:r>
            <w:r/>
          </w:p>
        </w:tc>
      </w:tr>
      <w:tr>
        <w:trPr>
          <w:cantSplit/>
        </w:trPr>
        <w:tc>
          <w:tcPr>
            <w:tcBorders/>
            <w:tcW w:w="1659" w:type="dxa"/>
          </w:tcPr>
          <w:p>
            <w:pPr>
              <w:pStyle w:val="922"/>
              <w:pBdr/>
              <w:spacing/>
              <w:ind/>
              <w:rPr/>
            </w:pPr>
            <w:r>
              <w:t xml:space="preserve">Árbitro en Campo</w:t>
            </w:r>
            <w:r/>
          </w:p>
        </w:tc>
        <w:tc>
          <w:tcPr>
            <w:tcBorders/>
            <w:tcW w:w="2496" w:type="dxa"/>
          </w:tcPr>
          <w:p>
            <w:pPr>
              <w:pStyle w:val="922"/>
              <w:pBdr/>
              <w:spacing/>
              <w:ind/>
              <w:rPr/>
            </w:pPr>
            <w:r>
              <w:t xml:space="preserve">Conocimiento de reglas, uso móvil </w:t>
            </w:r>
            <w:r/>
          </w:p>
        </w:tc>
        <w:tc>
          <w:tcPr>
            <w:tcBorders/>
            <w:tcW w:w="5249" w:type="dxa"/>
          </w:tcPr>
          <w:p>
            <w:pPr>
              <w:pStyle w:val="922"/>
              <w:pBdr/>
              <w:spacing/>
              <w:ind/>
              <w:rPr/>
            </w:pPr>
            <w:r>
              <w:t xml:space="preserve">Cotejo de credenciales en cancha, llenado ágil de la cédula digital en smartphone (goles, tarjetas, incidencias) y recolección de firmas de capitanes. </w:t>
            </w:r>
            <w:r/>
          </w:p>
        </w:tc>
      </w:tr>
      <w:tr>
        <w:trPr>
          <w:cantSplit/>
        </w:trPr>
        <w:tc>
          <w:tcPr>
            <w:tcBorders/>
            <w:tcW w:w="1659" w:type="dxa"/>
          </w:tcPr>
          <w:p>
            <w:pPr>
              <w:pStyle w:val="922"/>
              <w:pBdr/>
              <w:spacing/>
              <w:ind/>
              <w:rPr/>
            </w:pPr>
            <w:r>
              <w:t xml:space="preserve">Presidente del Club </w:t>
            </w:r>
            <w:r/>
          </w:p>
        </w:tc>
        <w:tc>
          <w:tcPr>
            <w:tcBorders/>
            <w:tcW w:w="2496" w:type="dxa"/>
          </w:tcPr>
          <w:p>
            <w:pPr>
              <w:pStyle w:val="922"/>
              <w:pBdr/>
              <w:spacing/>
              <w:ind/>
              <w:rPr/>
            </w:pPr>
            <w:r>
              <w:t xml:space="preserve">Representación legal del club </w:t>
            </w:r>
            <w:r/>
          </w:p>
        </w:tc>
        <w:tc>
          <w:tcPr>
            <w:tcBorders/>
            <w:tcW w:w="5249" w:type="dxa"/>
          </w:tcPr>
          <w:p>
            <w:pPr>
              <w:pStyle w:val="922"/>
              <w:pBdr/>
              <w:spacing/>
              <w:ind/>
              <w:rPr/>
            </w:pPr>
            <w:r>
              <w:t xml:space="preserve">Afiliación formal del club mediante el Tarjetón Digital, firma de cartas responsivas, asistencia a asambleas de presidentes y trámites de traspaso de franquicia. </w:t>
            </w:r>
            <w:r/>
          </w:p>
        </w:tc>
      </w:tr>
      <w:tr>
        <w:trPr>
          <w:cantSplit/>
        </w:trPr>
        <w:tc>
          <w:tcPr>
            <w:tcBorders/>
            <w:tcW w:w="1659" w:type="dxa"/>
          </w:tcPr>
          <w:p>
            <w:pPr>
              <w:pStyle w:val="922"/>
              <w:pBdr/>
              <w:spacing/>
              <w:ind/>
              <w:rPr/>
            </w:pPr>
            <w:r>
              <w:t xml:space="preserve">Delegado del Club (Titular / Suplente) </w:t>
            </w:r>
            <w:r/>
          </w:p>
        </w:tc>
        <w:tc>
          <w:tcPr>
            <w:tcBorders/>
            <w:tcW w:w="2496" w:type="dxa"/>
          </w:tcPr>
          <w:p>
            <w:pPr>
              <w:pStyle w:val="922"/>
              <w:pBdr/>
              <w:spacing/>
              <w:ind/>
              <w:rPr/>
            </w:pPr>
            <w:r>
              <w:t xml:space="preserve">Gestión operativa de su club</w:t>
            </w:r>
            <w:r/>
          </w:p>
        </w:tc>
        <w:tc>
          <w:tcPr>
            <w:tcBorders/>
            <w:tcW w:w="5249" w:type="dxa"/>
          </w:tcPr>
          <w:p>
            <w:pPr>
              <w:pStyle w:val="922"/>
              <w:pBdr/>
              <w:spacing/>
              <w:ind/>
              <w:rPr/>
            </w:pPr>
            <w:r>
              <w:t xml:space="preserve">Registro de equipos en categorías, carga de documentos de jugadores, gestión de cartas de préstamo de cancha, pago de arbitrajes y presentación de quejas o inconformidades. </w:t>
            </w:r>
            <w:r/>
          </w:p>
        </w:tc>
      </w:tr>
      <w:tr>
        <w:trPr>
          <w:cantSplit/>
        </w:trPr>
        <w:tc>
          <w:tcPr>
            <w:tcBorders/>
            <w:tcW w:w="1659" w:type="dxa"/>
          </w:tcPr>
          <w:p>
            <w:pPr>
              <w:pStyle w:val="922"/>
              <w:pBdr/>
              <w:spacing/>
              <w:ind/>
              <w:rPr/>
            </w:pPr>
            <w:r>
              <w:t xml:space="preserve">Jugador</w:t>
            </w:r>
            <w:r/>
          </w:p>
        </w:tc>
        <w:tc>
          <w:tcPr>
            <w:tcBorders/>
            <w:tcW w:w="2496" w:type="dxa"/>
          </w:tcPr>
          <w:p>
            <w:pPr>
              <w:pStyle w:val="922"/>
              <w:pBdr/>
              <w:spacing/>
              <w:ind/>
              <w:rPr/>
            </w:pPr>
            <w:r>
              <w:t xml:space="preserve">Usuario estándar </w:t>
            </w:r>
            <w:r/>
          </w:p>
        </w:tc>
        <w:tc>
          <w:tcPr>
            <w:tcBorders/>
            <w:tcW w:w="5249" w:type="dxa"/>
          </w:tcPr>
          <w:p>
            <w:pPr>
              <w:pStyle w:val="922"/>
              <w:pBdr/>
              <w:spacing/>
              <w:ind/>
              <w:rPr/>
            </w:pPr>
            <w:r>
              <w:t xml:space="preserve">Consulta de su historial personal, estadísticas individuales, amonestaciones y vigencia de sanciones. </w:t>
            </w:r>
            <w:r/>
          </w:p>
        </w:tc>
      </w:tr>
      <w:tr>
        <w:trPr>
          <w:cantSplit/>
        </w:trPr>
        <w:tc>
          <w:tcPr>
            <w:tcBorders/>
            <w:tcW w:w="1659" w:type="dxa"/>
          </w:tcPr>
          <w:p>
            <w:pPr>
              <w:pStyle w:val="922"/>
              <w:pBdr/>
              <w:spacing/>
              <w:ind/>
              <w:rPr/>
            </w:pPr>
            <w:r>
              <w:t xml:space="preserve">Público General (Aficionado/prensa)</w:t>
            </w:r>
            <w:r/>
          </w:p>
        </w:tc>
        <w:tc>
          <w:tcPr>
            <w:tcBorders/>
            <w:tcW w:w="2496" w:type="dxa"/>
          </w:tcPr>
          <w:p>
            <w:pPr>
              <w:pStyle w:val="922"/>
              <w:pBdr/>
              <w:spacing/>
              <w:ind/>
              <w:rPr/>
            </w:pPr>
            <w:r>
              <w:t xml:space="preserve">Sin capacitación técnica</w:t>
            </w:r>
            <w:r/>
          </w:p>
        </w:tc>
        <w:tc>
          <w:tcPr>
            <w:tcBorders/>
            <w:tcW w:w="5249" w:type="dxa"/>
          </w:tcPr>
          <w:p>
            <w:pPr>
              <w:pStyle w:val="922"/>
              <w:pBdr/>
              <w:spacing/>
              <w:ind/>
              <w:rPr/>
            </w:pPr>
            <w:r>
              <w:t xml:space="preserve">Acceso abierto y sin credenciales al portal público, consulta inmediata e intuitiva del portal web (modo solo lectura)</w:t>
            </w:r>
            <w:r/>
          </w:p>
        </w:tc>
      </w:tr>
    </w:tbl>
    <w:p w14:paraId="48F9FF2E">
      <w:pPr>
        <w:pBdr/>
        <w:spacing w:after="60" w:before="0"/>
        <w:ind/>
        <w:rPr/>
      </w:pPr>
      <w:r/>
      <w:r/>
    </w:p>
    <w:p w14:paraId="703C96A1">
      <w:pPr>
        <w:pBdr/>
        <w:spacing w:after="60" w:before="0"/>
        <w:ind/>
        <w:rPr/>
      </w:pPr>
      <w:r/>
      <w:r/>
    </w:p>
    <w:p>
      <w:pPr>
        <w:pBdr/>
        <w:spacing w:after="60" w:before="0"/>
        <w:ind/>
        <w:rPr/>
      </w:pPr>
      <w:r/>
      <w:r/>
    </w:p>
    <w:p>
      <w:pPr>
        <w:pStyle w:val="916"/>
        <w:pBdr/>
        <w:spacing/>
        <w:ind/>
        <w:rPr/>
      </w:pPr>
      <w:r/>
      <w:bookmarkStart w:id="11" w:name="_Toc100011"/>
      <w:r>
        <w:t xml:space="preserve">2.4 Restricciones</w:t>
      </w:r>
      <w:bookmarkEnd w:id="11"/>
      <w:r/>
      <w:r/>
    </w:p>
    <w:p>
      <w:pPr>
        <w:pStyle w:val="920"/>
        <w:numPr>
          <w:ilvl w:val="0"/>
          <w:numId w:val="1"/>
        </w:numPr>
        <w:pBdr/>
        <w:spacing/>
        <w:ind/>
        <w:rPr/>
      </w:pPr>
      <w:r>
        <w:rPr>
          <w:b/>
          <w:bCs/>
        </w:rPr>
        <w:t xml:space="preserve">Restricciones Tecnológicas y de Arquitectura</w:t>
      </w:r>
      <w:r/>
    </w:p>
    <w:p>
      <w:pPr>
        <w:pStyle w:val="920"/>
        <w:numPr>
          <w:ilvl w:val="0"/>
          <w:numId w:val="1"/>
        </w:numPr>
        <w:pBdr/>
        <w:spacing/>
        <w:ind/>
        <w:rPr/>
      </w:pPr>
      <w:r>
        <w:t xml:space="preserve">Desarrollo mediante metodologías ágiles (Scrum)</w:t>
      </w:r>
      <w:r/>
    </w:p>
    <w:p>
      <w:pPr>
        <w:pStyle w:val="920"/>
        <w:numPr>
          <w:ilvl w:val="0"/>
          <w:numId w:val="1"/>
        </w:numPr>
        <w:pBdr/>
        <w:spacing/>
        <w:ind/>
        <w:rPr/>
      </w:pPr>
      <w:r>
        <w:t xml:space="preserve">El sistema es una aplicación web responsiva (optimizada para móviles, tabletas y escritorio); no se construirán aplicaciones móviles nativas instalables. </w:t>
      </w:r>
      <w:r/>
    </w:p>
    <w:p>
      <w:pPr>
        <w:pStyle w:val="920"/>
        <w:numPr>
          <w:ilvl w:val="0"/>
          <w:numId w:val="1"/>
        </w:numPr>
        <w:pBdr/>
        <w:spacing/>
        <w:ind/>
        <w:rPr/>
      </w:pPr>
      <w:r>
        <w:t xml:space="preserve">Laravel será utilizado como framework de frontend integrado y backend</w:t>
      </w:r>
      <w:r/>
    </w:p>
    <w:p>
      <w:pPr>
        <w:pStyle w:val="920"/>
        <w:numPr>
          <w:ilvl w:val="0"/>
          <w:numId w:val="1"/>
        </w:numPr>
        <w:pBdr/>
        <w:spacing/>
        <w:ind/>
        <w:rPr/>
      </w:pPr>
      <w:r>
        <w:t xml:space="preserve"> MariaDB será el sistema gestor de base de datos</w:t>
      </w:r>
      <w:r/>
    </w:p>
    <w:p>
      <w:pPr>
        <w:pStyle w:val="920"/>
        <w:numPr>
          <w:ilvl w:val="0"/>
          <w:numId w:val="1"/>
        </w:numPr>
        <w:pBdr/>
        <w:spacing/>
        <w:ind/>
        <w:rPr/>
      </w:pPr>
      <w:r>
        <w:t xml:space="preserve">El sistema atenderá a una sola liga: la Liga Municipal de Morelia. El soporte para varias ligas (multitenant) se evaluará a mediano plazo y no forma parte de esta versión.</w:t>
      </w:r>
      <w:r>
        <w:t xml:space="preserve"> </w:t>
      </w:r>
      <w:r/>
    </w:p>
    <w:p>
      <w:pPr>
        <w:pStyle w:val="920"/>
        <w:numPr>
          <w:ilvl w:val="0"/>
          <w:numId w:val="1"/>
        </w:numPr>
        <w:pBdr/>
        <w:spacing/>
        <w:ind/>
        <w:rPr/>
      </w:pPr>
      <w:r>
        <w:rPr>
          <w:b/>
          <w:bCs/>
        </w:rPr>
        <w:t xml:space="preserve">Restricciones de Negocio y Reglas Deportivas</w:t>
      </w:r>
      <w:r/>
    </w:p>
    <w:p>
      <w:pPr>
        <w:pStyle w:val="920"/>
        <w:numPr>
          <w:ilvl w:val="0"/>
          <w:numId w:val="1"/>
        </w:numPr>
        <w:pBdr/>
        <w:spacing/>
        <w:ind/>
        <w:rPr/>
      </w:pPr>
      <w:r>
        <w:t xml:space="preserve">Restricción de plantilla dura; un jugador solo puede saltar como máximo a 1 categoría superior inmediata dentro de su mismo club. Saltos mayores o participación en múltiples clubes bloquearán el sistema. Fuente de la regla: por confirmar con la Liga.</w:t>
      </w:r>
      <w:r/>
    </w:p>
    <w:p>
      <w:pPr>
        <w:pStyle w:val="920"/>
        <w:numPr>
          <w:ilvl w:val="0"/>
          <w:numId w:val="1"/>
        </w:numPr>
        <w:pBdr/>
        <w:spacing/>
        <w:ind/>
        <w:rPr/>
      </w:pPr>
      <w:r>
        <w:t xml:space="preserve">Baja por Defaults</w:t>
      </w:r>
      <w:r>
        <w:rPr>
          <w:b/>
          <w:bCs/>
        </w:rPr>
        <w:t xml:space="preserve">:</w:t>
      </w:r>
      <w:r>
        <w:t xml:space="preserve"> al llegar a 5 partidos perdidos por </w:t>
      </w:r>
      <w:r>
        <w:rPr>
          <w:i/>
          <w:iCs/>
        </w:rPr>
        <w:t xml:space="preserve">default</w:t>
      </w:r>
      <w:r>
        <w:t xml:space="preserve">, el sistema restringirá automáticamente la programación futura del equipo implicado. Fuente de la regla: por confirmar con la Liga. </w:t>
      </w:r>
      <w:r/>
    </w:p>
    <w:p>
      <w:pPr>
        <w:pStyle w:val="920"/>
        <w:numPr>
          <w:ilvl w:val="0"/>
          <w:numId w:val="1"/>
        </w:numPr>
        <w:pBdr/>
        <w:spacing/>
        <w:ind/>
        <w:rPr/>
      </w:pPr>
      <w:r>
        <w:t xml:space="preserve">Versionado de Reglas: Las reglas de la temporada (criterios de desempate, formatos de liguilla, catálogos de multas) deben estar versionadas y congeladas para no alterar resultados en el futuro. </w:t>
      </w:r>
      <w:r/>
    </w:p>
    <w:p>
      <w:pPr>
        <w:pStyle w:val="920"/>
        <w:numPr>
          <w:ilvl w:val="0"/>
          <w:numId w:val="1"/>
        </w:numPr>
        <w:pBdr/>
        <w:spacing/>
        <w:ind/>
        <w:rPr/>
      </w:pPr>
      <w:r>
        <w:t xml:space="preserve">Reseteo Histórico: La venta o cambio de nombre de un club obliga administrativamente al sistema a desvincular y reiniciar su historial deportivo desde cero. Sin embargo, su histórico anterior quedará igualmente plasmado en el sistema.</w:t>
      </w:r>
      <w:r/>
    </w:p>
    <w:p>
      <w:pPr>
        <w:pStyle w:val="920"/>
        <w:numPr>
          <w:ilvl w:val="0"/>
          <w:numId w:val="1"/>
        </w:numPr>
        <w:pBdr/>
        <w:spacing/>
        <w:ind/>
        <w:rPr/>
      </w:pPr>
      <w:r>
        <w:t xml:space="preserve">Inmutabilidad Histórica: Las temporadas finalizadas y los expedientes cerrados pasan a ser datos históricos de solo lectura y bajo ninguna circunstancia deben sobrescribirse. </w:t>
      </w:r>
      <w:r/>
    </w:p>
    <w:p>
      <w:pPr>
        <w:pStyle w:val="920"/>
        <w:numPr>
          <w:ilvl w:val="0"/>
          <w:numId w:val="1"/>
        </w:numPr>
        <w:pBdr/>
        <w:spacing/>
        <w:ind/>
        <w:rPr/>
      </w:pPr>
      <w:r>
        <w:rPr>
          <w:b/>
          <w:bCs/>
        </w:rPr>
        <w:t xml:space="preserve">Restricciones de Privacidad, Seguridad y Legales</w:t>
      </w:r>
      <w:r/>
    </w:p>
    <w:p>
      <w:pPr>
        <w:pStyle w:val="920"/>
        <w:numPr>
          <w:ilvl w:val="0"/>
          <w:numId w:val="1"/>
        </w:numPr>
        <w:pBdr/>
        <w:spacing/>
        <w:ind/>
        <w:rPr/>
      </w:pPr>
      <w:r>
        <w:t xml:space="preserve">Los documentos confidenciales (INE, CURP, responsivas, domicilios) no deben exponerse mediante URLs públicas directas</w:t>
      </w:r>
      <w:r/>
    </w:p>
    <w:p>
      <w:pPr>
        <w:pStyle w:val="920"/>
        <w:numPr>
          <w:ilvl w:val="0"/>
          <w:numId w:val="1"/>
        </w:numPr>
        <w:pBdr/>
        <w:spacing/>
        <w:ind/>
        <w:rPr/>
      </w:pPr>
      <w:r>
        <w:t xml:space="preserve">El portal público no tendrá privilegios de edición o acceso a endpoints administrativos</w:t>
      </w:r>
      <w:r/>
    </w:p>
    <w:p>
      <w:pPr>
        <w:pStyle w:val="920"/>
        <w:numPr>
          <w:ilvl w:val="0"/>
          <w:numId w:val="1"/>
        </w:numPr>
        <w:pBdr/>
        <w:spacing/>
        <w:ind/>
        <w:rPr/>
      </w:pPr>
      <w:r>
        <w:t xml:space="preserve">Todo cambio crítico (especialmente la corrección de marcadores confirmados o sanciones) debe dejar un log inmutable auditando quién, cuándo, qué valor se alteró y por qué. </w:t>
      </w:r>
      <w:r/>
    </w:p>
    <w:p>
      <w:pPr>
        <w:pStyle w:val="920"/>
        <w:numPr>
          <w:ilvl w:val="0"/>
          <w:numId w:val="1"/>
        </w:numPr>
        <w:pBdr/>
        <w:spacing/>
        <w:ind/>
        <w:rPr/>
      </w:pPr>
      <w:r>
        <w:t xml:space="preserve">Las decisiones que no estén explícitas en el reglament</w:t>
      </w:r>
      <w:r>
        <w:t xml:space="preserve">o (ej. suspensión de sanciones por inconformidad o recurso, tolerancias de tiempo, efectos exactos de los adeudos) no deben programarse como código rígido, sino como parámetros configurables que requerirán confirmación oficial de la directiva de la Liga. </w:t>
      </w:r>
      <w:r/>
    </w:p>
    <w:p>
      <w:pPr>
        <w:pStyle w:val="915"/>
        <w:pageBreakBefore w:val="true"/>
        <w:pBdr/>
        <w:spacing/>
        <w:ind/>
        <w:rPr/>
      </w:pPr>
      <w:r/>
      <w:bookmarkStart w:id="12" w:name="_Toc100012"/>
      <w:r>
        <w:t xml:space="preserve">3. Requisitos específicos</w:t>
      </w:r>
      <w:bookmarkEnd w:id="12"/>
      <w:r/>
      <w:r/>
    </w:p>
    <w:p>
      <w:pPr>
        <w:pBdr/>
        <w:spacing/>
        <w:ind/>
        <w:rPr/>
      </w:pPr>
      <w:r>
        <w:t xml:space="preserve">Esta sección detalla los requisitos del Sistema de Gestión para la Liga Municipal de Morelia</w:t>
      </w:r>
      <w:r>
        <w:t xml:space="preserve"> a partir del documento base, las convocatorias 2026–2027, la programación oficial</w:t>
      </w:r>
      <w:r>
        <w:t xml:space="preserve">, los reglamentos de referencia de la IFAB y la FMF y el levantamiento de información. Todo punto no respaldado expresamente por esas fuentes queda sujeto a validación con la Liga.</w:t>
      </w:r>
      <w:r/>
    </w:p>
    <w:p>
      <w:pPr>
        <w:pStyle w:val="916"/>
        <w:pBdr/>
        <w:spacing/>
        <w:ind/>
        <w:rPr/>
      </w:pPr>
      <w:r/>
      <w:bookmarkStart w:id="13" w:name="_Toc100013"/>
      <w:r>
        <w:t xml:space="preserve">3.1 Requisitos comunes de las interfaces</w:t>
      </w:r>
      <w:bookmarkEnd w:id="13"/>
      <w:r/>
      <w:r/>
    </w:p>
    <w:p>
      <w:pPr>
        <w:pBdr/>
        <w:spacing/>
        <w:ind/>
        <w:rPr/>
      </w:pPr>
      <w:r>
        <w:t xml:space="preserve">Describe las entradas y salidas del sistema en sus interfaces con usuarios, hardware, otros programas y redes.</w:t>
      </w:r>
      <w:r/>
    </w:p>
    <w:p>
      <w:pPr>
        <w:pStyle w:val="917"/>
        <w:pBdr/>
        <w:spacing/>
        <w:ind/>
        <w:rPr/>
      </w:pPr>
      <w:r/>
      <w:bookmarkStart w:id="14" w:name="_Toc100014"/>
      <w:r>
        <w:t xml:space="preserve">3.1.1 Interfaces de usuario</w:t>
      </w:r>
      <w:bookmarkEnd w:id="14"/>
      <w:r/>
      <w:r/>
    </w:p>
    <w:p>
      <w:pPr>
        <w:pBdr/>
        <w:spacing/>
        <w:ind/>
        <w:rPr/>
      </w:pPr>
      <w:r>
        <w:t xml:space="preserve">El sistema se ofrecerá como aplicación web responsive con dos entornos: un portal público de solo consulta y un sistema interno con acceso por rol.</w:t>
      </w:r>
      <w:r/>
    </w:p>
    <w:p>
      <w:pPr>
        <w:pStyle w:val="921"/>
        <w:pBdr/>
        <w:spacing/>
        <w:ind/>
        <w:rPr/>
      </w:pPr>
      <w:r>
        <w:rPr>
          <w:b/>
          <w:bCs/>
        </w:rPr>
        <w:t xml:space="preserve">IU-01 </w:t>
      </w:r>
      <w:r>
        <w:t xml:space="preserve">El portal público deberá mostrar programación semanal, resultados, tablas, calendario, comunicados y sanciones autorizadas, con buscador por fecha, categoría y equipo.</w:t>
      </w:r>
      <w:r/>
    </w:p>
    <w:p>
      <w:pPr>
        <w:pStyle w:val="921"/>
        <w:pBdr/>
        <w:spacing/>
        <w:ind/>
        <w:rPr/>
      </w:pPr>
      <w:r>
        <w:rPr>
          <w:b/>
          <w:bCs/>
        </w:rPr>
        <w:t xml:space="preserve">IU-02 </w:t>
      </w:r>
      <w:r>
        <w:t xml:space="preserve">El sistema interno deberá presentar a cada usuario solo los mó</w:t>
      </w:r>
      <w:r>
        <w:t xml:space="preserve">dulos y acciones permitidos por su rol (administrador general, presidente, secretario, tesorero, Comisión de la Rama Infantil, programador de partidos, capturista, Comisión Disciplinaria, Comisión Arbitral, árbitro, presidente de club, delegado y jugador).</w:t>
      </w:r>
      <w:r/>
    </w:p>
    <w:p>
      <w:pPr>
        <w:pStyle w:val="921"/>
        <w:pBdr/>
        <w:spacing/>
        <w:ind/>
        <w:rPr/>
      </w:pPr>
      <w:r>
        <w:rPr>
          <w:b/>
          <w:bCs/>
        </w:rPr>
        <w:t xml:space="preserve">IU-03 </w:t>
      </w:r>
      <w:r>
        <w:t xml:space="preserve">La interfaz deberá estar en español, usar formularios con validación de datos al momento de captura y mostrar mensajes de error claros.</w:t>
      </w:r>
      <w:r/>
    </w:p>
    <w:p>
      <w:pPr>
        <w:pStyle w:val="921"/>
        <w:pBdr/>
        <w:spacing/>
        <w:ind/>
        <w:rPr/>
      </w:pPr>
      <w:r>
        <w:rPr>
          <w:b/>
          <w:bCs/>
        </w:rPr>
        <w:t xml:space="preserve">IU-04 </w:t>
      </w:r>
      <w:r>
        <w:t xml:space="preserve">La interfaz deberá adaptarse a computadora, tableta y celular, y cumplir criterios básicos de accesibilidad (contraste, tamaño de texto y navegación por teclado).</w:t>
      </w:r>
      <w:r/>
    </w:p>
    <w:p>
      <w:pPr>
        <w:pStyle w:val="921"/>
        <w:pBdr/>
        <w:spacing/>
        <w:ind/>
        <w:rPr/>
      </w:pPr>
      <w:r>
        <w:rPr>
          <w:b/>
          <w:bCs/>
        </w:rPr>
        <w:t xml:space="preserve">IU-05 </w:t>
      </w:r>
      <w:r>
        <w:t xml:space="preserve">Cuando una acción esté bloqueada (por ejemplo, un jugador sancionado), la interfaz deberá mostrar el motivo y la regla que lo origina.</w:t>
      </w:r>
      <w:r/>
    </w:p>
    <w:p>
      <w:pPr>
        <w:pStyle w:val="921"/>
        <w:pBdr/>
        <w:spacing/>
        <w:ind/>
        <w:rPr/>
      </w:pPr>
      <w:r>
        <w:rPr>
          <w:b/>
          <w:bCs/>
        </w:rPr>
        <w:t xml:space="preserve">IU-06 </w:t>
      </w:r>
      <w:r>
        <w:t xml:space="preserve">La captura de cédula arbitral deberá poder hacerse desde un dispositivo móvil durante la jornada.</w:t>
      </w:r>
      <w:r/>
    </w:p>
    <w:p>
      <w:pPr>
        <w:pStyle w:val="921"/>
        <w:pBdr/>
        <w:spacing/>
        <w:ind/>
        <w:rPr/>
      </w:pPr>
      <w:r>
        <w:rPr>
          <w:b/>
          <w:bCs/>
        </w:rPr>
        <w:t xml:space="preserve">IU-07 </w:t>
      </w:r>
      <w:r>
        <w:t xml:space="preserve">El estilo visual (colores, logotipo y tipografía) será el definido por la Liga; si no lo ha especificado, se propondrá en el diseño de interfaz y se validará con ella.</w:t>
      </w:r>
      <w:r/>
    </w:p>
    <w:p>
      <w:pPr>
        <w:pStyle w:val="917"/>
        <w:pBdr/>
        <w:spacing/>
        <w:ind/>
        <w:rPr/>
      </w:pPr>
      <w:r/>
      <w:bookmarkStart w:id="15" w:name="_Toc100015"/>
      <w:r>
        <w:t xml:space="preserve">3.1.2 Interfaces de hardware</w:t>
      </w:r>
      <w:bookmarkEnd w:id="15"/>
      <w:r/>
      <w:r/>
    </w:p>
    <w:p>
      <w:pPr>
        <w:pBdr/>
        <w:spacing/>
        <w:ind/>
        <w:rPr/>
      </w:pPr>
      <w:r>
        <w:t xml:space="preserve">El sistema no requiere hardware dedicado ni controla dispositivos físicos; se utiliza el hardware estándar de los usuarios y del servidor.</w:t>
      </w:r>
      <w:r/>
    </w:p>
    <w:p>
      <w:pPr>
        <w:pStyle w:val="921"/>
        <w:pBdr/>
        <w:spacing/>
        <w:ind/>
        <w:rPr/>
      </w:pPr>
      <w:r>
        <w:rPr>
          <w:b/>
          <w:bCs/>
        </w:rPr>
        <w:t xml:space="preserve">IH-01 </w:t>
      </w:r>
      <w:r>
        <w:t xml:space="preserve">Los usuarios accederán con computadora, tableta o teléfono con navegador web actualizado y conexión a internet.</w:t>
      </w:r>
      <w:r/>
    </w:p>
    <w:p>
      <w:pPr>
        <w:pStyle w:val="921"/>
        <w:pBdr/>
        <w:spacing/>
        <w:ind/>
        <w:rPr/>
      </w:pPr>
      <w:r>
        <w:rPr>
          <w:b/>
          <w:bCs/>
        </w:rPr>
        <w:t xml:space="preserve">IH-02 </w:t>
      </w:r>
      <w:r>
        <w:t xml:space="preserve">La captura de fotografías de jugadores y de evidencias deberá poder hacerse con la cámara del dispositivo o cargando un archivo de imagen.</w:t>
      </w:r>
      <w:r/>
    </w:p>
    <w:p>
      <w:pPr>
        <w:pStyle w:val="921"/>
        <w:pBdr/>
        <w:spacing/>
        <w:ind/>
        <w:rPr/>
      </w:pPr>
      <w:r>
        <w:rPr>
          <w:b/>
          <w:bCs/>
        </w:rPr>
        <w:t xml:space="preserve">IH-03 </w:t>
      </w:r>
      <w:r>
        <w:t xml:space="preserve">Los reportes (programación, tablas, cédulas, castigados) deberán poder imprimirse con cualquier impresora configurada en el equipo del usuario, mediante archivos PDF.</w:t>
      </w:r>
      <w:r/>
    </w:p>
    <w:p>
      <w:pPr>
        <w:pStyle w:val="921"/>
        <w:pBdr/>
        <w:spacing/>
        <w:ind/>
        <w:rPr/>
      </w:pPr>
      <w:r>
        <w:rPr>
          <w:b/>
          <w:bCs/>
        </w:rPr>
        <w:t xml:space="preserve">IH-04 </w:t>
      </w:r>
      <w:r>
        <w:t xml:space="preserve">El servidor (propio o en la nube) deberá contar con almacenamiento suficiente para la base de datos, los documentos adjuntos y los respaldos. Los valores exactos se definirán en la fase de arquitectura.</w:t>
      </w:r>
      <w:r/>
    </w:p>
    <w:p>
      <w:pPr>
        <w:pStyle w:val="917"/>
        <w:pBdr/>
        <w:spacing/>
        <w:ind/>
        <w:rPr/>
      </w:pPr>
      <w:r/>
      <w:bookmarkStart w:id="16" w:name="_Toc100016"/>
      <w:r>
        <w:t xml:space="preserve">3.1.3 Interfaces de software</w:t>
      </w:r>
      <w:bookmarkEnd w:id="16"/>
      <w:r/>
      <w:r/>
    </w:p>
    <w:p>
      <w:pPr>
        <w:keepNext w:val="true"/>
        <w:pBdr/>
        <w:spacing/>
        <w:ind/>
        <w:rPr/>
      </w:pPr>
      <w:r>
        <w:t xml:space="preserve">El sistema deberá integrarse con los siguientes productos de software. Cada integración se justificará por costo, seguridad y necesidad.</w:t>
      </w:r>
      <w:r/>
    </w:p>
    <w:p>
      <w:pPr>
        <w:pStyle w:val="923"/>
        <w:keepNext w:val="true"/>
        <w:pBdr/>
        <w:spacing/>
        <w:ind/>
        <w:rPr/>
      </w:pPr>
      <w:r>
        <w:rPr>
          <w:b/>
          <w:bCs/>
          <w:color w:val="241a61"/>
          <w:sz w:val="18"/>
          <w:szCs w:val="18"/>
        </w:rPr>
        <w:t xml:space="preserve">Tabla 7. </w:t>
      </w:r>
      <w:r>
        <w:rPr>
          <w:sz w:val="18"/>
          <w:szCs w:val="18"/>
        </w:rPr>
        <w:t xml:space="preserve">Interfaces de software.</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3762"/>
        <w:gridCol w:w="2821"/>
      </w:tblGrid>
      <w:tr>
        <w:trPr>
          <w:cantSplit/>
          <w:tblHeader/>
        </w:trPr>
        <w:tc>
          <w:tcPr>
            <w:shd w:val="clear" w:color="auto" w:fill="241a61"/>
            <w:tcBorders/>
            <w:tcW w:w="2821" w:type="dxa"/>
          </w:tcPr>
          <w:p>
            <w:pPr>
              <w:pStyle w:val="922"/>
              <w:pBdr/>
              <w:spacing/>
              <w:ind/>
              <w:rPr/>
            </w:pPr>
            <w:r>
              <w:rPr>
                <w:b/>
                <w:bCs/>
                <w:color w:val="ffffff"/>
              </w:rPr>
              <w:t xml:space="preserve">Producto</w:t>
            </w:r>
            <w:r/>
          </w:p>
        </w:tc>
        <w:tc>
          <w:tcPr>
            <w:shd w:val="clear" w:color="auto" w:fill="241a61"/>
            <w:tcBorders/>
            <w:tcW w:w="3762" w:type="dxa"/>
          </w:tcPr>
          <w:p>
            <w:pPr>
              <w:pStyle w:val="922"/>
              <w:pBdr/>
              <w:spacing/>
              <w:ind/>
              <w:rPr/>
            </w:pPr>
            <w:r>
              <w:rPr>
                <w:b/>
                <w:bCs/>
                <w:color w:val="ffffff"/>
              </w:rPr>
              <w:t xml:space="preserve">Propósito</w:t>
            </w:r>
            <w:r/>
          </w:p>
        </w:tc>
        <w:tc>
          <w:tcPr>
            <w:shd w:val="clear" w:color="auto" w:fill="241a61"/>
            <w:tcBorders/>
            <w:tcW w:w="2821" w:type="dxa"/>
          </w:tcPr>
          <w:p>
            <w:pPr>
              <w:pStyle w:val="922"/>
              <w:pBdr/>
              <w:spacing/>
              <w:ind/>
              <w:rPr/>
            </w:pPr>
            <w:r>
              <w:rPr>
                <w:b/>
                <w:bCs/>
                <w:color w:val="ffffff"/>
              </w:rPr>
              <w:t xml:space="preserve">Contenido y formato</w:t>
            </w:r>
            <w:r/>
          </w:p>
        </w:tc>
      </w:tr>
      <w:tr>
        <w:trPr>
          <w:cantSplit/>
        </w:trPr>
        <w:tc>
          <w:tcPr>
            <w:shd w:val="clear" w:color="auto" w:fill="f3f2f8"/>
            <w:tcBorders/>
            <w:tcW w:w="2821" w:type="dxa"/>
          </w:tcPr>
          <w:p>
            <w:pPr>
              <w:pStyle w:val="922"/>
              <w:pBdr/>
              <w:spacing/>
              <w:ind/>
              <w:rPr/>
            </w:pPr>
            <w:r>
              <w:rPr>
                <w:b/>
                <w:bCs/>
              </w:rPr>
              <w:t xml:space="preserve">Navegador web (Chrome, Edge, Firefox, Safari)</w:t>
            </w:r>
            <w:r/>
          </w:p>
        </w:tc>
        <w:tc>
          <w:tcPr>
            <w:tcBorders/>
            <w:tcW w:w="3762" w:type="dxa"/>
          </w:tcPr>
          <w:p>
            <w:pPr>
              <w:pStyle w:val="922"/>
              <w:pBdr/>
              <w:spacing/>
              <w:ind/>
              <w:rPr/>
            </w:pPr>
            <w:r>
              <w:t xml:space="preserve">Acceso de usuarios al portal y al sistema interno</w:t>
            </w:r>
            <w:r/>
          </w:p>
        </w:tc>
        <w:tc>
          <w:tcPr>
            <w:tcBorders/>
            <w:tcW w:w="2821" w:type="dxa"/>
          </w:tcPr>
          <w:p>
            <w:pPr>
              <w:pStyle w:val="922"/>
              <w:pBdr/>
              <w:spacing/>
              <w:ind/>
              <w:rPr/>
            </w:pPr>
            <w:r>
              <w:t xml:space="preserve">HTML, CSS y JavaScript sobre HTTPS</w:t>
            </w:r>
            <w:r/>
          </w:p>
        </w:tc>
      </w:tr>
      <w:tr>
        <w:trPr>
          <w:cantSplit/>
        </w:trPr>
        <w:tc>
          <w:tcPr>
            <w:shd w:val="clear" w:color="auto" w:fill="f3f2f8"/>
            <w:tcBorders/>
            <w:tcW w:w="2821" w:type="dxa"/>
          </w:tcPr>
          <w:p>
            <w:pPr>
              <w:pStyle w:val="922"/>
              <w:pBdr/>
              <w:spacing/>
              <w:ind/>
              <w:rPr/>
            </w:pPr>
            <w:r>
              <w:rPr>
                <w:b/>
                <w:bCs/>
              </w:rPr>
              <w:t xml:space="preserve">Sistema gestor de base de datos relacional (MariaDB)</w:t>
            </w:r>
            <w:r/>
          </w:p>
        </w:tc>
        <w:tc>
          <w:tcPr>
            <w:tcBorders/>
            <w:tcW w:w="3762" w:type="dxa"/>
          </w:tcPr>
          <w:p>
            <w:pPr>
              <w:pStyle w:val="922"/>
              <w:pBdr/>
              <w:spacing/>
              <w:ind/>
              <w:rPr/>
            </w:pPr>
            <w:r>
              <w:t xml:space="preserve">Almacenar temporadas, equipos, personas, partidos, resultados, sanciones y auditoría</w:t>
            </w:r>
            <w:r/>
          </w:p>
        </w:tc>
        <w:tc>
          <w:tcPr>
            <w:tcBorders/>
            <w:tcW w:w="2821" w:type="dxa"/>
          </w:tcPr>
          <w:p>
            <w:pPr>
              <w:pStyle w:val="922"/>
              <w:pBdr/>
              <w:spacing/>
              <w:ind/>
              <w:rPr/>
            </w:pPr>
            <w:r>
              <w:t xml:space="preserve">Tablas relacionales; consultas SQL</w:t>
            </w:r>
            <w:r/>
          </w:p>
        </w:tc>
      </w:tr>
      <w:tr>
        <w:trPr>
          <w:cantSplit/>
        </w:trPr>
        <w:tc>
          <w:tcPr>
            <w:shd w:val="clear" w:color="auto" w:fill="f3f2f8"/>
            <w:tcBorders/>
            <w:tcW w:w="2821" w:type="dxa"/>
          </w:tcPr>
          <w:p>
            <w:pPr>
              <w:pStyle w:val="922"/>
              <w:pBdr/>
              <w:spacing/>
              <w:ind/>
              <w:rPr/>
            </w:pPr>
            <w:r>
              <w:rPr>
                <w:b/>
                <w:bCs/>
              </w:rPr>
              <w:t xml:space="preserve">Servicio de correo electrónico</w:t>
            </w:r>
            <w:r/>
          </w:p>
        </w:tc>
        <w:tc>
          <w:tcPr>
            <w:tcBorders/>
            <w:tcW w:w="3762" w:type="dxa"/>
          </w:tcPr>
          <w:p>
            <w:pPr>
              <w:pStyle w:val="922"/>
              <w:pBdr/>
              <w:spacing/>
              <w:ind/>
              <w:rPr/>
            </w:pPr>
            <w:r>
              <w:t xml:space="preserve">Enviar notificaciones, comunicados y recuperación de contraseña</w:t>
            </w:r>
            <w:r/>
          </w:p>
        </w:tc>
        <w:tc>
          <w:tcPr>
            <w:tcBorders/>
            <w:tcW w:w="2821" w:type="dxa"/>
          </w:tcPr>
          <w:p>
            <w:pPr>
              <w:pStyle w:val="922"/>
              <w:pBdr/>
              <w:spacing/>
              <w:ind/>
              <w:rPr/>
            </w:pPr>
            <w:r>
              <w:t xml:space="preserve">Mensajes SMTP en texto/HTML</w:t>
            </w:r>
            <w:r/>
          </w:p>
        </w:tc>
      </w:tr>
      <w:tr>
        <w:trPr>
          <w:cantSplit/>
        </w:trPr>
        <w:tc>
          <w:tcPr>
            <w:shd w:val="clear" w:color="auto" w:fill="f3f2f8"/>
            <w:tcBorders/>
            <w:tcW w:w="2821" w:type="dxa"/>
          </w:tcPr>
          <w:p>
            <w:pPr>
              <w:pStyle w:val="922"/>
              <w:pBdr/>
              <w:spacing/>
              <w:ind/>
              <w:rPr/>
            </w:pPr>
            <w:r>
              <w:rPr>
                <w:b/>
                <w:bCs/>
              </w:rPr>
              <w:t xml:space="preserve">Almacenamiento documental</w:t>
            </w:r>
            <w:r/>
          </w:p>
        </w:tc>
        <w:tc>
          <w:tcPr>
            <w:tcBorders/>
            <w:tcW w:w="3762" w:type="dxa"/>
          </w:tcPr>
          <w:p>
            <w:pPr>
              <w:pStyle w:val="922"/>
              <w:pBdr/>
              <w:spacing/>
              <w:ind/>
              <w:rPr/>
            </w:pPr>
            <w:r>
              <w:t xml:space="preserve">Guardar convocatorias, documentos de jugadores, comprobantes y evidencias</w:t>
            </w:r>
            <w:r/>
          </w:p>
        </w:tc>
        <w:tc>
          <w:tcPr>
            <w:tcBorders/>
            <w:tcW w:w="2821" w:type="dxa"/>
          </w:tcPr>
          <w:p>
            <w:pPr>
              <w:pStyle w:val="922"/>
              <w:pBdr/>
              <w:spacing/>
              <w:ind/>
              <w:rPr/>
            </w:pPr>
            <w:r>
              <w:t xml:space="preserve">Archivos PDF, JPG y PNG</w:t>
            </w:r>
            <w:r/>
          </w:p>
        </w:tc>
      </w:tr>
      <w:tr>
        <w:trPr>
          <w:cantSplit/>
        </w:trPr>
        <w:tc>
          <w:tcPr>
            <w:shd w:val="clear" w:color="auto" w:fill="f3f2f8"/>
            <w:tcBorders/>
            <w:tcW w:w="2821" w:type="dxa"/>
          </w:tcPr>
          <w:p>
            <w:pPr>
              <w:pStyle w:val="922"/>
              <w:pBdr/>
              <w:spacing/>
              <w:ind/>
              <w:rPr/>
            </w:pPr>
            <w:r>
              <w:rPr>
                <w:b/>
                <w:bCs/>
              </w:rPr>
              <w:t xml:space="preserve">Generador de PDF</w:t>
            </w:r>
            <w:r/>
          </w:p>
        </w:tc>
        <w:tc>
          <w:tcPr>
            <w:tcBorders/>
            <w:tcW w:w="3762" w:type="dxa"/>
          </w:tcPr>
          <w:p>
            <w:pPr>
              <w:pStyle w:val="922"/>
              <w:pBdr/>
              <w:spacing/>
              <w:ind/>
              <w:rPr/>
            </w:pPr>
            <w:r>
              <w:t xml:space="preserve">Exportar programación, tablas, cédulas y reportes</w:t>
            </w:r>
            <w:r/>
          </w:p>
        </w:tc>
        <w:tc>
          <w:tcPr>
            <w:tcBorders/>
            <w:tcW w:w="2821" w:type="dxa"/>
          </w:tcPr>
          <w:p>
            <w:pPr>
              <w:pStyle w:val="922"/>
              <w:pBdr/>
              <w:spacing/>
              <w:ind/>
              <w:rPr/>
            </w:pPr>
            <w:r>
              <w:t xml:space="preserve">Documentos PDF</w:t>
            </w:r>
            <w:r/>
          </w:p>
        </w:tc>
      </w:tr>
    </w:tbl>
    <w:p>
      <w:pPr>
        <w:pBdr/>
        <w:spacing w:after="60" w:before="0"/>
        <w:ind/>
        <w:rPr/>
      </w:pPr>
      <w:r/>
      <w:r/>
    </w:p>
    <w:p>
      <w:pPr>
        <w:pStyle w:val="917"/>
        <w:pBdr/>
        <w:spacing/>
        <w:ind/>
        <w:rPr/>
      </w:pPr>
      <w:r/>
      <w:bookmarkStart w:id="17" w:name="_Toc100017"/>
      <w:r>
        <w:t xml:space="preserve">3.1.4 Interfaces de comunicación</w:t>
      </w:r>
      <w:bookmarkEnd w:id="17"/>
      <w:r/>
      <w:r/>
    </w:p>
    <w:p>
      <w:pPr>
        <w:pBdr/>
        <w:spacing/>
        <w:ind/>
        <w:rPr/>
      </w:pPr>
      <w:r>
        <w:t xml:space="preserve">Se describen los protocolos y mecanismos de comunicación que el sistema usará con otros sistemas y con sus usuarios.</w:t>
      </w:r>
      <w:r/>
    </w:p>
    <w:p>
      <w:pPr>
        <w:pStyle w:val="921"/>
        <w:pBdr/>
        <w:spacing/>
        <w:ind/>
        <w:rPr/>
      </w:pPr>
      <w:r>
        <w:rPr>
          <w:b/>
          <w:bCs/>
        </w:rPr>
        <w:t xml:space="preserve">IC-01 </w:t>
      </w:r>
      <w:r>
        <w:t xml:space="preserve">Toda comunicación entre el navegador y el servidor deberá realizarse mediante HTTPS (TLS), sin exponer datos personales en texto plano.</w:t>
      </w:r>
      <w:r/>
    </w:p>
    <w:p>
      <w:pPr>
        <w:pStyle w:val="921"/>
        <w:pBdr/>
        <w:spacing/>
        <w:ind/>
        <w:rPr/>
      </w:pPr>
      <w:r>
        <w:rPr>
          <w:b/>
          <w:bCs/>
        </w:rPr>
        <w:t xml:space="preserve">IC-02 </w:t>
      </w:r>
      <w:r>
        <w:t xml:space="preserve">La aplicación se construirá con Laravel y vistas Blade generadas en el servidor; el navegador se comunicará con ella mediante solicitudes HTTPS (formularios y enlaces), sin una API REST separada.</w:t>
      </w:r>
      <w:r/>
    </w:p>
    <w:p>
      <w:pPr>
        <w:pStyle w:val="921"/>
        <w:pBdr/>
        <w:spacing/>
        <w:ind/>
        <w:rPr/>
      </w:pPr>
      <w:r>
        <w:rPr>
          <w:b/>
          <w:bCs/>
        </w:rPr>
        <w:t xml:space="preserve">IC-03 </w:t>
      </w:r>
      <w:r>
        <w:t xml:space="preserve">El envío de correos deberá usar SMTP con autenticación hacia el servicio de correo configurado.</w:t>
      </w:r>
      <w:r/>
    </w:p>
    <w:p>
      <w:pPr>
        <w:pStyle w:val="921"/>
        <w:pBdr/>
        <w:spacing/>
        <w:ind/>
        <w:rPr/>
      </w:pPr>
      <w:r>
        <w:rPr>
          <w:b/>
          <w:bCs/>
        </w:rPr>
        <w:t xml:space="preserve">IC-04 </w:t>
      </w:r>
      <w:r>
        <w:t xml:space="preserve">Las credenciales del servicio de correo deberán almacenarse de forma segura, fuera del código fuente.</w:t>
      </w:r>
      <w:r/>
    </w:p>
    <w:p>
      <w:pPr>
        <w:pStyle w:val="921"/>
        <w:pBdr/>
        <w:spacing/>
        <w:ind/>
        <w:rPr/>
      </w:pPr>
      <w:r>
        <w:rPr>
          <w:b/>
          <w:bCs/>
        </w:rPr>
        <w:t xml:space="preserve">IC-05 </w:t>
      </w:r>
      <w:r>
        <w:t xml:space="preserve">La comunicación entre el servidor y la base de datos deberá estar restringida a la red interna y protegida con credenciales.</w:t>
      </w:r>
      <w:r/>
    </w:p>
    <w:p>
      <w:pPr>
        <w:pStyle w:val="916"/>
        <w:pBdr/>
        <w:spacing/>
        <w:ind/>
        <w:rPr/>
      </w:pPr>
      <w:r/>
      <w:bookmarkStart w:id="18" w:name="_Toc100018"/>
      <w:r>
        <w:t xml:space="preserve">3.2 Requisitos funcionales</w:t>
      </w:r>
      <w:bookmarkEnd w:id="18"/>
      <w:r/>
      <w:r/>
    </w:p>
    <w:p>
      <w:pPr>
        <w:pBdr/>
        <w:spacing/>
        <w:ind/>
        <w:rPr/>
      </w:pPr>
      <w:r>
        <w:t xml:space="preserve">Los requisitos funcionales se agrupan en cuatro bloques y se identifican como RF-xx para su seguimie</w:t>
      </w:r>
      <w:r>
        <w:t xml:space="preserve">nto y trazabilidad. Cada uno incluye su tabla de datos y su descripción. Prioridades: Alta/Esencial, Media/Deseado, Baja/Opcional. Equivalencia con la prioridad MoSCoW de la sección 1.2: Alta/Esencial = Must, Media/Deseado = Should y Baja/Opcional = Could.</w:t>
      </w:r>
      <w:r/>
    </w:p>
    <w:p>
      <w:pPr>
        <w:pStyle w:val="917"/>
        <w:pBdr/>
        <w:spacing/>
        <w:ind/>
        <w:rPr/>
      </w:pPr>
      <w:r/>
      <w:bookmarkStart w:id="19" w:name="_Toc100019"/>
      <w:r>
        <w:t xml:space="preserve">3.2.1 Requisito funcional 1: Estructura deportiva, clubes y jugadores</w:t>
      </w:r>
      <w:bookmarkEnd w:id="19"/>
      <w:r/>
      <w:r/>
    </w:p>
    <w:p>
      <w:pPr>
        <w:pStyle w:val="918"/>
        <w:pBdr/>
        <w:spacing/>
        <w:ind/>
        <w:rPr/>
      </w:pPr>
      <w:r/>
      <w:bookmarkStart w:id="20" w:name="_Toc100020"/>
      <w:r>
        <w:t xml:space="preserve">RF-01 – Gestión de temporadas y convocatorias</w:t>
      </w:r>
      <w:bookmarkEnd w:id="20"/>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RF-01</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temporadas y convocatorias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 documento base (diap. 8, 33, 44)</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Permite crear y administrar temporadas deportivas y la convocatoria normativa asociada, conservando el histórico de reglas.</w:t>
      </w:r>
      <w:r/>
    </w:p>
    <w:p>
      <w:pPr>
        <w:pStyle w:val="921"/>
        <w:pBdr/>
        <w:spacing/>
        <w:ind/>
        <w:rPr/>
      </w:pPr>
      <w:r>
        <w:rPr>
          <w:b/>
          <w:bCs/>
        </w:rPr>
        <w:t xml:space="preserve">RF-01.1 </w:t>
      </w:r>
      <w:r>
        <w:t xml:space="preserve">El sistema deberá permitir registrar una temporada con nombre, fecha de inicio, fecha de fin y convocatoria asociada (documento adjunto).</w:t>
      </w:r>
      <w:r/>
    </w:p>
    <w:p>
      <w:pPr>
        <w:pStyle w:val="921"/>
        <w:pBdr/>
        <w:spacing/>
        <w:ind/>
        <w:rPr/>
      </w:pPr>
      <w:r>
        <w:rPr>
          <w:b/>
          <w:bCs/>
        </w:rPr>
        <w:t xml:space="preserve">RF-01.2 </w:t>
      </w:r>
      <w:r>
        <w:t xml:space="preserve">El sistema deberá permitir configurar por temporada las cuotas, fechas límite, reglas de clasificación, desempates y reglas de ascenso/descenso.</w:t>
      </w:r>
      <w:r/>
    </w:p>
    <w:p>
      <w:pPr>
        <w:pStyle w:val="921"/>
        <w:pBdr/>
        <w:spacing/>
        <w:ind/>
        <w:rPr/>
      </w:pPr>
      <w:r>
        <w:rPr>
          <w:b/>
          <w:bCs/>
        </w:rPr>
        <w:t xml:space="preserve">RF-01.3 </w:t>
      </w:r>
      <w:r>
        <w:t xml:space="preserve">El sistema deberá versionar las reglas de cada temporada y registrar usuario, fecha y motivo de cada cambio.</w:t>
      </w:r>
      <w:r/>
    </w:p>
    <w:p>
      <w:pPr>
        <w:pStyle w:val="921"/>
        <w:pBdr/>
        <w:spacing/>
        <w:ind/>
        <w:rPr/>
      </w:pPr>
      <w:r>
        <w:rPr>
          <w:b/>
          <w:bCs/>
        </w:rPr>
        <w:t xml:space="preserve">RF-01.4 </w:t>
      </w:r>
      <w:r>
        <w:t xml:space="preserve">El sistema no deberá permitir modificar ni eliminar temporadas cerradas; solo consulta.</w:t>
      </w:r>
      <w:r/>
    </w:p>
    <w:p>
      <w:pPr>
        <w:pStyle w:val="918"/>
        <w:pBdr/>
        <w:spacing/>
        <w:ind/>
        <w:rPr/>
      </w:pPr>
      <w:r/>
      <w:bookmarkStart w:id="21" w:name="_Toc100021"/>
      <w:r>
        <w:t xml:space="preserve">RF-02 – Gestión de categorías y grupos</w:t>
      </w:r>
      <w:bookmarkEnd w:id="21"/>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RF-02</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categorías y grupos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Programación oficial; documento base (diap. 9)</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Permite definir la estructura deportiva de cada temporada: categoría → grupo → equipos.</w:t>
      </w:r>
      <w:r/>
    </w:p>
    <w:p>
      <w:pPr>
        <w:pStyle w:val="921"/>
        <w:pBdr/>
        <w:spacing/>
        <w:ind/>
        <w:rPr/>
      </w:pPr>
      <w:r>
        <w:rPr>
          <w:b/>
          <w:bCs/>
        </w:rPr>
        <w:t xml:space="preserve">RF-02.1 </w:t>
      </w:r>
      <w:r>
        <w:t xml:space="preserve">El sistema deberá permitir crear categorías (p. ej. Primera Fuerza, Reserva, Intermedia, Segunda, Tercera, Juvenil, Cuarta, Veteranos) sin modificar el código del sistema.</w:t>
      </w:r>
      <w:r/>
    </w:p>
    <w:p>
      <w:pPr>
        <w:pStyle w:val="921"/>
        <w:pBdr/>
        <w:spacing/>
        <w:ind/>
        <w:rPr/>
      </w:pPr>
      <w:r>
        <w:rPr>
          <w:b/>
          <w:bCs/>
        </w:rPr>
        <w:t xml:space="preserve">RF-02.2 </w:t>
      </w:r>
      <w:r>
        <w:t xml:space="preserve">El sistema deberá permitir que una categoría tenga uno o varios grupos por temporada.</w:t>
      </w:r>
      <w:r/>
    </w:p>
    <w:p>
      <w:pPr>
        <w:pStyle w:val="921"/>
        <w:pBdr/>
        <w:spacing/>
        <w:ind/>
        <w:rPr/>
      </w:pPr>
      <w:r>
        <w:rPr>
          <w:b/>
          <w:bCs/>
        </w:rPr>
        <w:t xml:space="preserve">RF-02.3 </w:t>
      </w:r>
      <w:r>
        <w:t xml:space="preserve">El sistema deberá permitir configurar el formato de competencia y los criterios de clasificación de cada categoría/grupo.</w:t>
      </w:r>
      <w:r/>
    </w:p>
    <w:p>
      <w:pPr>
        <w:pStyle w:val="921"/>
        <w:pBdr/>
        <w:spacing/>
        <w:ind/>
        <w:rPr/>
      </w:pPr>
      <w:r>
        <w:rPr>
          <w:b/>
          <w:bCs/>
        </w:rPr>
        <w:t xml:space="preserve">RF-02.4 </w:t>
      </w:r>
      <w:r>
        <w:t xml:space="preserve">El sistema deberá asignar cada equipo a una sola categoría/grupo por temporada.</w:t>
      </w:r>
      <w:r/>
    </w:p>
    <w:p>
      <w:pPr>
        <w:pStyle w:val="918"/>
        <w:pBdr/>
        <w:spacing/>
        <w:ind/>
        <w:rPr/>
      </w:pPr>
      <w:r/>
      <w:bookmarkStart w:id="22" w:name="_Toc100022"/>
      <w:r>
        <w:t xml:space="preserve">RF-03 – Gestión de clubes, equipos y personas</w:t>
      </w:r>
      <w:bookmarkEnd w:id="22"/>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RF-03</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clubes, equipos y personas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Administra clubes afiliados, equipos por temporada y la identidad de las personas con sus distintos roles.</w:t>
      </w:r>
      <w:r/>
    </w:p>
    <w:p>
      <w:pPr>
        <w:pStyle w:val="921"/>
        <w:pBdr/>
        <w:spacing/>
        <w:ind/>
        <w:rPr/>
      </w:pPr>
      <w:r>
        <w:rPr>
          <w:b/>
          <w:bCs/>
        </w:rPr>
        <w:t xml:space="preserve">RF-03.1 </w:t>
      </w:r>
      <w:r>
        <w:t xml:space="preserve">El sistema deberá permitir dar de alta un club y sus equipos por categoría, grupo y temporada (tarjetón, delegado, árbitro si aplica).</w:t>
      </w:r>
      <w:r/>
    </w:p>
    <w:p>
      <w:pPr>
        <w:pStyle w:val="921"/>
        <w:pBdr/>
        <w:spacing/>
        <w:ind/>
        <w:rPr/>
      </w:pPr>
      <w:r>
        <w:rPr>
          <w:b/>
          <w:bCs/>
        </w:rPr>
        <w:t xml:space="preserve">RF-03.2 </w:t>
      </w:r>
      <w:r>
        <w:t xml:space="preserve">El sistema deberá manejar a la persona como identidad única reutilizable, con roles asignables (jugador, delegado, árbitro, directivo).</w:t>
      </w:r>
      <w:r/>
    </w:p>
    <w:p>
      <w:pPr>
        <w:pStyle w:val="921"/>
        <w:pBdr/>
        <w:spacing/>
        <w:ind/>
        <w:rPr/>
      </w:pPr>
      <w:r>
        <w:rPr>
          <w:b/>
          <w:bCs/>
        </w:rPr>
        <w:t xml:space="preserve">RF-03.3 </w:t>
      </w:r>
      <w:r>
        <w:t xml:space="preserve">El sistema deberá validar y alertar sobre posibles duplicados de personas y de nombres de equipos.</w:t>
      </w:r>
      <w:r/>
    </w:p>
    <w:p>
      <w:pPr>
        <w:pStyle w:val="921"/>
        <w:pBdr/>
        <w:spacing/>
        <w:ind/>
        <w:rPr/>
      </w:pPr>
      <w:r>
        <w:rPr>
          <w:b/>
          <w:bCs/>
        </w:rPr>
        <w:t xml:space="preserve">RF-03.4 </w:t>
      </w:r>
      <w:r>
        <w:t xml:space="preserve">El sistema deberá conservar el historial de equipos y temporadas de cada persona.</w:t>
      </w:r>
      <w:r/>
    </w:p>
    <w:p>
      <w:pPr>
        <w:pStyle w:val="918"/>
        <w:pBdr/>
        <w:spacing/>
        <w:ind/>
        <w:rPr/>
      </w:pPr>
      <w:r/>
      <w:bookmarkStart w:id="23" w:name="_Toc100023"/>
      <w:r>
        <w:t xml:space="preserve">RF-04 – Registro y habilitación de jugadores</w:t>
      </w:r>
      <w:bookmarkEnd w:id="23"/>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RF-04</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Registro y habilitación de jugadores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 documento base (diap. 11)</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Controla altas, bajas, renovaciones y transferencias de jugadores, validando su elegibilidad antes de participar.</w:t>
      </w:r>
      <w:r/>
    </w:p>
    <w:p>
      <w:pPr>
        <w:pStyle w:val="921"/>
        <w:pBdr/>
        <w:spacing/>
        <w:ind/>
        <w:rPr/>
      </w:pPr>
      <w:r>
        <w:rPr>
          <w:b/>
          <w:bCs/>
        </w:rPr>
        <w:t xml:space="preserve">RF-04.1 </w:t>
      </w:r>
      <w:r>
        <w:t xml:space="preserve">El sistema deberá registrar al jugador con identificación, documentos, fotografía, categoría, equipo y temporada.</w:t>
      </w:r>
      <w:r/>
    </w:p>
    <w:p>
      <w:pPr>
        <w:pStyle w:val="921"/>
        <w:pBdr/>
        <w:spacing/>
        <w:ind/>
        <w:rPr/>
      </w:pPr>
      <w:r>
        <w:rPr>
          <w:b/>
          <w:bCs/>
        </w:rPr>
        <w:t xml:space="preserve">RF-04.2 </w:t>
      </w:r>
      <w:r>
        <w:t xml:space="preserve">El sistema deberá permitir altas, bajas, renovaciones y transferencias conforme a las reglas configuradas por temporada.</w:t>
      </w:r>
      <w:r/>
    </w:p>
    <w:p>
      <w:pPr>
        <w:pStyle w:val="921"/>
        <w:pBdr/>
        <w:spacing/>
        <w:ind/>
        <w:rPr/>
      </w:pPr>
      <w:r>
        <w:rPr>
          <w:b/>
          <w:bCs/>
        </w:rPr>
        <w:t xml:space="preserve">RF-04.3 </w:t>
      </w:r>
      <w:r>
        <w:t xml:space="preserve">El sistema deberá manejar los estados del jugador: activo, suspendido, baja e inelegible.</w:t>
      </w:r>
      <w:r/>
    </w:p>
    <w:p>
      <w:pPr>
        <w:pStyle w:val="921"/>
        <w:pBdr/>
        <w:spacing/>
        <w:ind/>
        <w:rPr/>
      </w:pPr>
      <w:r>
        <w:rPr>
          <w:b/>
          <w:bCs/>
        </w:rPr>
        <w:t xml:space="preserve">RF-04.4 </w:t>
      </w:r>
      <w:r>
        <w:t xml:space="preserve">El sistema deberá validar la elegibilidad (documentos completos, cuota cubierta, sin sanción vigente) y mostrar el motivo cuando no sea elegible.</w:t>
      </w:r>
      <w:r/>
    </w:p>
    <w:p>
      <w:pPr>
        <w:pStyle w:val="921"/>
        <w:pBdr/>
        <w:spacing/>
        <w:ind/>
        <w:rPr/>
      </w:pPr>
      <w:r>
        <w:rPr>
          <w:b/>
          <w:bCs/>
        </w:rPr>
        <w:t xml:space="preserve">RF-04.5 </w:t>
      </w:r>
      <w:r>
        <w:t xml:space="preserve">El sistema deberá proteger los datos personales y registrar todo cambio en un historial.</w:t>
      </w:r>
      <w:r/>
    </w:p>
    <w:p>
      <w:pPr>
        <w:pStyle w:val="917"/>
        <w:pBdr/>
        <w:spacing/>
        <w:ind/>
        <w:rPr/>
      </w:pPr>
      <w:r/>
      <w:bookmarkStart w:id="24" w:name="_Toc100024"/>
      <w:r>
        <w:t xml:space="preserve">3.2.2 Requisito funcional 2: Canchas y programación</w:t>
      </w:r>
      <w:bookmarkEnd w:id="24"/>
      <w:r/>
      <w:r/>
    </w:p>
    <w:p>
      <w:pPr>
        <w:pStyle w:val="918"/>
        <w:pBdr/>
        <w:spacing/>
        <w:ind/>
        <w:rPr/>
      </w:pPr>
      <w:r/>
      <w:bookmarkStart w:id="25" w:name="_Toc100025"/>
      <w:r>
        <w:t xml:space="preserve">RF-05 – Gestión de canchas y sedes</w:t>
      </w:r>
      <w:bookmarkEnd w:id="25"/>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RF-05</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Gestión de canchas y sedes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Programación oficial; documento base (diap. 13)</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Mantiene el catálogo de canchas como recurso con disponibilidad por fecha y hora.</w:t>
      </w:r>
      <w:r/>
    </w:p>
    <w:p>
      <w:pPr>
        <w:pStyle w:val="921"/>
        <w:pBdr/>
        <w:spacing/>
        <w:ind/>
        <w:rPr/>
      </w:pPr>
      <w:r>
        <w:rPr>
          <w:b/>
          <w:bCs/>
        </w:rPr>
        <w:t xml:space="preserve">RF-05.1 </w:t>
      </w:r>
      <w:r>
        <w:t xml:space="preserve">El sistema deberá permitir registrar canchas y sedes con sus características y capacidad de partidos consecutivos.</w:t>
      </w:r>
      <w:r/>
    </w:p>
    <w:p>
      <w:pPr>
        <w:pStyle w:val="921"/>
        <w:pBdr/>
        <w:spacing/>
        <w:ind/>
        <w:rPr/>
      </w:pPr>
      <w:r>
        <w:rPr>
          <w:b/>
          <w:bCs/>
        </w:rPr>
        <w:t xml:space="preserve">RF-05.2 </w:t>
      </w:r>
      <w:r>
        <w:t xml:space="preserve">El sistema deberá registrar la disponibilidad por fecha y hora, así como bloqueos por mantenimiento o por clima (por ejemplo, lluvia).</w:t>
      </w:r>
      <w:r/>
    </w:p>
    <w:p>
      <w:pPr>
        <w:pStyle w:val="921"/>
        <w:pBdr/>
        <w:spacing/>
        <w:ind/>
        <w:rPr/>
      </w:pPr>
      <w:r>
        <w:rPr>
          <w:b/>
          <w:bCs/>
        </w:rPr>
        <w:t xml:space="preserve">RF-05.3 </w:t>
      </w:r>
      <w:r>
        <w:t xml:space="preserve">El sistema deberá impedir asignar una cancha bloqueada o ya ocupada en el mismo horario.</w:t>
      </w:r>
      <w:r/>
    </w:p>
    <w:p>
      <w:pPr>
        <w:pStyle w:val="918"/>
        <w:pBdr/>
        <w:spacing/>
        <w:ind/>
        <w:rPr/>
      </w:pPr>
      <w:r/>
      <w:bookmarkStart w:id="26" w:name="_Toc100026"/>
      <w:r>
        <w:t xml:space="preserve">RF-06 – Programación semanal de partidos</w:t>
      </w:r>
      <w:bookmarkEnd w:id="26"/>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RF-06</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Programación semanal de partidos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Programación oficial; documento base (diap. 14, 19)</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Administra jornadas y partidos con su cancha, horario, árbitro y estado.</w:t>
      </w:r>
      <w:r/>
    </w:p>
    <w:p>
      <w:pPr>
        <w:pStyle w:val="921"/>
        <w:pBdr/>
        <w:spacing/>
        <w:ind/>
        <w:rPr/>
      </w:pPr>
      <w:r>
        <w:rPr>
          <w:b/>
          <w:bCs/>
        </w:rPr>
        <w:t xml:space="preserve">RF-06.1 </w:t>
      </w:r>
      <w:r>
        <w:t xml:space="preserve">El sistema deberá permitir crear jornadas y partidos con equipo local y visitante, cancha, fecha, hora y árbitro.</w:t>
      </w:r>
      <w:r/>
    </w:p>
    <w:p>
      <w:pPr>
        <w:pStyle w:val="921"/>
        <w:pBdr/>
        <w:spacing/>
        <w:ind/>
        <w:rPr/>
      </w:pPr>
      <w:r>
        <w:rPr>
          <w:b/>
          <w:bCs/>
        </w:rPr>
        <w:t xml:space="preserve">RF-06.2 </w:t>
      </w:r>
      <w:r>
        <w:t xml:space="preserve">El sistema deberá registrar los equipos que descansan en cada jornada.</w:t>
      </w:r>
      <w:r/>
    </w:p>
    <w:p>
      <w:pPr>
        <w:pStyle w:val="921"/>
        <w:pBdr/>
        <w:spacing/>
        <w:ind/>
        <w:rPr/>
      </w:pPr>
      <w:r>
        <w:rPr>
          <w:b/>
          <w:bCs/>
        </w:rPr>
        <w:t xml:space="preserve">RF-06.3 </w:t>
      </w:r>
      <w:r>
        <w:t xml:space="preserve">El sistema deberá manejar los estados del partido: borrador, programado, confirmado, en juego, finalizado, suspendido, cancelado y reprogramado.</w:t>
      </w:r>
      <w:r/>
    </w:p>
    <w:p>
      <w:pPr>
        <w:pStyle w:val="921"/>
        <w:pBdr/>
        <w:spacing/>
        <w:ind/>
        <w:rPr/>
      </w:pPr>
      <w:r>
        <w:rPr>
          <w:b/>
          <w:bCs/>
        </w:rPr>
        <w:t xml:space="preserve">RF-06.4 </w:t>
      </w:r>
      <w:r>
        <w:t xml:space="preserve">El sistema deberá registrar usuario, fecha y motivo en cada cambio de estado o reprogramación.</w:t>
      </w:r>
      <w:r/>
    </w:p>
    <w:p>
      <w:pPr>
        <w:pStyle w:val="921"/>
        <w:pBdr/>
        <w:spacing/>
        <w:ind/>
        <w:rPr/>
      </w:pPr>
      <w:r>
        <w:rPr>
          <w:b/>
          <w:bCs/>
        </w:rPr>
        <w:t xml:space="preserve">RF-06.5 </w:t>
      </w:r>
      <w:r>
        <w:t xml:space="preserve">El sistema deberá permitir publicar la programación solo después de su revisión y aprobación.</w:t>
      </w:r>
      <w:r/>
    </w:p>
    <w:p>
      <w:pPr>
        <w:pStyle w:val="921"/>
        <w:pBdr/>
        <w:spacing/>
        <w:ind/>
        <w:rPr/>
      </w:pPr>
      <w:r>
        <w:rPr>
          <w:b/>
          <w:bCs/>
        </w:rPr>
        <w:t xml:space="preserve">RF-06.6 </w:t>
      </w:r>
      <w:r>
        <w:t xml:space="preserve">El sistema no deberá eliminar partidos que tengan historial.</w:t>
      </w:r>
      <w:r/>
    </w:p>
    <w:p>
      <w:pPr>
        <w:pStyle w:val="918"/>
        <w:pBdr/>
        <w:spacing/>
        <w:ind/>
        <w:rPr/>
      </w:pPr>
      <w:r/>
      <w:bookmarkStart w:id="27" w:name="_Toc100027"/>
      <w:r>
        <w:t xml:space="preserve">RF-07 – Generación automática de programación</w:t>
      </w:r>
      <w:bookmarkEnd w:id="27"/>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RF-07</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Generación automática de programación</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Documento base (diap. 17, 18)</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Genera propuestas de calendario a partir de equipos, canchas y restricciones.</w:t>
      </w:r>
      <w:r/>
    </w:p>
    <w:p>
      <w:pPr>
        <w:pStyle w:val="921"/>
        <w:pBdr/>
        <w:spacing/>
        <w:ind/>
        <w:rPr/>
      </w:pPr>
      <w:r>
        <w:rPr>
          <w:b/>
          <w:bCs/>
        </w:rPr>
        <w:t xml:space="preserve">RF-07.1 </w:t>
      </w:r>
      <w:r>
        <w:t xml:space="preserve">El sistema deberá generar enfrentamientos y asignar fechas, horarios y canchas a partir de temporada, categoría, grupo, equipos y disponibilidad.</w:t>
      </w:r>
      <w:r/>
    </w:p>
    <w:p>
      <w:pPr>
        <w:pStyle w:val="921"/>
        <w:pBdr/>
        <w:spacing/>
        <w:ind/>
        <w:rPr/>
      </w:pPr>
      <w:r>
        <w:rPr>
          <w:b/>
          <w:bCs/>
        </w:rPr>
        <w:t xml:space="preserve">RF-07.2 </w:t>
      </w:r>
      <w:r>
        <w:t xml:space="preserve">El sistema deberá cumplir las restricciones duras: sin equipo duplicado en una jornada, sin cancha ocupada o no disponible y sin equipos con sanción que lo impida.</w:t>
      </w:r>
      <w:r/>
    </w:p>
    <w:p>
      <w:pPr>
        <w:pStyle w:val="921"/>
        <w:pBdr/>
        <w:spacing/>
        <w:ind/>
        <w:rPr/>
      </w:pPr>
      <w:r>
        <w:rPr>
          <w:b/>
          <w:bCs/>
        </w:rPr>
        <w:t xml:space="preserve">RF-07.3 </w:t>
      </w:r>
      <w:r>
        <w:t xml:space="preserve">El sistema deberá detectar conflictos y explicar cuáles impiden generar una solución.</w:t>
      </w:r>
      <w:r/>
    </w:p>
    <w:p>
      <w:pPr>
        <w:pStyle w:val="921"/>
        <w:pBdr/>
        <w:spacing/>
        <w:ind/>
        <w:rPr/>
      </w:pPr>
      <w:r>
        <w:rPr>
          <w:b/>
          <w:bCs/>
        </w:rPr>
        <w:t xml:space="preserve">RF-07.4 </w:t>
      </w:r>
      <w:r>
        <w:t xml:space="preserve">El sistema deberá permitir ajustes manuales por usuario autorizado y registrar el motivo de la generación o modificación.</w:t>
      </w:r>
      <w:r/>
    </w:p>
    <w:p>
      <w:pPr>
        <w:pStyle w:val="917"/>
        <w:pBdr/>
        <w:spacing/>
        <w:ind/>
        <w:rPr/>
      </w:pPr>
      <w:r/>
      <w:bookmarkStart w:id="28" w:name="_Toc100028"/>
      <w:r>
        <w:t xml:space="preserve">3.2.3 Requisito funcional 3: Resultados, estadísticas y disciplina</w:t>
      </w:r>
      <w:bookmarkEnd w:id="28"/>
      <w:r/>
      <w:r/>
    </w:p>
    <w:p>
      <w:pPr>
        <w:pStyle w:val="918"/>
        <w:pBdr/>
        <w:spacing/>
        <w:ind/>
        <w:rPr/>
      </w:pPr>
      <w:r/>
      <w:bookmarkStart w:id="29" w:name="_Toc100029"/>
      <w:r>
        <w:t xml:space="preserve">RF-08 – Registro de resultados y cédula arbitral</w:t>
      </w:r>
      <w:bookmarkEnd w:id="29"/>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RF-08</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Registro de resultados y cédula arbitral</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Levantamiento (P19); documento base (diap. 20, 24)</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Captura el resultado del partido y la cédula arbitral con sus incidencias.</w:t>
      </w:r>
      <w:r/>
    </w:p>
    <w:p>
      <w:pPr>
        <w:pStyle w:val="921"/>
        <w:pBdr/>
        <w:spacing/>
        <w:ind/>
        <w:rPr/>
      </w:pPr>
      <w:r>
        <w:rPr>
          <w:b/>
          <w:bCs/>
        </w:rPr>
        <w:t xml:space="preserve">RF-08.1 </w:t>
      </w:r>
      <w:r>
        <w:t xml:space="preserve">El sistema deberá permitir al árbitro o capturista registrar marcador, alineaciones, amonestaciones, expulsiones, incidencias y reporte arbitral.</w:t>
      </w:r>
      <w:r/>
    </w:p>
    <w:p>
      <w:pPr>
        <w:pStyle w:val="921"/>
        <w:pBdr/>
        <w:spacing/>
        <w:ind/>
        <w:rPr/>
      </w:pPr>
      <w:r>
        <w:rPr>
          <w:b/>
          <w:bCs/>
        </w:rPr>
        <w:t xml:space="preserve">RF-08.2 </w:t>
      </w:r>
      <w:r>
        <w:t xml:space="preserve">El sistema deberá identificar automáticamente el partido, los equipos y las personas involucradas.</w:t>
      </w:r>
      <w:r/>
    </w:p>
    <w:p>
      <w:pPr>
        <w:pStyle w:val="921"/>
        <w:pBdr/>
        <w:spacing/>
        <w:ind/>
        <w:rPr/>
      </w:pPr>
      <w:r>
        <w:rPr>
          <w:b/>
          <w:bCs/>
        </w:rPr>
        <w:t xml:space="preserve">RF-08.3 </w:t>
      </w:r>
      <w:r>
        <w:t xml:space="preserve">El sistema deberá permitir corregir un resultado solo a usuarios autorizados, con auditoría y recálculo de la tabla.</w:t>
      </w:r>
      <w:r/>
    </w:p>
    <w:p>
      <w:pPr>
        <w:pStyle w:val="921"/>
        <w:pBdr/>
        <w:spacing/>
        <w:ind/>
        <w:rPr/>
      </w:pPr>
      <w:r>
        <w:rPr>
          <w:b/>
          <w:bCs/>
        </w:rPr>
        <w:t xml:space="preserve">RF-08.4 </w:t>
      </w:r>
      <w:r>
        <w:t xml:space="preserve">El sistema deberá considerar oficial un resultado únicamente después de su validación.</w:t>
      </w:r>
      <w:r/>
    </w:p>
    <w:p>
      <w:pPr>
        <w:pStyle w:val="918"/>
        <w:pBdr/>
        <w:spacing/>
        <w:ind/>
        <w:rPr/>
      </w:pPr>
      <w:r/>
      <w:bookmarkStart w:id="30" w:name="_Toc100030"/>
      <w:r>
        <w:t xml:space="preserve">RF-09 – Tablas de posiciones y estadísticas</w:t>
      </w:r>
      <w:bookmarkEnd w:id="30"/>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RF-09</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Tablas de posiciones y estadísticas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Documento base (diap. 20, 21)</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Calcula posiciones y estadísticas a partir de los resultados validados.</w:t>
      </w:r>
      <w:r/>
    </w:p>
    <w:p>
      <w:pPr>
        <w:pStyle w:val="921"/>
        <w:pBdr/>
        <w:spacing/>
        <w:ind/>
        <w:rPr/>
      </w:pPr>
      <w:r>
        <w:rPr>
          <w:b/>
          <w:bCs/>
        </w:rPr>
        <w:t xml:space="preserve">RF-09.1 </w:t>
      </w:r>
      <w:r>
        <w:t xml:space="preserve">El sistema deberá calcular automáticamente PJ, PG, PE, PP, GF, GC, DG, puntos y posición según las reglas de la temporada.</w:t>
      </w:r>
      <w:r/>
    </w:p>
    <w:p>
      <w:pPr>
        <w:pStyle w:val="921"/>
        <w:pBdr/>
        <w:spacing/>
        <w:ind/>
        <w:rPr/>
      </w:pPr>
      <w:r>
        <w:rPr>
          <w:b/>
          <w:bCs/>
        </w:rPr>
        <w:t xml:space="preserve">RF-09.2 </w:t>
      </w:r>
      <w:r>
        <w:t xml:space="preserve">El sistema deberá aplicar criterios de desempate parametrizables.</w:t>
      </w:r>
      <w:r/>
    </w:p>
    <w:p>
      <w:pPr>
        <w:pStyle w:val="921"/>
        <w:pBdr/>
        <w:spacing/>
        <w:ind/>
        <w:rPr/>
      </w:pPr>
      <w:r>
        <w:rPr>
          <w:b/>
          <w:bCs/>
        </w:rPr>
        <w:t xml:space="preserve">RF-09.3 </w:t>
      </w:r>
      <w:r>
        <w:t xml:space="preserve">El sistema deberá generar estadísticas de goleadores, tarjetas y sanciones, y conservar el historial de la tabla por jornada.</w:t>
      </w:r>
      <w:r/>
    </w:p>
    <w:p>
      <w:pPr>
        <w:pStyle w:val="921"/>
        <w:pBdr/>
        <w:spacing/>
        <w:ind/>
        <w:rPr/>
      </w:pPr>
      <w:r>
        <w:rPr>
          <w:b/>
          <w:bCs/>
        </w:rPr>
        <w:t xml:space="preserve">RF-09.4 </w:t>
      </w:r>
      <w:r>
        <w:t xml:space="preserve">El sistema deberá separar los datos oficiales de los indicadores calculados.</w:t>
      </w:r>
      <w:r/>
    </w:p>
    <w:p>
      <w:pPr>
        <w:pStyle w:val="918"/>
        <w:pBdr/>
        <w:spacing/>
        <w:ind/>
        <w:rPr/>
      </w:pPr>
      <w:r/>
      <w:bookmarkStart w:id="31" w:name="_Toc100031"/>
      <w:r>
        <w:t xml:space="preserve">RF-10 – Disciplina e inconformidades</w:t>
      </w:r>
      <w:bookmarkEnd w:id="31"/>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RF-10</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Disciplina e inconformidades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Reglamento de Sanciones FMF; levantamiento (P19 y aclaraciones); documento base (diap. 22–24)</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Gestiona el proceso desde la incidencia hasta la resolución, la sanción y los recursos.</w:t>
      </w:r>
      <w:r/>
    </w:p>
    <w:p>
      <w:pPr>
        <w:pStyle w:val="921"/>
        <w:pBdr/>
        <w:spacing/>
        <w:ind/>
        <w:rPr/>
      </w:pPr>
      <w:r>
        <w:rPr>
          <w:b/>
          <w:bCs/>
        </w:rPr>
        <w:t xml:space="preserve">RF-10.1 </w:t>
      </w:r>
      <w:r>
        <w:t xml:space="preserve">El sistema deberá generar un expediente a partir de las incidencias de la cédula, con personas, equipos, evidencias y artículos presuntamente infringidos.</w:t>
      </w:r>
      <w:r/>
    </w:p>
    <w:p>
      <w:pPr>
        <w:pStyle w:val="921"/>
        <w:pBdr/>
        <w:spacing/>
        <w:ind/>
        <w:rPr/>
      </w:pPr>
      <w:r>
        <w:rPr>
          <w:b/>
          <w:bCs/>
        </w:rPr>
        <w:t xml:space="preserve">RF-10.2 </w:t>
      </w:r>
      <w:r>
        <w:t xml:space="preserve">El sistema deberá permitir a la Comisión Disciplinaria registrar la audiencia, la resolución y la sanción.</w:t>
      </w:r>
      <w:r/>
    </w:p>
    <w:p>
      <w:pPr>
        <w:pStyle w:val="921"/>
        <w:pBdr/>
        <w:spacing/>
        <w:ind/>
        <w:rPr/>
      </w:pPr>
      <w:r>
        <w:rPr>
          <w:b/>
          <w:bCs/>
        </w:rPr>
        <w:t xml:space="preserve">RF-10.3 </w:t>
      </w:r>
      <w:r>
        <w:t xml:space="preserve">El sistema deberá calcular la vigencia de la sanción y mantener la lista de castigados.</w:t>
      </w:r>
      <w:r/>
    </w:p>
    <w:p>
      <w:pPr>
        <w:pStyle w:val="921"/>
        <w:pBdr/>
        <w:spacing/>
        <w:ind/>
        <w:rPr/>
      </w:pPr>
      <w:r>
        <w:rPr>
          <w:b/>
          <w:bCs/>
        </w:rPr>
        <w:t xml:space="preserve">RF-10.4 </w:t>
      </w:r>
      <w:r>
        <w:t xml:space="preserve">El sistema deberá bloquear la participación o programación cuando una sanción vigente lo impida e indicar la regla que lo origina.</w:t>
      </w:r>
      <w:r/>
    </w:p>
    <w:p>
      <w:pPr>
        <w:pStyle w:val="921"/>
        <w:pBdr/>
        <w:spacing/>
        <w:ind/>
        <w:rPr/>
      </w:pPr>
      <w:r>
        <w:rPr>
          <w:b/>
          <w:bCs/>
        </w:rPr>
        <w:t xml:space="preserve">RF-10.5 </w:t>
      </w:r>
      <w:r>
        <w:t xml:space="preserve">El sistema deberá permitir registrar inconformidades (primera instancia, ante la Comisión Disciplinaria) y recursos (segunda instancia, ante la Mesa Directiva o la Asamblea de Presidentes), y conservar un historial de resoluciones inmutable.</w:t>
      </w:r>
      <w:r/>
    </w:p>
    <w:p>
      <w:pPr>
        <w:pStyle w:val="917"/>
        <w:pBdr/>
        <w:spacing/>
        <w:ind/>
        <w:rPr/>
      </w:pPr>
      <w:r/>
      <w:bookmarkStart w:id="32" w:name="_Toc100032"/>
      <w:r>
        <w:t xml:space="preserve">3.2.4 Requisito funcional 4: Fases finales, administración y portal</w:t>
      </w:r>
      <w:bookmarkEnd w:id="32"/>
      <w:r/>
      <w:r/>
    </w:p>
    <w:p>
      <w:pPr>
        <w:pStyle w:val="918"/>
        <w:pBdr/>
        <w:spacing/>
        <w:ind/>
        <w:rPr/>
      </w:pPr>
      <w:r/>
      <w:bookmarkStart w:id="33" w:name="_Toc100033"/>
      <w:r>
        <w:t xml:space="preserve">RF-11 – Liguilla, ascensos, descensos y cierre de temporada</w:t>
      </w:r>
      <w:bookmarkEnd w:id="33"/>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RF-11</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Liguilla, ascensos, descensos y cierre de temporada</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 2026–2027 (V a VIII); documento base (diap. 25, 26)</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Baja / Opcional</w:t>
            </w:r>
            <w:r/>
          </w:p>
        </w:tc>
      </w:tr>
    </w:tbl>
    <w:p>
      <w:pPr>
        <w:pBdr/>
        <w:spacing w:after="60" w:before="0"/>
        <w:ind/>
        <w:rPr/>
      </w:pPr>
      <w:r/>
      <w:r/>
    </w:p>
    <w:p>
      <w:pPr>
        <w:pBdr/>
        <w:spacing/>
        <w:ind/>
        <w:rPr/>
      </w:pPr>
      <w:r>
        <w:rPr>
          <w:b/>
          <w:bCs/>
        </w:rPr>
        <w:t xml:space="preserve">Descripción:</w:t>
      </w:r>
      <w:r>
        <w:t xml:space="preserve"> Gestiona las fases finales y el cierre administrativo de la temporada.</w:t>
      </w:r>
      <w:r/>
    </w:p>
    <w:p>
      <w:pPr>
        <w:pStyle w:val="921"/>
        <w:pBdr/>
        <w:spacing/>
        <w:ind/>
        <w:rPr/>
      </w:pPr>
      <w:r>
        <w:rPr>
          <w:b/>
          <w:bCs/>
        </w:rPr>
        <w:t xml:space="preserve">RF-11.1 </w:t>
      </w:r>
      <w:r>
        <w:t xml:space="preserve">El sistema deberá clasificar equipos a la liguilla y generar llaves y calendario según las reglas configuradas.</w:t>
      </w:r>
      <w:r/>
    </w:p>
    <w:p>
      <w:pPr>
        <w:pStyle w:val="921"/>
        <w:pBdr/>
        <w:spacing/>
        <w:ind/>
        <w:rPr/>
      </w:pPr>
      <w:r>
        <w:rPr>
          <w:b/>
          <w:bCs/>
        </w:rPr>
        <w:t xml:space="preserve">RF-11.2 </w:t>
      </w:r>
      <w:r>
        <w:t xml:space="preserve">El sistema deberá registrar avances y eliminaciones, y determinar campeón y subcampeón.</w:t>
      </w:r>
      <w:r/>
    </w:p>
    <w:p>
      <w:pPr>
        <w:pStyle w:val="921"/>
        <w:pBdr/>
        <w:spacing/>
        <w:ind/>
        <w:rPr/>
      </w:pPr>
      <w:r>
        <w:rPr>
          <w:b/>
          <w:bCs/>
        </w:rPr>
        <w:t xml:space="preserve">RF-11.3 </w:t>
      </w:r>
      <w:r>
        <w:t xml:space="preserve">El sistema deberá generar propuestas de ascenso y descenso, guardando la versión de las reglas utilizada.</w:t>
      </w:r>
      <w:r/>
    </w:p>
    <w:p>
      <w:pPr>
        <w:pStyle w:val="921"/>
        <w:pBdr/>
        <w:spacing/>
        <w:ind/>
        <w:rPr/>
      </w:pPr>
      <w:r>
        <w:rPr>
          <w:b/>
          <w:bCs/>
        </w:rPr>
        <w:t xml:space="preserve">RF-11.4 </w:t>
      </w:r>
      <w:r>
        <w:t xml:space="preserve">El sistema deberá requerir validación humana cuando la regla no sea automática.</w:t>
      </w:r>
      <w:r/>
    </w:p>
    <w:p>
      <w:pPr>
        <w:pStyle w:val="921"/>
        <w:pBdr/>
        <w:spacing/>
        <w:ind/>
        <w:rPr/>
      </w:pPr>
      <w:r>
        <w:rPr>
          <w:b/>
          <w:bCs/>
        </w:rPr>
        <w:t xml:space="preserve">RF-11.5 </w:t>
      </w:r>
      <w:r>
        <w:t xml:space="preserve">El sistema deberá emitir el informe final y cerrar la temporada.</w:t>
      </w:r>
      <w:r/>
    </w:p>
    <w:p>
      <w:pPr>
        <w:pStyle w:val="921"/>
        <w:pBdr/>
        <w:spacing/>
        <w:ind/>
        <w:rPr/>
      </w:pPr>
      <w:r>
        <w:rPr>
          <w:b/>
          <w:bCs/>
        </w:rPr>
        <w:t xml:space="preserve">RF-11.6 </w:t>
      </w:r>
      <w:r>
        <w:t xml:space="preserve">El sistema deberá gestionar la liguilla de consolación (campeón alterno), el partido de Campeón de Campeones y el campeón de goleo de cada categoría.</w:t>
      </w:r>
      <w:r/>
    </w:p>
    <w:p>
      <w:pPr>
        <w:pStyle w:val="921"/>
        <w:pBdr/>
        <w:spacing/>
        <w:ind/>
        <w:rPr/>
      </w:pPr>
      <w:r>
        <w:rPr>
          <w:b/>
          <w:bCs/>
        </w:rPr>
        <w:t xml:space="preserve">RF-11.7 </w:t>
      </w:r>
      <w:r>
        <w:t xml:space="preserve">El sistema deberá permitir registrar el Torneo de Copa y torneos especiales (por ejemplo, de verano), cada uno con su calendario y su tabla.</w:t>
      </w:r>
      <w:r/>
    </w:p>
    <w:p>
      <w:pPr>
        <w:pStyle w:val="918"/>
        <w:pBdr/>
        <w:spacing/>
        <w:ind/>
        <w:rPr/>
      </w:pPr>
      <w:r/>
      <w:bookmarkStart w:id="34" w:name="_Toc100034"/>
      <w:r>
        <w:t xml:space="preserve">RF-12 – Usuarios, roles, auditoría y portal público</w:t>
      </w:r>
      <w:bookmarkEnd w:id="34"/>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RF-12</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Usuarios, roles, auditoría y portal público</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Documento base (diap. 27–29)</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Alta / Esencial</w:t>
            </w:r>
            <w:r/>
          </w:p>
        </w:tc>
      </w:tr>
    </w:tbl>
    <w:p>
      <w:pPr>
        <w:pBdr/>
        <w:spacing w:after="60" w:before="0"/>
        <w:ind/>
        <w:rPr/>
      </w:pPr>
      <w:r/>
      <w:r/>
    </w:p>
    <w:p>
      <w:pPr>
        <w:pBdr/>
        <w:spacing/>
        <w:ind/>
        <w:rPr/>
      </w:pPr>
      <w:r>
        <w:rPr>
          <w:b/>
          <w:bCs/>
        </w:rPr>
        <w:t xml:space="preserve">Descripción:</w:t>
      </w:r>
      <w:r>
        <w:t xml:space="preserve"> Controla el acceso al sistema, registra las acciones críticas y publica la información autorizada.</w:t>
      </w:r>
      <w:r/>
    </w:p>
    <w:p>
      <w:pPr>
        <w:pStyle w:val="921"/>
        <w:pBdr/>
        <w:spacing/>
        <w:ind/>
        <w:rPr/>
      </w:pPr>
      <w:r>
        <w:rPr>
          <w:b/>
          <w:bCs/>
        </w:rPr>
        <w:t xml:space="preserve">RF-12.1 </w:t>
      </w:r>
      <w:r>
        <w:t xml:space="preserve">El sistema deberá autenticar usuarios y asignar permisos por rol, módulo y acción (RBAC), con separación de funciones.</w:t>
      </w:r>
      <w:r/>
    </w:p>
    <w:p>
      <w:pPr>
        <w:pStyle w:val="921"/>
        <w:pBdr/>
        <w:spacing/>
        <w:ind/>
        <w:rPr/>
      </w:pPr>
      <w:r>
        <w:rPr>
          <w:b/>
          <w:bCs/>
        </w:rPr>
        <w:t xml:space="preserve">RF-12.2 </w:t>
      </w:r>
      <w:r>
        <w:t xml:space="preserve">El sistema deberá registrar quién cambió qué, cuándo y por qué en las operaciones críticas.</w:t>
      </w:r>
      <w:r/>
    </w:p>
    <w:p>
      <w:pPr>
        <w:pStyle w:val="921"/>
        <w:pBdr/>
        <w:spacing/>
        <w:ind/>
        <w:rPr/>
      </w:pPr>
      <w:r>
        <w:rPr>
          <w:b/>
          <w:bCs/>
        </w:rPr>
        <w:t xml:space="preserve">RF-12.3 </w:t>
      </w:r>
      <w:r>
        <w:t xml:space="preserve">El portal público deberá mostrar programación, resultados, tablas, estadísticas, comunicados y sanciones autorizadas, sin privilegios de edición.</w:t>
      </w:r>
      <w:r/>
    </w:p>
    <w:p>
      <w:pPr>
        <w:pStyle w:val="921"/>
        <w:pBdr/>
        <w:spacing/>
        <w:ind/>
        <w:rPr/>
      </w:pPr>
      <w:r>
        <w:rPr>
          <w:b/>
          <w:bCs/>
        </w:rPr>
        <w:t xml:space="preserve">RF-12.4 </w:t>
      </w:r>
      <w:r>
        <w:t xml:space="preserve">El sistema deberá permitir buscar por fecha, categoría y equipo, y manejar el flujo borrador → revisión → publicado.</w:t>
      </w:r>
      <w:r/>
    </w:p>
    <w:p>
      <w:pPr>
        <w:pStyle w:val="918"/>
        <w:pBdr/>
        <w:spacing/>
        <w:ind/>
        <w:rPr/>
      </w:pPr>
      <w:r/>
      <w:bookmarkStart w:id="35" w:name="_Toc100035"/>
      <w:r>
        <w:t xml:space="preserve">RF-13 – Tesorería y pagos</w:t>
      </w:r>
      <w:bookmarkEnd w:id="35"/>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RF-13</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Tesorería y pagos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Convocatorias 2026–2027 (aportaciones)</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Controla cuotas y pagos que habilitan la participación de clubes, equipos y jugadores.</w:t>
      </w:r>
      <w:r/>
    </w:p>
    <w:p>
      <w:pPr>
        <w:pStyle w:val="921"/>
        <w:pBdr/>
        <w:spacing/>
        <w:ind/>
        <w:rPr/>
      </w:pPr>
      <w:r>
        <w:rPr>
          <w:b/>
          <w:bCs/>
        </w:rPr>
        <w:t xml:space="preserve">RF-13.1 </w:t>
      </w:r>
      <w:r>
        <w:t xml:space="preserve">El sistema deberá registrar cuotas de inscripción (club, equipo, jugadores) y pagos de arbitraje y canchas.</w:t>
      </w:r>
      <w:r/>
    </w:p>
    <w:p>
      <w:pPr>
        <w:pStyle w:val="921"/>
        <w:pBdr/>
        <w:spacing/>
        <w:ind/>
        <w:rPr/>
      </w:pPr>
      <w:r>
        <w:rPr>
          <w:b/>
          <w:bCs/>
        </w:rPr>
        <w:t xml:space="preserve">RF-13.2 </w:t>
      </w:r>
      <w:r>
        <w:t xml:space="preserve">El sistema deberá controlar adeudos y comprobantes de pago.</w:t>
      </w:r>
      <w:r/>
    </w:p>
    <w:p>
      <w:pPr>
        <w:pStyle w:val="921"/>
        <w:pBdr/>
        <w:spacing/>
        <w:ind/>
        <w:rPr/>
      </w:pPr>
      <w:r>
        <w:rPr>
          <w:b/>
          <w:bCs/>
        </w:rPr>
        <w:t xml:space="preserve">RF-13.3 </w:t>
      </w:r>
      <w:r>
        <w:t xml:space="preserve">El sistema deberá generar reportes financieros por temporada, club y concepto.</w:t>
      </w:r>
      <w:r/>
    </w:p>
    <w:p>
      <w:pPr>
        <w:pStyle w:val="918"/>
        <w:pBdr/>
        <w:spacing/>
        <w:ind/>
        <w:rPr/>
      </w:pPr>
      <w:r/>
      <w:bookmarkStart w:id="36" w:name="_Toc100036"/>
      <w:r>
        <w:t xml:space="preserve">RF-14 – Asambleas, delegados y acuerdos</w:t>
      </w:r>
      <w:bookmarkEnd w:id="36"/>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RF-14</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Asambleas, delegados y acuerdos</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Convocatoria 2026–2027; levantamiento</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Baja / Opcional</w:t>
            </w:r>
            <w:r/>
          </w:p>
        </w:tc>
      </w:tr>
    </w:tbl>
    <w:p>
      <w:pPr>
        <w:pBdr/>
        <w:spacing w:after="60" w:before="0"/>
        <w:ind/>
        <w:rPr/>
      </w:pPr>
      <w:r/>
      <w:r/>
    </w:p>
    <w:p>
      <w:pPr>
        <w:pBdr/>
        <w:spacing/>
        <w:ind/>
        <w:rPr/>
      </w:pPr>
      <w:r>
        <w:rPr>
          <w:b/>
          <w:bCs/>
        </w:rPr>
        <w:t xml:space="preserve">Descripción:</w:t>
      </w:r>
      <w:r>
        <w:t xml:space="preserve"> Registra convocatorias, asistencia y acuerdos que pueden modificar el reglamento.</w:t>
      </w:r>
      <w:r/>
    </w:p>
    <w:p>
      <w:pPr>
        <w:pStyle w:val="921"/>
        <w:pBdr/>
        <w:spacing/>
        <w:ind/>
        <w:rPr/>
      </w:pPr>
      <w:r>
        <w:rPr>
          <w:b/>
          <w:bCs/>
        </w:rPr>
        <w:t xml:space="preserve">RF-14.1 </w:t>
      </w:r>
      <w:r>
        <w:t xml:space="preserve">El sistema deberá registrar convocatorias a asamblea y la asistencia de delegados.</w:t>
      </w:r>
      <w:r/>
    </w:p>
    <w:p>
      <w:pPr>
        <w:pStyle w:val="921"/>
        <w:pBdr/>
        <w:spacing/>
        <w:ind/>
        <w:rPr/>
      </w:pPr>
      <w:r>
        <w:rPr>
          <w:b/>
          <w:bCs/>
        </w:rPr>
        <w:t xml:space="preserve">RF-14.2 </w:t>
      </w:r>
      <w:r>
        <w:t xml:space="preserve">El sistema deberá registrar acuerdos y comunicados, indicando si modifican el reglamento de la temporada.</w:t>
      </w:r>
      <w:r/>
    </w:p>
    <w:p>
      <w:pPr>
        <w:pStyle w:val="921"/>
        <w:pBdr/>
        <w:spacing/>
        <w:ind/>
        <w:rPr/>
      </w:pPr>
      <w:r>
        <w:rPr>
          <w:b/>
          <w:bCs/>
        </w:rPr>
        <w:t xml:space="preserve">RF-14.3 </w:t>
      </w:r>
      <w:r>
        <w:t xml:space="preserve">El sistema no deberá convertir un acuerdo en regla permanente sin autorización.</w:t>
      </w:r>
      <w:r/>
    </w:p>
    <w:p>
      <w:pPr>
        <w:pStyle w:val="918"/>
        <w:pBdr/>
        <w:spacing/>
        <w:ind/>
        <w:rPr/>
      </w:pPr>
      <w:r>
        <w:t xml:space="preserve">RF-15 – Notificaciones por correo electrónico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RF-15</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Notificaciones por correo electrónico</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Sección 1.2 (AF-13); sección 2.3; interfaz IC-03</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Envía avisos por correo electrónico a los usuarios con cuenta.</w:t>
      </w:r>
      <w:r/>
    </w:p>
    <w:p>
      <w:pPr>
        <w:pStyle w:val="921"/>
        <w:pBdr/>
        <w:spacing/>
        <w:ind/>
        <w:rPr/>
      </w:pPr>
      <w:r>
        <w:rPr>
          <w:b/>
          <w:bCs/>
        </w:rPr>
        <w:t xml:space="preserve">RF-15.1 </w:t>
      </w:r>
      <w:r>
        <w:t xml:space="preserve">El sistema deberá enviar por correo electrónico avisos de programación y de cambios de sede u horario a los delegados de los equipos involucrados.</w:t>
      </w:r>
      <w:r/>
    </w:p>
    <w:p>
      <w:pPr>
        <w:pStyle w:val="921"/>
        <w:pBdr/>
        <w:spacing/>
        <w:ind/>
        <w:rPr/>
      </w:pPr>
      <w:r>
        <w:rPr>
          <w:b/>
          <w:bCs/>
        </w:rPr>
        <w:t xml:space="preserve">RF-15.2 </w:t>
      </w:r>
      <w:r>
        <w:t xml:space="preserve">El sistema deberá enviar recordatorios de pago a los clubes con adeudos.</w:t>
      </w:r>
      <w:r/>
    </w:p>
    <w:p>
      <w:pPr>
        <w:pStyle w:val="921"/>
        <w:pBdr/>
        <w:spacing/>
        <w:ind/>
        <w:rPr/>
      </w:pPr>
      <w:r>
        <w:rPr>
          <w:b/>
          <w:bCs/>
        </w:rPr>
        <w:t xml:space="preserve">RF-15.3 </w:t>
      </w:r>
      <w:r>
        <w:t xml:space="preserve">El sistema deberá permitir enviar avisos institucionales y comunicados a los grupos de usuarios que elija el emisor autorizado.</w:t>
      </w:r>
      <w:r/>
    </w:p>
    <w:p>
      <w:pPr>
        <w:pStyle w:val="921"/>
        <w:pBdr/>
        <w:spacing/>
        <w:ind/>
        <w:rPr/>
      </w:pPr>
      <w:r>
        <w:rPr>
          <w:b/>
          <w:bCs/>
        </w:rPr>
        <w:t xml:space="preserve">RF-15.4 </w:t>
      </w:r>
      <w:r>
        <w:t xml:space="preserve">El sistema deberá registrar la fecha, los destinatarios y el estado de cada envío.</w:t>
      </w:r>
      <w:r/>
    </w:p>
    <w:p>
      <w:pPr>
        <w:pStyle w:val="918"/>
        <w:pBdr/>
        <w:spacing/>
        <w:ind/>
        <w:rPr/>
      </w:pPr>
      <w:r>
        <w:t xml:space="preserve">RF-16 – Reportes y exportación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821"/>
        <w:gridCol w:w="6583"/>
      </w:tblGrid>
      <w:tr>
        <w:trPr>
          <w:cantSplit/>
        </w:trPr>
        <w:tc>
          <w:tcPr>
            <w:shd w:val="clear" w:color="auto" w:fill="f3f2f8"/>
            <w:tcBorders/>
            <w:tcW w:w="2821" w:type="dxa"/>
          </w:tcPr>
          <w:p>
            <w:pPr>
              <w:pStyle w:val="922"/>
              <w:pBdr/>
              <w:spacing/>
              <w:ind/>
              <w:rPr/>
            </w:pPr>
            <w:r>
              <w:rPr>
                <w:b/>
                <w:bCs/>
              </w:rPr>
              <w:t xml:space="preserve">Número de requisito</w:t>
            </w:r>
            <w:r/>
          </w:p>
        </w:tc>
        <w:tc>
          <w:tcPr>
            <w:tcBorders/>
            <w:tcW w:w="6583" w:type="dxa"/>
          </w:tcPr>
          <w:p>
            <w:pPr>
              <w:pStyle w:val="922"/>
              <w:pBdr/>
              <w:spacing/>
              <w:ind/>
              <w:rPr/>
            </w:pPr>
            <w:r>
              <w:t xml:space="preserve">RF-16</w:t>
            </w:r>
            <w:r/>
          </w:p>
        </w:tc>
      </w:tr>
      <w:tr>
        <w:trPr>
          <w:cantSplit/>
        </w:trPr>
        <w:tc>
          <w:tcPr>
            <w:shd w:val="clear" w:color="auto" w:fill="f3f2f8"/>
            <w:tcBorders/>
            <w:tcW w:w="2821" w:type="dxa"/>
          </w:tcPr>
          <w:p>
            <w:pPr>
              <w:pStyle w:val="922"/>
              <w:pBdr/>
              <w:spacing/>
              <w:ind/>
              <w:rPr/>
            </w:pPr>
            <w:r>
              <w:rPr>
                <w:b/>
                <w:bCs/>
              </w:rPr>
              <w:t xml:space="preserve">Nombre de requisito</w:t>
            </w:r>
            <w:r/>
          </w:p>
        </w:tc>
        <w:tc>
          <w:tcPr>
            <w:tcBorders/>
            <w:tcW w:w="6583" w:type="dxa"/>
          </w:tcPr>
          <w:p>
            <w:pPr>
              <w:pStyle w:val="922"/>
              <w:pBdr/>
              <w:spacing/>
              <w:ind/>
              <w:rPr/>
            </w:pPr>
            <w:r>
              <w:t xml:space="preserve">Reportes y exportación</w:t>
            </w:r>
            <w:r/>
          </w:p>
        </w:tc>
      </w:tr>
      <w:tr>
        <w:trPr>
          <w:cantSplit/>
        </w:trPr>
        <w:tc>
          <w:tcPr>
            <w:shd w:val="clear" w:color="auto" w:fill="f3f2f8"/>
            <w:tcBorders/>
            <w:tcW w:w="2821" w:type="dxa"/>
          </w:tcPr>
          <w:p>
            <w:pPr>
              <w:pStyle w:val="922"/>
              <w:pBdr/>
              <w:spacing/>
              <w:ind/>
              <w:rPr/>
            </w:pPr>
            <w:r>
              <w:rPr>
                <w:b/>
                <w:bCs/>
              </w:rPr>
              <w:t xml:space="preserve">Tipo</w:t>
            </w:r>
            <w:r/>
          </w:p>
        </w:tc>
        <w:tc>
          <w:tcPr>
            <w:tcBorders/>
            <w:tcW w:w="6583" w:type="dxa"/>
          </w:tcPr>
          <w:p>
            <w:pPr>
              <w:pStyle w:val="922"/>
              <w:pBdr/>
              <w:spacing/>
              <w:ind/>
              <w:rPr/>
            </w:pPr>
            <w:r>
              <w:t xml:space="preserve">Requisito</w:t>
            </w:r>
            <w:r/>
          </w:p>
        </w:tc>
      </w:tr>
      <w:tr>
        <w:trPr>
          <w:cantSplit/>
        </w:trPr>
        <w:tc>
          <w:tcPr>
            <w:shd w:val="clear" w:color="auto" w:fill="f3f2f8"/>
            <w:tcBorders/>
            <w:tcW w:w="2821" w:type="dxa"/>
          </w:tcPr>
          <w:p>
            <w:pPr>
              <w:pStyle w:val="922"/>
              <w:pBdr/>
              <w:spacing/>
              <w:ind/>
              <w:rPr/>
            </w:pPr>
            <w:r>
              <w:rPr>
                <w:b/>
                <w:bCs/>
              </w:rPr>
              <w:t xml:space="preserve">Fuente del requisito</w:t>
            </w:r>
            <w:r/>
          </w:p>
        </w:tc>
        <w:tc>
          <w:tcPr>
            <w:tcBorders/>
            <w:tcW w:w="6583" w:type="dxa"/>
          </w:tcPr>
          <w:p>
            <w:pPr>
              <w:pStyle w:val="922"/>
              <w:pBdr/>
              <w:spacing/>
              <w:ind/>
              <w:rPr/>
            </w:pPr>
            <w:r>
              <w:t xml:space="preserve">Sección 1.2 (AF-12); interfaz IH-03</w:t>
            </w:r>
            <w:r/>
          </w:p>
        </w:tc>
      </w:tr>
      <w:tr>
        <w:trPr>
          <w:cantSplit/>
        </w:trPr>
        <w:tc>
          <w:tcPr>
            <w:shd w:val="clear" w:color="auto" w:fill="f3f2f8"/>
            <w:tcBorders/>
            <w:tcW w:w="2821" w:type="dxa"/>
          </w:tcPr>
          <w:p>
            <w:pPr>
              <w:pStyle w:val="922"/>
              <w:pBdr/>
              <w:spacing/>
              <w:ind/>
              <w:rPr/>
            </w:pPr>
            <w:r>
              <w:rPr>
                <w:b/>
                <w:bCs/>
              </w:rPr>
              <w:t xml:space="preserve">Prioridad del requisito</w:t>
            </w:r>
            <w:r/>
          </w:p>
        </w:tc>
        <w:tc>
          <w:tcPr>
            <w:tcBorders/>
            <w:tcW w:w="6583" w:type="dxa"/>
          </w:tcPr>
          <w:p>
            <w:pPr>
              <w:pStyle w:val="922"/>
              <w:pBdr/>
              <w:spacing/>
              <w:ind/>
              <w:rPr/>
            </w:pPr>
            <w:r>
              <w:t xml:space="preserve">Media / Deseado</w:t>
            </w:r>
            <w:r/>
          </w:p>
        </w:tc>
      </w:tr>
    </w:tbl>
    <w:p>
      <w:pPr>
        <w:pBdr/>
        <w:spacing w:after="60" w:before="0"/>
        <w:ind/>
        <w:rPr/>
      </w:pPr>
      <w:r/>
      <w:r/>
    </w:p>
    <w:p>
      <w:pPr>
        <w:pBdr/>
        <w:spacing/>
        <w:ind/>
        <w:rPr/>
      </w:pPr>
      <w:r>
        <w:rPr>
          <w:b/>
          <w:bCs/>
        </w:rPr>
        <w:t xml:space="preserve">Descripción:</w:t>
      </w:r>
      <w:r>
        <w:t xml:space="preserve"> Genera los documentos oficiales y los exportables para difusión.</w:t>
      </w:r>
      <w:r/>
    </w:p>
    <w:p>
      <w:pPr>
        <w:pStyle w:val="921"/>
        <w:pBdr/>
        <w:spacing/>
        <w:ind/>
        <w:rPr/>
      </w:pPr>
      <w:r>
        <w:rPr>
          <w:b/>
          <w:bCs/>
        </w:rPr>
        <w:t xml:space="preserve">RF-16.1 </w:t>
      </w:r>
      <w:r>
        <w:t xml:space="preserve">El sistema deberá exportar la programación, las tablas de posiciones y el boletín de castigados en PDF y en imagen para su difusión.</w:t>
      </w:r>
      <w:r/>
    </w:p>
    <w:p>
      <w:pPr>
        <w:pStyle w:val="921"/>
        <w:pBdr/>
        <w:spacing/>
        <w:ind/>
        <w:rPr/>
      </w:pPr>
      <w:r>
        <w:rPr>
          <w:b/>
          <w:bCs/>
        </w:rPr>
        <w:t xml:space="preserve">RF-16.2 </w:t>
      </w:r>
      <w:r>
        <w:t xml:space="preserve">El sistema deberá generar en PDF las cédulas oficiales, los estados de cuenta por club y las constancias.</w:t>
      </w:r>
      <w:r/>
    </w:p>
    <w:p>
      <w:pPr>
        <w:pStyle w:val="916"/>
        <w:pBdr/>
        <w:spacing/>
        <w:ind/>
        <w:rPr/>
      </w:pPr>
      <w:r/>
      <w:bookmarkStart w:id="37" w:name="_Toc100037"/>
      <w:r>
        <w:t xml:space="preserve">3.3 Requisitos no funcionales</w:t>
      </w:r>
      <w:bookmarkEnd w:id="37"/>
      <w:r/>
      <w:r/>
    </w:p>
    <w:p>
      <w:pPr>
        <w:pBdr/>
        <w:spacing/>
        <w:ind/>
        <w:rPr/>
      </w:pPr>
      <w:r>
        <w:t xml:space="preserve">Los requisitos no funcionales se organizan según las nueve caracterí</w:t>
      </w:r>
      <w:r>
        <w:t xml:space="preserve">sticas del modelo de calidad del producto de ISO/IEC 25010:2023. Cada requisito incluye un criterio de aceptación medible, el método de verificación (prueba, inspección, análisis o demostración) y la prioridad (misma escala que en 3.2).</w:t>
      </w:r>
      <w:r/>
    </w:p>
    <w:p>
      <w:pPr>
        <w:pBdr/>
        <w:spacing/>
        <w:ind/>
        <w:rPr/>
      </w:pPr>
      <w:r>
        <w:t xml:space="preserve">Carga de referencia: más de 230 clubes y más de 25,000 jugadore</w:t>
      </w:r>
      <w:r>
        <w:t xml:space="preserve">s por temporada, 40 canchas en la U.D.C. y, como estimación del análisis, hasta 400 partidos por fin de semana. Los requisitos marcados «en producción» no aplican mientras el Sistema se aloje en equipos del propio equipo de desarrollo (1.2 y 4.5).</w:t>
      </w:r>
      <w:r/>
    </w:p>
    <w:p>
      <w:pPr>
        <w:pStyle w:val="917"/>
        <w:pBdr/>
        <w:spacing/>
        <w:ind/>
        <w:rPr/>
      </w:pPr>
      <w:r/>
      <w:bookmarkStart w:id="901" w:name="_Toc200901"/>
      <w:r>
        <w:t xml:space="preserve">3.3.1 Adecuación funcional</w:t>
      </w:r>
      <w:bookmarkEnd w:id="901"/>
      <w:r/>
      <w:r/>
    </w:p>
    <w:p>
      <w:pPr>
        <w:pStyle w:val="923"/>
        <w:keepNext w:val="true"/>
        <w:pBdr/>
        <w:spacing/>
        <w:ind/>
        <w:rPr/>
      </w:pPr>
      <w:r>
        <w:rPr>
          <w:b/>
          <w:bCs/>
          <w:color w:val="241a61"/>
          <w:sz w:val="18"/>
          <w:szCs w:val="18"/>
        </w:rPr>
        <w:t xml:space="preserve">Tabla 8. </w:t>
      </w:r>
      <w:r>
        <w:rPr>
          <w:sz w:val="18"/>
          <w:szCs w:val="18"/>
        </w:rPr>
        <w:t xml:space="preserve">Requisitos de adecuación funcional.</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RNF-01</w:t>
            </w:r>
            <w:r/>
          </w:p>
        </w:tc>
        <w:tc>
          <w:tcPr>
            <w:tcBorders/>
            <w:tcW w:w="3077" w:type="dxa"/>
          </w:tcPr>
          <w:p>
            <w:pPr>
              <w:pStyle w:val="922"/>
              <w:pBdr/>
              <w:spacing/>
              <w:ind/>
              <w:rPr/>
            </w:pPr>
            <w:r>
              <w:t xml:space="preserve">Las tablas de posiciones deberán calcular PJ, PG, PE, PP, GF, GC, DG, puntos y posición sin errores, incluidos resultados por default y partidos suspendidos.</w:t>
            </w:r>
            <w:r/>
          </w:p>
        </w:tc>
        <w:tc>
          <w:tcPr>
            <w:tcBorders/>
            <w:tcW w:w="2947" w:type="dxa"/>
          </w:tcPr>
          <w:p>
            <w:pPr>
              <w:pStyle w:val="922"/>
              <w:pBdr/>
              <w:spacing/>
              <w:ind/>
              <w:rPr/>
            </w:pPr>
            <w:r>
              <w:t xml:space="preserve">Con al menos 3 categorías y 2 jornadas de datos reales, la tabla generada coincide en el 100 % de las celdas con el cálculo manual de referencia.</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RNF-02</w:t>
            </w:r>
            <w:r/>
          </w:p>
        </w:tc>
        <w:tc>
          <w:tcPr>
            <w:tcBorders/>
            <w:tcW w:w="3077" w:type="dxa"/>
          </w:tcPr>
          <w:p>
            <w:pPr>
              <w:pStyle w:val="922"/>
              <w:pBdr/>
              <w:spacing/>
              <w:ind/>
              <w:rPr/>
            </w:pPr>
            <w:r>
              <w:t xml:space="preserve">La validación de elegibilidad no deberá habilitar a un jugador que no cumpla las reglas.</w:t>
            </w:r>
            <w:r/>
          </w:p>
        </w:tc>
        <w:tc>
          <w:tcPr>
            <w:tcBorders/>
            <w:tcW w:w="2947" w:type="dxa"/>
          </w:tcPr>
          <w:p>
            <w:pPr>
              <w:pStyle w:val="922"/>
              <w:pBdr/>
              <w:spacing/>
              <w:ind/>
              <w:rPr/>
            </w:pPr>
            <w:r>
              <w:t xml:space="preserve">En un conjunto de casos (suspendido, sanción cumplida, registro incompleto, alineación en categoría superior) el resultado es correcto en el 100 % de los casos y muestra el motivo y la regla.</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RNF-03</w:t>
            </w:r>
            <w:r/>
          </w:p>
        </w:tc>
        <w:tc>
          <w:tcPr>
            <w:tcBorders/>
            <w:tcW w:w="3077" w:type="dxa"/>
          </w:tcPr>
          <w:p>
            <w:pPr>
              <w:pStyle w:val="922"/>
              <w:pBdr/>
              <w:spacing/>
              <w:ind/>
              <w:rPr/>
            </w:pPr>
            <w:r>
              <w:t xml:space="preserve">La primera versión deberá cubrir completamente los requisitos funcionales prioritarios.</w:t>
            </w:r>
            <w:r/>
          </w:p>
        </w:tc>
        <w:tc>
          <w:tcPr>
            <w:tcBorders/>
            <w:tcW w:w="2947" w:type="dxa"/>
          </w:tcPr>
          <w:p>
            <w:pPr>
              <w:pStyle w:val="922"/>
              <w:pBdr/>
              <w:spacing/>
              <w:ind/>
              <w:rPr/>
            </w:pPr>
            <w:r>
              <w:t xml:space="preserve">El 100 % de los RF Alta/Esencial y al menos el 80 % de los Media/Deseado tienen prueba de aceptación aprobada al cierre de las 10 semanas.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bl>
    <w:p>
      <w:pPr>
        <w:pBdr/>
        <w:spacing/>
        <w:ind/>
        <w:rPr/>
      </w:pPr>
      <w:r/>
      <w:r/>
    </w:p>
    <w:p>
      <w:pPr>
        <w:pStyle w:val="917"/>
        <w:pBdr/>
        <w:spacing/>
        <w:ind/>
        <w:rPr/>
      </w:pPr>
      <w:r/>
      <w:bookmarkStart w:id="902" w:name="_Toc200902"/>
      <w:r>
        <w:t xml:space="preserve">3.3.2 Eficiencia de desempeño</w:t>
      </w:r>
      <w:bookmarkEnd w:id="902"/>
      <w:r/>
      <w:r/>
    </w:p>
    <w:p>
      <w:pPr>
        <w:pStyle w:val="923"/>
        <w:keepNext w:val="true"/>
        <w:pBdr/>
        <w:spacing/>
        <w:ind/>
        <w:rPr/>
      </w:pPr>
      <w:r>
        <w:rPr>
          <w:b/>
          <w:bCs/>
          <w:color w:val="241a61"/>
          <w:sz w:val="18"/>
          <w:szCs w:val="18"/>
        </w:rPr>
        <w:t xml:space="preserve">Tabla 9. </w:t>
      </w:r>
      <w:r>
        <w:rPr>
          <w:sz w:val="18"/>
          <w:szCs w:val="18"/>
        </w:rPr>
        <w:t xml:space="preserve">Requisitos de eficiencia de desempeño.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RNF-04</w:t>
            </w:r>
            <w:r/>
          </w:p>
        </w:tc>
        <w:tc>
          <w:tcPr>
            <w:tcBorders/>
            <w:tcW w:w="3077" w:type="dxa"/>
          </w:tcPr>
          <w:p>
            <w:pPr>
              <w:pStyle w:val="922"/>
              <w:pBdr/>
              <w:spacing/>
              <w:ind/>
              <w:rPr/>
            </w:pPr>
            <w:r>
              <w:t xml:space="preserve">Las páginas de inicio, tabla de posiciones y programación del portal público deberán cargar rápido en celulares.</w:t>
            </w:r>
            <w:r/>
          </w:p>
        </w:tc>
        <w:tc>
          <w:tcPr>
            <w:tcBorders/>
            <w:tcW w:w="2947" w:type="dxa"/>
          </w:tcPr>
          <w:p>
            <w:pPr>
              <w:pStyle w:val="922"/>
              <w:pBdr/>
              <w:spacing/>
              <w:ind/>
              <w:rPr/>
            </w:pPr>
            <w:r>
              <w:t xml:space="preserve">En celular de gama media con red 4G simulada: LCP ≤ 2.5 s, INP ≤ 200 ms y CLS ≤ 0.1 en el percentil 75.</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RNF-05</w:t>
            </w:r>
            <w:r/>
          </w:p>
        </w:tc>
        <w:tc>
          <w:tcPr>
            <w:tcBorders/>
            <w:tcW w:w="3077" w:type="dxa"/>
          </w:tcPr>
          <w:p>
            <w:pPr>
              <w:pStyle w:val="922"/>
              <w:pBdr/>
              <w:spacing/>
              <w:ind/>
              <w:rPr/>
            </w:pPr>
            <w:r>
              <w:t xml:space="preserve">En producción, el portal público deberá soportar la concurrencia de un fin de semana de jornada.</w:t>
            </w:r>
            <w:r/>
          </w:p>
        </w:tc>
        <w:tc>
          <w:tcPr>
            <w:tcBorders/>
            <w:tcW w:w="2947" w:type="dxa"/>
          </w:tcPr>
          <w:p>
            <w:pPr>
              <w:pStyle w:val="922"/>
              <w:pBdr/>
              <w:spacing/>
              <w:ind/>
              <w:rPr/>
            </w:pPr>
            <w:r>
              <w:t xml:space="preserve">Con 200 usuarios virtuales concurrentes durante 10 minutos, el 95 % de las respuestas del servidor tarda ≤ 1 s y 0 % devuelve error 5xx.</w:t>
            </w:r>
            <w:r/>
          </w:p>
        </w:tc>
        <w:tc>
          <w:tcPr>
            <w:tcBorders/>
            <w:tcW w:w="1350" w:type="dxa"/>
          </w:tcPr>
          <w:p>
            <w:pPr>
              <w:pStyle w:val="922"/>
              <w:pBdr/>
              <w:spacing/>
              <w:ind/>
              <w:rPr/>
            </w:pPr>
            <w:r>
              <w:t xml:space="preserve">Prueba de carga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RNF-06</w:t>
            </w:r>
            <w:r/>
          </w:p>
        </w:tc>
        <w:tc>
          <w:tcPr>
            <w:tcBorders/>
            <w:tcW w:w="3077" w:type="dxa"/>
          </w:tcPr>
          <w:p>
            <w:pPr>
              <w:pStyle w:val="922"/>
              <w:pBdr/>
              <w:spacing/>
              <w:ind/>
              <w:rPr/>
            </w:pPr>
            <w:r>
              <w:t xml:space="preserve">Las operaciones internas frecuentes deberán responder sin esperas perceptibles.</w:t>
            </w:r>
            <w:r/>
          </w:p>
        </w:tc>
        <w:tc>
          <w:tcPr>
            <w:tcBorders/>
            <w:tcW w:w="2947" w:type="dxa"/>
          </w:tcPr>
          <w:p>
            <w:pPr>
              <w:pStyle w:val="922"/>
              <w:pBdr/>
              <w:spacing/>
              <w:ind/>
              <w:rPr/>
            </w:pPr>
            <w:r>
              <w:t xml:space="preserve">Guardar cédula, registrar jugador o guardar programación: ≤ 2 s en el 95 % de los casos; búsquedas de jugadores y estadísticas: ≤ 1.5 s, con la base cargada con 30,000 personas y 3 temporadas simuladas.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RNF-07</w:t>
            </w:r>
            <w:r/>
          </w:p>
        </w:tc>
        <w:tc>
          <w:tcPr>
            <w:tcBorders/>
            <w:tcW w:w="3077" w:type="dxa"/>
          </w:tcPr>
          <w:p>
            <w:pPr>
              <w:pStyle w:val="922"/>
              <w:pBdr/>
              <w:spacing/>
              <w:ind/>
              <w:rPr/>
            </w:pPr>
            <w:r>
              <w:t xml:space="preserve">La generación automática de la programación deberá ser rápida y no bloquear la interfaz.</w:t>
            </w:r>
            <w:r/>
          </w:p>
        </w:tc>
        <w:tc>
          <w:tcPr>
            <w:tcBorders/>
            <w:tcW w:w="2947" w:type="dxa"/>
          </w:tcPr>
          <w:p>
            <w:pPr>
              <w:pStyle w:val="922"/>
              <w:pBdr/>
              <w:spacing/>
              <w:ind/>
              <w:rPr/>
            </w:pPr>
            <w:r>
              <w:t xml:space="preserve">Un grupo de hasta 50 equipos se calendariza en ≤ 10 s; una jornada completa de todas las categorías (≈ 400 partidos, 40 canchas) en ≤ 60 s, ejecutada en segundo plano.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RNF-08</w:t>
            </w:r>
            <w:r/>
          </w:p>
        </w:tc>
        <w:tc>
          <w:tcPr>
            <w:tcBorders/>
            <w:tcW w:w="3077" w:type="dxa"/>
          </w:tcPr>
          <w:p>
            <w:pPr>
              <w:pStyle w:val="922"/>
              <w:pBdr/>
              <w:spacing/>
              <w:ind/>
              <w:rPr/>
            </w:pPr>
            <w:r>
              <w:t xml:space="preserve">La base de datos deberá dimensionarse para el volumen real de la Liga.</w:t>
            </w:r>
            <w:r/>
          </w:p>
        </w:tc>
        <w:tc>
          <w:tcPr>
            <w:tcBorders/>
            <w:tcW w:w="2947" w:type="dxa"/>
          </w:tcPr>
          <w:p>
            <w:pPr>
              <w:pStyle w:val="922"/>
              <w:pBdr/>
              <w:spacing/>
              <w:ind/>
              <w:rPr/>
            </w:pPr>
            <w:r>
              <w:t xml:space="preserve">Sin degradar los tiempos de RNF-06, admite al menos 30,000 personas, 800 equipos y 400 partidos por fin de semana, y conserva 5 temporadas.</w:t>
            </w:r>
            <w:r/>
          </w:p>
        </w:tc>
        <w:tc>
          <w:tcPr>
            <w:tcBorders/>
            <w:tcW w:w="1350" w:type="dxa"/>
          </w:tcPr>
          <w:p>
            <w:pPr>
              <w:pStyle w:val="922"/>
              <w:pBdr/>
              <w:spacing/>
              <w:ind/>
              <w:rPr/>
            </w:pPr>
            <w:r>
              <w:t xml:space="preserve">Análisis y 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RNF-09</w:t>
            </w:r>
            <w:r/>
          </w:p>
        </w:tc>
        <w:tc>
          <w:tcPr>
            <w:tcBorders/>
            <w:tcW w:w="3077" w:type="dxa"/>
          </w:tcPr>
          <w:p>
            <w:pPr>
              <w:pStyle w:val="922"/>
              <w:pBdr/>
              <w:spacing/>
              <w:ind/>
              <w:rPr/>
            </w:pPr>
            <w:r>
              <w:t xml:space="preserve">El Sistema deberá optimizar archivos para usuarios con datos móviles.</w:t>
            </w:r>
            <w:r/>
          </w:p>
        </w:tc>
        <w:tc>
          <w:tcPr>
            <w:tcBorders/>
            <w:tcW w:w="2947" w:type="dxa"/>
          </w:tcPr>
          <w:p>
            <w:pPr>
              <w:pStyle w:val="922"/>
              <w:pBdr/>
              <w:spacing/>
              <w:ind/>
              <w:rPr/>
            </w:pPr>
            <w:r>
              <w:t xml:space="preserve">Fotos de jugadores ≤ 300 KB y ≤ 1024 px; documentos PDF ≤ 5 MB; carga inicial de una página del portal ≤ 1.5 MB transferidos.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3" w:name="_Toc200903"/>
      <w:r>
        <w:t xml:space="preserve">3.3.3 Compatibilidad</w:t>
      </w:r>
      <w:bookmarkEnd w:id="903"/>
      <w:r/>
      <w:r/>
    </w:p>
    <w:p>
      <w:pPr>
        <w:pStyle w:val="923"/>
        <w:keepNext w:val="true"/>
        <w:pBdr/>
        <w:spacing/>
        <w:ind/>
        <w:rPr/>
      </w:pPr>
      <w:r>
        <w:rPr>
          <w:b/>
          <w:bCs/>
          <w:color w:val="241a61"/>
          <w:sz w:val="18"/>
          <w:szCs w:val="18"/>
        </w:rPr>
        <w:t xml:space="preserve">Tabla 10. </w:t>
      </w:r>
      <w:r>
        <w:rPr>
          <w:sz w:val="18"/>
          <w:szCs w:val="18"/>
        </w:rPr>
        <w:t xml:space="preserve">Requisitos de compatibilidad.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RNF-10</w:t>
            </w:r>
            <w:r/>
          </w:p>
        </w:tc>
        <w:tc>
          <w:tcPr>
            <w:tcBorders/>
            <w:tcW w:w="3077" w:type="dxa"/>
          </w:tcPr>
          <w:p>
            <w:pPr>
              <w:pStyle w:val="922"/>
              <w:pBdr/>
              <w:spacing/>
              <w:ind/>
              <w:rPr/>
            </w:pPr>
            <w:r>
              <w:t xml:space="preserve">El Sistema deberá funcionar en los navegadores y dispositivos más usados.</w:t>
            </w:r>
            <w:r/>
          </w:p>
        </w:tc>
        <w:tc>
          <w:tcPr>
            <w:tcBorders/>
            <w:tcW w:w="2947" w:type="dxa"/>
          </w:tcPr>
          <w:p>
            <w:pPr>
              <w:pStyle w:val="922"/>
              <w:pBdr/>
              <w:spacing/>
              <w:ind/>
              <w:rPr/>
            </w:pPr>
            <w:r>
              <w:t xml:space="preserve">Todas las funciones operan en las dos últimas versiones estables de Chrome, Edge, Firefox y Safari, y en Chrome para Android y Safari para iOS, con ancho mínimo de 360 px y sin desplazamiento horizontal.</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RNF-11</w:t>
            </w:r>
            <w:r/>
          </w:p>
        </w:tc>
        <w:tc>
          <w:tcPr>
            <w:tcBorders/>
            <w:tcW w:w="3077" w:type="dxa"/>
          </w:tcPr>
          <w:p>
            <w:pPr>
              <w:pStyle w:val="922"/>
              <w:pBdr/>
              <w:spacing/>
              <w:ind/>
              <w:rPr/>
            </w:pPr>
            <w:r>
              <w:t xml:space="preserve">Los exportables deberán abrirse sin ajustes en los medios donde la Liga los difunde.</w:t>
            </w:r>
            <w:r/>
          </w:p>
        </w:tc>
        <w:tc>
          <w:tcPr>
            <w:tcBorders/>
            <w:tcW w:w="2947" w:type="dxa"/>
          </w:tcPr>
          <w:p>
            <w:pPr>
              <w:pStyle w:val="922"/>
              <w:pBdr/>
              <w:spacing/>
              <w:ind/>
              <w:rPr/>
            </w:pPr>
            <w:r>
              <w:t xml:space="preserve">PDF en tamaño carta legible en lectores comunes; imágenes PNG de 1080 px de ancho aptas para redes sociales y portales locales.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RNF-12</w:t>
            </w:r>
            <w:r/>
          </w:p>
        </w:tc>
        <w:tc>
          <w:tcPr>
            <w:tcBorders/>
            <w:tcW w:w="3077" w:type="dxa"/>
          </w:tcPr>
          <w:p>
            <w:pPr>
              <w:pStyle w:val="922"/>
              <w:pBdr/>
              <w:spacing/>
              <w:ind/>
              <w:rPr/>
            </w:pPr>
            <w:r>
              <w:t xml:space="preserve">Los correos del Sistema deberán llegar a la bandeja de entrada.</w:t>
            </w:r>
            <w:r/>
          </w:p>
        </w:tc>
        <w:tc>
          <w:tcPr>
            <w:tcBorders/>
            <w:tcW w:w="2947" w:type="dxa"/>
          </w:tcPr>
          <w:p>
            <w:pPr>
              <w:pStyle w:val="922"/>
              <w:pBdr/>
              <w:spacing/>
              <w:ind/>
              <w:rPr/>
            </w:pPr>
            <w:r>
              <w:t xml:space="preserve">El dominio remitente tiene SPF, DKIM y DMARC; un correo de prueba a Gmail y Outlook llega a la bandeja de entrada con los tres en «pass»; cada mensaje incluye versión HTML y de texto plano.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4" w:name="_Toc200904"/>
      <w:r>
        <w:t xml:space="preserve">3.3.4 Capacidad de interacción</w:t>
      </w:r>
      <w:bookmarkEnd w:id="904"/>
      <w:r/>
      <w:r/>
    </w:p>
    <w:p>
      <w:pPr>
        <w:pStyle w:val="923"/>
        <w:keepNext w:val="true"/>
        <w:pBdr/>
        <w:spacing/>
        <w:ind/>
        <w:rPr/>
      </w:pPr>
      <w:r>
        <w:rPr>
          <w:b/>
          <w:bCs/>
          <w:color w:val="241a61"/>
          <w:sz w:val="18"/>
          <w:szCs w:val="18"/>
        </w:rPr>
        <w:t xml:space="preserve">Tabla 11. </w:t>
      </w:r>
      <w:r>
        <w:rPr>
          <w:sz w:val="18"/>
          <w:szCs w:val="18"/>
        </w:rPr>
        <w:t xml:space="preserve">Requisitos de capacidad de interacción.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RNF-13</w:t>
            </w:r>
            <w:r/>
          </w:p>
        </w:tc>
        <w:tc>
          <w:tcPr>
            <w:tcBorders/>
            <w:tcW w:w="3077" w:type="dxa"/>
          </w:tcPr>
          <w:p>
            <w:pPr>
              <w:pStyle w:val="922"/>
              <w:pBdr/>
              <w:spacing/>
              <w:ind/>
              <w:rPr/>
            </w:pPr>
            <w:r>
              <w:t xml:space="preserve">El portal público y los formularios de cédula, registro e inicio de sesión deberán ser accesibles.</w:t>
            </w:r>
            <w:r/>
          </w:p>
        </w:tc>
        <w:tc>
          <w:tcPr>
            <w:tcBorders/>
            <w:tcW w:w="2947" w:type="dxa"/>
          </w:tcPr>
          <w:p>
            <w:pPr>
              <w:pStyle w:val="922"/>
              <w:pBdr/>
              <w:spacing/>
              <w:ind/>
              <w:rPr/>
            </w:pPr>
            <w:r>
              <w:t xml:space="preserve">Cumplen WCAG 2.2 nivel AA: contraste ≥ 4.5:1, objetivos táctiles ≥ 24 × 24 px, uso completo con teclado y autenticación sin pruebas cognitivas como CAPTCHA; puntaje de accesibilidad de Lighthouse ≥ 90.</w:t>
            </w:r>
            <w:r/>
          </w:p>
        </w:tc>
        <w:tc>
          <w:tcPr>
            <w:tcBorders/>
            <w:tcW w:w="1350" w:type="dxa"/>
          </w:tcPr>
          <w:p>
            <w:pPr>
              <w:pStyle w:val="922"/>
              <w:pBdr/>
              <w:spacing/>
              <w:ind/>
              <w:rPr/>
            </w:pPr>
            <w:r>
              <w:t xml:space="preserve">Inspección y 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RNF-14</w:t>
            </w:r>
            <w:r/>
          </w:p>
        </w:tc>
        <w:tc>
          <w:tcPr>
            <w:tcBorders/>
            <w:tcW w:w="3077" w:type="dxa"/>
          </w:tcPr>
          <w:p>
            <w:pPr>
              <w:pStyle w:val="922"/>
              <w:pBdr/>
              <w:spacing/>
              <w:ind/>
              <w:rPr/>
            </w:pPr>
            <w:r>
              <w:t xml:space="preserve">Un árbitro deberá poder capturar una cédula en la cancha sin capacitación previa.</w:t>
            </w:r>
            <w:r/>
          </w:p>
        </w:tc>
        <w:tc>
          <w:tcPr>
            <w:tcBorders/>
            <w:tcW w:w="2947" w:type="dxa"/>
          </w:tcPr>
          <w:p>
            <w:pPr>
              <w:pStyle w:val="922"/>
              <w:pBdr/>
              <w:spacing/>
              <w:ind/>
              <w:rPr/>
            </w:pPr>
            <w:r>
              <w:t xml:space="preserve">Con un instructivo de una página, al menos 4 de 5 árbitros de prueba capturan en celular una cédula completa (2 alineaciones, 4 goles y 3 tarjetas) en ≤ 5 minutos.</w:t>
            </w:r>
            <w:r/>
          </w:p>
        </w:tc>
        <w:tc>
          <w:tcPr>
            <w:tcBorders/>
            <w:tcW w:w="1350" w:type="dxa"/>
          </w:tcPr>
          <w:p>
            <w:pPr>
              <w:pStyle w:val="922"/>
              <w:pBdr/>
              <w:spacing/>
              <w:ind/>
              <w:rPr/>
            </w:pPr>
            <w:r>
              <w:t xml:space="preserve">Prueba de usabilidad</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RNF-15</w:t>
            </w:r>
            <w:r/>
          </w:p>
        </w:tc>
        <w:tc>
          <w:tcPr>
            <w:tcBorders/>
            <w:tcW w:w="3077" w:type="dxa"/>
          </w:tcPr>
          <w:p>
            <w:pPr>
              <w:pStyle w:val="922"/>
              <w:pBdr/>
              <w:spacing/>
              <w:ind/>
              <w:rPr/>
            </w:pPr>
            <w:r>
              <w:t xml:space="preserve">La captura de alineaciones no deberá exigir volver a escribir datos ya registrados.</w:t>
            </w:r>
            <w:r/>
          </w:p>
        </w:tc>
        <w:tc>
          <w:tcPr>
            <w:tcBorders/>
            <w:tcW w:w="2947" w:type="dxa"/>
          </w:tcPr>
          <w:p>
            <w:pPr>
              <w:pStyle w:val="922"/>
              <w:pBdr/>
              <w:spacing/>
              <w:ind/>
              <w:rPr/>
            </w:pPr>
            <w:r>
              <w:t xml:space="preserve">La alineación se precarga desde la plantilla registrada del equipo; el árbitro solo marca asistencia y número de camiseta, sin teclear nombres (WCAG 3.3.7).</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RNF-16</w:t>
            </w:r>
            <w:r/>
          </w:p>
        </w:tc>
        <w:tc>
          <w:tcPr>
            <w:tcBorders/>
            <w:tcW w:w="3077" w:type="dxa"/>
          </w:tcPr>
          <w:p>
            <w:pPr>
              <w:pStyle w:val="922"/>
              <w:pBdr/>
              <w:spacing/>
              <w:ind/>
              <w:rPr/>
            </w:pPr>
            <w:r>
              <w:t xml:space="preserve">El Sistema deberá prevenir errores antes de cerrar una cédula.</w:t>
            </w:r>
            <w:r/>
          </w:p>
        </w:tc>
        <w:tc>
          <w:tcPr>
            <w:tcBorders/>
            <w:tcW w:w="2947" w:type="dxa"/>
          </w:tcPr>
          <w:p>
            <w:pPr>
              <w:pStyle w:val="922"/>
              <w:pBdr/>
              <w:spacing/>
              <w:ind/>
              <w:rPr/>
            </w:pPr>
            <w:r>
              <w:t xml:space="preserve">Se detectan antes de guardar el 100 % de estos casos: jugador no registrado, jugador suspendido, goles que no suman el marcador y tarjeta a jugador no alineado; el cierre muestra un resumen para confirmar.</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RNF-17</w:t>
            </w:r>
            <w:r/>
          </w:p>
        </w:tc>
        <w:tc>
          <w:tcPr>
            <w:tcBorders/>
            <w:tcW w:w="3077" w:type="dxa"/>
          </w:tcPr>
          <w:p>
            <w:pPr>
              <w:pStyle w:val="922"/>
              <w:pBdr/>
              <w:spacing/>
              <w:ind/>
              <w:rPr/>
            </w:pPr>
            <w:r>
              <w:t xml:space="preserve">La programación de una jornada deberá ser mucho más rápida que el proceso manual.</w:t>
            </w:r>
            <w:r/>
          </w:p>
        </w:tc>
        <w:tc>
          <w:tcPr>
            <w:tcBorders/>
            <w:tcW w:w="2947" w:type="dxa"/>
          </w:tcPr>
          <w:p>
            <w:pPr>
              <w:pStyle w:val="922"/>
              <w:pBdr/>
              <w:spacing/>
              <w:ind/>
              <w:rPr/>
            </w:pPr>
            <w:r>
              <w:t xml:space="preserve">Un programador arma y publica la jornada de un grupo de 10 equipos en ≤ 15 minutos, frente a las horas del proceso actual.</w:t>
            </w:r>
            <w:r/>
          </w:p>
        </w:tc>
        <w:tc>
          <w:tcPr>
            <w:tcBorders/>
            <w:tcW w:w="1350" w:type="dxa"/>
          </w:tcPr>
          <w:p>
            <w:pPr>
              <w:pStyle w:val="922"/>
              <w:pBdr/>
              <w:spacing/>
              <w:ind/>
              <w:rPr/>
            </w:pPr>
            <w:r>
              <w:t xml:space="preserve">Prueba de usabilidad</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RNF-18</w:t>
            </w:r>
            <w:r/>
          </w:p>
        </w:tc>
        <w:tc>
          <w:tcPr>
            <w:tcBorders/>
            <w:tcW w:w="3077" w:type="dxa"/>
          </w:tcPr>
          <w:p>
            <w:pPr>
              <w:pStyle w:val="922"/>
              <w:pBdr/>
              <w:spacing/>
              <w:ind/>
              <w:rPr/>
            </w:pPr>
            <w:r>
              <w:t xml:space="preserve">La interfaz deberá usar el idioma y los formatos locales.</w:t>
            </w:r>
            <w:r/>
          </w:p>
        </w:tc>
        <w:tc>
          <w:tcPr>
            <w:tcBorders/>
            <w:tcW w:w="2947" w:type="dxa"/>
          </w:tcPr>
          <w:p>
            <w:pPr>
              <w:pStyle w:val="922"/>
              <w:pBdr/>
              <w:spacing/>
              <w:ind/>
              <w:rPr/>
            </w:pPr>
            <w:r>
              <w:t xml:space="preserve">El 100 % de los textos está en español de México; fechas dd/mm/aaaa, hora de 24 h en zona America/Mexico_City y montos en pesos con dos decimales.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RNF-19</w:t>
            </w:r>
            <w:r/>
          </w:p>
        </w:tc>
        <w:tc>
          <w:tcPr>
            <w:tcBorders/>
            <w:tcW w:w="3077" w:type="dxa"/>
          </w:tcPr>
          <w:p>
            <w:pPr>
              <w:pStyle w:val="922"/>
              <w:pBdr/>
              <w:spacing/>
              <w:ind/>
              <w:rPr/>
            </w:pPr>
            <w:r>
              <w:t xml:space="preserve">Cada bloqueo o error deberá explicar su causa y qué hacer.</w:t>
            </w:r>
            <w:r/>
          </w:p>
        </w:tc>
        <w:tc>
          <w:tcPr>
            <w:tcBorders/>
            <w:tcW w:w="2947" w:type="dxa"/>
          </w:tcPr>
          <w:p>
            <w:pPr>
              <w:pStyle w:val="922"/>
              <w:pBdr/>
              <w:spacing/>
              <w:ind/>
              <w:rPr/>
            </w:pPr>
            <w:r>
              <w:t xml:space="preserve">Todo mensaje de bloqueo indica la regla que lo origina y la acción para resolverlo; los formularios de registro, cédula y programación tienen ayuda contextual.</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5" w:name="_Toc200905"/>
      <w:r>
        <w:t xml:space="preserve">3.3.5 Fiabilidad</w:t>
      </w:r>
      <w:bookmarkEnd w:id="905"/>
      <w:r/>
      <w:r/>
    </w:p>
    <w:p>
      <w:pPr>
        <w:pStyle w:val="923"/>
        <w:keepNext w:val="true"/>
        <w:pBdr/>
        <w:spacing/>
        <w:ind/>
        <w:rPr/>
      </w:pPr>
      <w:r>
        <w:rPr>
          <w:b/>
          <w:bCs/>
          <w:color w:val="241a61"/>
          <w:sz w:val="18"/>
          <w:szCs w:val="18"/>
        </w:rPr>
        <w:t xml:space="preserve">Tabla 12. </w:t>
      </w:r>
      <w:r>
        <w:rPr>
          <w:sz w:val="18"/>
          <w:szCs w:val="18"/>
        </w:rPr>
        <w:t xml:space="preserve">Requisitos de fiabilidad.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RNF-20</w:t>
            </w:r>
            <w:r/>
          </w:p>
        </w:tc>
        <w:tc>
          <w:tcPr>
            <w:tcBorders/>
            <w:tcW w:w="3077" w:type="dxa"/>
          </w:tcPr>
          <w:p>
            <w:pPr>
              <w:pStyle w:val="922"/>
              <w:pBdr/>
              <w:spacing/>
              <w:ind/>
              <w:rPr/>
            </w:pPr>
            <w:r>
              <w:t xml:space="preserve">En producción, el Sistema deberá estar disponible en los periodos críticos.</w:t>
            </w:r>
            <w:r/>
          </w:p>
        </w:tc>
        <w:tc>
          <w:tcPr>
            <w:tcBorders/>
            <w:tcW w:w="2947" w:type="dxa"/>
          </w:tcPr>
          <w:p>
            <w:pPr>
              <w:pStyle w:val="922"/>
              <w:pBdr/>
              <w:spacing/>
              <w:ind/>
              <w:rPr/>
            </w:pPr>
            <w:r>
              <w:t xml:space="preserve">Disponibilidad ≥ 99.5 % mensual entre viernes 18:00 y martes 23:59 (jornada y captura de cédulas), medida con un monitor externo cada 5 minutos.</w:t>
            </w:r>
            <w:r/>
          </w:p>
        </w:tc>
        <w:tc>
          <w:tcPr>
            <w:tcBorders/>
            <w:tcW w:w="1350" w:type="dxa"/>
          </w:tcPr>
          <w:p>
            <w:pPr>
              <w:pStyle w:val="922"/>
              <w:pBdr/>
              <w:spacing/>
              <w:ind/>
              <w:rPr/>
            </w:pPr>
            <w:r>
              <w:t xml:space="preserve">Análisis</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RNF-21</w:t>
            </w:r>
            <w:r/>
          </w:p>
        </w:tc>
        <w:tc>
          <w:tcPr>
            <w:tcBorders/>
            <w:tcW w:w="3077" w:type="dxa"/>
          </w:tcPr>
          <w:p>
            <w:pPr>
              <w:pStyle w:val="922"/>
              <w:pBdr/>
              <w:spacing/>
              <w:ind/>
              <w:rPr/>
            </w:pPr>
            <w:r>
              <w:t xml:space="preserve">Una falla de conexión al enviar un formulario no deberá perder ni duplicar datos.</w:t>
            </w:r>
            <w:r/>
          </w:p>
        </w:tc>
        <w:tc>
          <w:tcPr>
            <w:tcBorders/>
            <w:tcW w:w="2947" w:type="dxa"/>
          </w:tcPr>
          <w:p>
            <w:pPr>
              <w:pStyle w:val="922"/>
              <w:pBdr/>
              <w:spacing/>
              <w:ind/>
              <w:rPr/>
            </w:pPr>
            <w:r>
              <w:t xml:space="preserve">Si el envío de una cédula falla, los datos capturados se conservan en el formulario y se pueden reenviar al recuperar la conexión; reenviar no crea una cédula duplicada.</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RNF-22</w:t>
            </w:r>
            <w:r/>
          </w:p>
        </w:tc>
        <w:tc>
          <w:tcPr>
            <w:tcBorders/>
            <w:tcW w:w="3077" w:type="dxa"/>
          </w:tcPr>
          <w:p>
            <w:pPr>
              <w:pStyle w:val="922"/>
              <w:pBdr/>
              <w:spacing/>
              <w:ind/>
              <w:rPr/>
            </w:pPr>
            <w:r>
              <w:t xml:space="preserve">Las operaciones que afectan varios datos deberán ser atómicas.</w:t>
            </w:r>
            <w:r/>
          </w:p>
        </w:tc>
        <w:tc>
          <w:tcPr>
            <w:tcBorders/>
            <w:tcW w:w="2947" w:type="dxa"/>
          </w:tcPr>
          <w:p>
            <w:pPr>
              <w:pStyle w:val="922"/>
              <w:pBdr/>
              <w:spacing/>
              <w:ind/>
              <w:rPr/>
            </w:pPr>
            <w:r>
              <w:t xml:space="preserve">El cierre de cédula, la actualización de la tabla y el registro de incidencias se guardan en una sola transacción; al simular una falla a la mitad, no quedan datos parciales.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RNF-23</w:t>
            </w:r>
            <w:r/>
          </w:p>
        </w:tc>
        <w:tc>
          <w:tcPr>
            <w:tcBorders/>
            <w:tcW w:w="3077" w:type="dxa"/>
          </w:tcPr>
          <w:p>
            <w:pPr>
              <w:pStyle w:val="922"/>
              <w:pBdr/>
              <w:spacing/>
              <w:ind/>
              <w:rPr/>
            </w:pPr>
            <w:r>
              <w:t xml:space="preserve">La información deberá poder recuperarse ante una pérdida del servidor.</w:t>
            </w:r>
            <w:r/>
          </w:p>
        </w:tc>
        <w:tc>
          <w:tcPr>
            <w:tcBorders/>
            <w:tcW w:w="2947" w:type="dxa"/>
          </w:tcPr>
          <w:p>
            <w:pPr>
              <w:pStyle w:val="922"/>
              <w:pBdr/>
              <w:spacing/>
              <w:ind/>
              <w:rPr/>
            </w:pPr>
            <w:r>
              <w:t xml:space="preserve">Respaldo incremental diario y completo semanal de la base de datos y de los documentos, guardado fuera del equipo servidor y conservado 30 días; RPO ≤ 24 h y RTO ≤ 4 h, comprobados con una restauración de prueba mensual.</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RNF-24</w:t>
            </w:r>
            <w:r/>
          </w:p>
        </w:tc>
        <w:tc>
          <w:tcPr>
            <w:tcBorders/>
            <w:tcW w:w="3077" w:type="dxa"/>
          </w:tcPr>
          <w:p>
            <w:pPr>
              <w:pStyle w:val="922"/>
              <w:pBdr/>
              <w:spacing/>
              <w:ind/>
              <w:rPr/>
            </w:pPr>
            <w:r>
              <w:t xml:space="preserve">Cada versión liberada deberá estar libre de defectos críticos.</w:t>
            </w:r>
            <w:r/>
          </w:p>
        </w:tc>
        <w:tc>
          <w:tcPr>
            <w:tcBorders/>
            <w:tcW w:w="2947" w:type="dxa"/>
          </w:tcPr>
          <w:p>
            <w:pPr>
              <w:pStyle w:val="922"/>
              <w:pBdr/>
              <w:spacing/>
              <w:ind/>
              <w:rPr/>
            </w:pPr>
            <w:r>
              <w:t xml:space="preserve">Ninguna versión se libera con defectos abiertos de severidad crítica o alta en cédulas, tablas, sanciones o pagos.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bl>
    <w:p>
      <w:pPr>
        <w:pBdr/>
        <w:spacing/>
        <w:ind/>
        <w:rPr/>
      </w:pPr>
      <w:r/>
      <w:r/>
    </w:p>
    <w:p>
      <w:pPr>
        <w:pStyle w:val="917"/>
        <w:pBdr/>
        <w:spacing/>
        <w:ind/>
        <w:rPr/>
      </w:pPr>
      <w:r/>
      <w:bookmarkStart w:id="906" w:name="_Toc200906"/>
      <w:r>
        <w:t xml:space="preserve">3.3.6 Seguridad</w:t>
      </w:r>
      <w:bookmarkEnd w:id="906"/>
      <w:r/>
      <w:r/>
    </w:p>
    <w:p>
      <w:pPr>
        <w:pStyle w:val="923"/>
        <w:keepNext w:val="true"/>
        <w:pBdr/>
        <w:spacing/>
        <w:ind/>
        <w:rPr/>
      </w:pPr>
      <w:r>
        <w:rPr>
          <w:b/>
          <w:bCs/>
          <w:color w:val="241a61"/>
          <w:sz w:val="18"/>
          <w:szCs w:val="18"/>
        </w:rPr>
        <w:t xml:space="preserve">Tabla 13. </w:t>
      </w:r>
      <w:r>
        <w:rPr>
          <w:sz w:val="18"/>
          <w:szCs w:val="18"/>
        </w:rPr>
        <w:t xml:space="preserve">Requisitos de seguridad.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RNF-25</w:t>
            </w:r>
            <w:r/>
          </w:p>
        </w:tc>
        <w:tc>
          <w:tcPr>
            <w:tcBorders/>
            <w:tcW w:w="3077" w:type="dxa"/>
          </w:tcPr>
          <w:p>
            <w:pPr>
              <w:pStyle w:val="922"/>
              <w:pBdr/>
              <w:spacing/>
              <w:ind/>
              <w:rPr/>
            </w:pPr>
            <w:r>
              <w:t xml:space="preserve">El Sistema deberá cumplir un estándar reconocido de seguridad de aplicaciones web.</w:t>
            </w:r>
            <w:r/>
          </w:p>
        </w:tc>
        <w:tc>
          <w:tcPr>
            <w:tcBorders/>
            <w:tcW w:w="2947" w:type="dxa"/>
          </w:tcPr>
          <w:p>
            <w:pPr>
              <w:pStyle w:val="922"/>
              <w:pBdr/>
              <w:spacing/>
              <w:ind/>
              <w:rPr/>
            </w:pPr>
            <w:r>
              <w:t xml:space="preserve">Cumple todos los requisitos de nivel 1 de OWASP ASVS 5.0 y los de nivel 2 de autenticación, control de acceso y protección de datos.</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RNF-26</w:t>
            </w:r>
            <w:r/>
          </w:p>
        </w:tc>
        <w:tc>
          <w:tcPr>
            <w:tcBorders/>
            <w:tcW w:w="3077" w:type="dxa"/>
          </w:tcPr>
          <w:p>
            <w:pPr>
              <w:pStyle w:val="922"/>
              <w:pBdr/>
              <w:spacing/>
              <w:ind/>
              <w:rPr/>
            </w:pPr>
            <w:r>
              <w:t xml:space="preserve">Las contraseñas deberán gestionarse según la guía vigente de NIST.</w:t>
            </w:r>
            <w:r/>
          </w:p>
        </w:tc>
        <w:tc>
          <w:tcPr>
            <w:tcBorders/>
            <w:tcW w:w="2947" w:type="dxa"/>
          </w:tcPr>
          <w:p>
            <w:pPr>
              <w:pStyle w:val="922"/>
              <w:pBdr/>
              <w:spacing/>
              <w:ind/>
              <w:rPr/>
            </w:pPr>
            <w:r>
              <w:t xml:space="preserve">Se guardan con Argon2id (o bcrypt de costo ≥ 12); mínimo 15 caracteres si la cuenta solo usa contraseña y 8 con doble factor; máximo de al menos 64; sin reglas de composición ni caducidad periódica; se rechazan contraseñas filtradas conocidas.</w:t>
            </w:r>
            <w:r/>
          </w:p>
        </w:tc>
        <w:tc>
          <w:tcPr>
            <w:tcBorders/>
            <w:tcW w:w="1350" w:type="dxa"/>
          </w:tcPr>
          <w:p>
            <w:pPr>
              <w:pStyle w:val="922"/>
              <w:pBdr/>
              <w:spacing/>
              <w:ind/>
              <w:rPr/>
            </w:pPr>
            <w:r>
              <w:t xml:space="preserve">Prueba e 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RNF-27</w:t>
            </w:r>
            <w:r/>
          </w:p>
        </w:tc>
        <w:tc>
          <w:tcPr>
            <w:tcBorders/>
            <w:tcW w:w="3077" w:type="dxa"/>
          </w:tcPr>
          <w:p>
            <w:pPr>
              <w:pStyle w:val="922"/>
              <w:pBdr/>
              <w:spacing/>
              <w:ind/>
              <w:rPr/>
            </w:pPr>
            <w:r>
              <w:t xml:space="preserve">Las cuentas con privilegios deberán usar autenticación de dos factores.</w:t>
            </w:r>
            <w:r/>
          </w:p>
        </w:tc>
        <w:tc>
          <w:tcPr>
            <w:tcBorders/>
            <w:tcW w:w="2947" w:type="dxa"/>
          </w:tcPr>
          <w:p>
            <w:pPr>
              <w:pStyle w:val="922"/>
              <w:pBdr/>
              <w:spacing/>
              <w:ind/>
              <w:rPr/>
            </w:pPr>
            <w:r>
              <w:t xml:space="preserve">Administrador, Comisión Disciplinaria, Tesorería, Secretaría y programador de partidos no pueden operar sin un segundo factor (código TOTP o enviado por correo).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RNF-28</w:t>
            </w:r>
            <w:r/>
          </w:p>
        </w:tc>
        <w:tc>
          <w:tcPr>
            <w:tcBorders/>
            <w:tcW w:w="3077" w:type="dxa"/>
          </w:tcPr>
          <w:p>
            <w:pPr>
              <w:pStyle w:val="922"/>
              <w:pBdr/>
              <w:spacing/>
              <w:ind/>
              <w:rPr/>
            </w:pPr>
            <w:r>
              <w:t xml:space="preserve">El Sistema deberá resistir ataques de fuerza bruta.</w:t>
            </w:r>
            <w:r/>
          </w:p>
        </w:tc>
        <w:tc>
          <w:tcPr>
            <w:tcBorders/>
            <w:tcW w:w="2947" w:type="dxa"/>
          </w:tcPr>
          <w:p>
            <w:pPr>
              <w:pStyle w:val="922"/>
              <w:pBdr/>
              <w:spacing/>
              <w:ind/>
              <w:rPr/>
            </w:pPr>
            <w:r>
              <w:t xml:space="preserve">Tras 5 intentos fallidos consecutivos, la cuenta se bloquea 15 minutos y se avisa al titular por correo; el inicio de sesión limita también los intentos por dirección IP.</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RNF-29</w:t>
            </w:r>
            <w:r/>
          </w:p>
        </w:tc>
        <w:tc>
          <w:tcPr>
            <w:tcBorders/>
            <w:tcW w:w="3077" w:type="dxa"/>
          </w:tcPr>
          <w:p>
            <w:pPr>
              <w:pStyle w:val="922"/>
              <w:pBdr/>
              <w:spacing/>
              <w:ind/>
              <w:rPr/>
            </w:pPr>
            <w:r>
              <w:t xml:space="preserve">Cada usuario deberá acceder solo a la información de su ámbito.</w:t>
            </w:r>
            <w:r/>
          </w:p>
        </w:tc>
        <w:tc>
          <w:tcPr>
            <w:tcBorders/>
            <w:tcW w:w="2947" w:type="dxa"/>
          </w:tcPr>
          <w:p>
            <w:pPr>
              <w:pStyle w:val="922"/>
              <w:pBdr/>
              <w:spacing/>
              <w:ind/>
              <w:rPr/>
            </w:pPr>
            <w:r>
              <w:t xml:space="preserve">Un delegado solo ve y edita su club; un árbitro solo las cédulas de sus partidos; un jugador solo sus datos. El 100 % de los intentos de acceso cruzado (cambiando identificadores en la URL) responde 403.</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RNF-30</w:t>
            </w:r>
            <w:r/>
          </w:p>
        </w:tc>
        <w:tc>
          <w:tcPr>
            <w:tcBorders/>
            <w:tcW w:w="3077" w:type="dxa"/>
          </w:tcPr>
          <w:p>
            <w:pPr>
              <w:pStyle w:val="922"/>
              <w:pBdr/>
              <w:spacing/>
              <w:ind/>
              <w:rPr/>
            </w:pPr>
            <w:r>
              <w:t xml:space="preserve">Los documentos de identidad no deberán ser accesibles públicamente.</w:t>
            </w:r>
            <w:r/>
          </w:p>
        </w:tc>
        <w:tc>
          <w:tcPr>
            <w:tcBorders/>
            <w:tcW w:w="2947" w:type="dxa"/>
          </w:tcPr>
          <w:p>
            <w:pPr>
              <w:pStyle w:val="922"/>
              <w:pBdr/>
              <w:spacing/>
              <w:ind/>
              <w:rPr/>
            </w:pPr>
            <w:r>
              <w:t xml:space="preserve">INE, CURP, actas y comprobantes se guardan fuera del directorio público y se entregan solo con enlaces temporales firmados (≤ 10 minutos) a usuarios autorizados; no son indexables.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RNF-31</w:t>
            </w:r>
            <w:r/>
          </w:p>
        </w:tc>
        <w:tc>
          <w:tcPr>
            <w:tcBorders/>
            <w:tcW w:w="3077" w:type="dxa"/>
          </w:tcPr>
          <w:p>
            <w:pPr>
              <w:pStyle w:val="922"/>
              <w:pBdr/>
              <w:spacing/>
              <w:ind/>
              <w:rPr/>
            </w:pPr>
            <w:r>
              <w:t xml:space="preserve">El portal público deberá mostrar solo los datos personales mínimos.</w:t>
            </w:r>
            <w:r/>
          </w:p>
        </w:tc>
        <w:tc>
          <w:tcPr>
            <w:tcBorders/>
            <w:tcW w:w="2947" w:type="dxa"/>
          </w:tcPr>
          <w:p>
            <w:pPr>
              <w:pStyle w:val="922"/>
              <w:pBdr/>
              <w:spacing/>
              <w:ind/>
              <w:rPr/>
            </w:pPr>
            <w:r>
              <w:t xml:space="preserve">El portal nunca muestra fecha de nacimiento, CURP, domicilio, teléfono ni fotografía de ningún jugador; de los menores de edad solo muestra nombre y equipo.</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RNF-32</w:t>
            </w:r>
            <w:r/>
          </w:p>
        </w:tc>
        <w:tc>
          <w:tcPr>
            <w:tcBorders/>
            <w:tcW w:w="3077" w:type="dxa"/>
          </w:tcPr>
          <w:p>
            <w:pPr>
              <w:pStyle w:val="922"/>
              <w:pBdr/>
              <w:spacing/>
              <w:ind/>
              <w:rPr/>
            </w:pPr>
            <w:r>
              <w:t xml:space="preserve">Toda la comunicación deberá ir cifrada.</w:t>
            </w:r>
            <w:r/>
          </w:p>
        </w:tc>
        <w:tc>
          <w:tcPr>
            <w:tcBorders/>
            <w:tcW w:w="2947" w:type="dxa"/>
          </w:tcPr>
          <w:p>
            <w:pPr>
              <w:pStyle w:val="922"/>
              <w:pBdr/>
              <w:spacing/>
              <w:ind/>
              <w:rPr/>
            </w:pPr>
            <w:r>
              <w:t xml:space="preserve">HTTPS con TLS 1.2 o superior, incluido el túnel de 4.5; HSTS activo; cookies de sesión Secure, HttpOnly y SameSite; calificación A o superior en SSL Labs.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RNF-33</w:t>
            </w:r>
            <w:r/>
          </w:p>
        </w:tc>
        <w:tc>
          <w:tcPr>
            <w:tcBorders/>
            <w:tcW w:w="3077" w:type="dxa"/>
          </w:tcPr>
          <w:p>
            <w:pPr>
              <w:pStyle w:val="922"/>
              <w:pBdr/>
              <w:spacing/>
              <w:ind/>
              <w:rPr/>
            </w:pPr>
            <w:r>
              <w:t xml:space="preserve">Los cambios críticos deberán quedar auditados de forma inalterable.</w:t>
            </w:r>
            <w:r/>
          </w:p>
        </w:tc>
        <w:tc>
          <w:tcPr>
            <w:tcBorders/>
            <w:tcW w:w="2947" w:type="dxa"/>
          </w:tcPr>
          <w:p>
            <w:pPr>
              <w:pStyle w:val="922"/>
              <w:pBdr/>
              <w:spacing/>
              <w:ind/>
              <w:rPr/>
            </w:pPr>
            <w:r>
              <w:t xml:space="preserve">Cada cambio a marcadores, sanciones, pagos y permisos registra usuario, fecha y hora, IP, valor anterior, valor nuevo y motivo; la aplicación no tiene permiso de modificar ni borrar ese registro; se conserva la temporada actual y las 3 anteriores.</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RNF-34</w:t>
            </w:r>
            <w:r/>
          </w:p>
        </w:tc>
        <w:tc>
          <w:tcPr>
            <w:tcBorders/>
            <w:tcW w:w="3077" w:type="dxa"/>
          </w:tcPr>
          <w:p>
            <w:pPr>
              <w:pStyle w:val="922"/>
              <w:pBdr/>
              <w:spacing/>
              <w:ind/>
              <w:rPr/>
            </w:pPr>
            <w:r>
              <w:t xml:space="preserve">El Sistema deberá resistir los ataques web más comunes.</w:t>
            </w:r>
            <w:r/>
          </w:p>
        </w:tc>
        <w:tc>
          <w:tcPr>
            <w:tcBorders/>
            <w:tcW w:w="2947" w:type="dxa"/>
          </w:tcPr>
          <w:p>
            <w:pPr>
              <w:pStyle w:val="922"/>
              <w:pBdr/>
              <w:spacing/>
              <w:ind/>
              <w:rPr/>
            </w:pPr>
            <w:r>
              <w:t xml:space="preserve">Todos los formularios tienen protección CSRF, todas las consultas son parametrizadas y la salida se escapa; un escaneo con OWASP ZAP no reporta hallazgos de riesgo alto.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RNF-35</w:t>
            </w:r>
            <w:r/>
          </w:p>
        </w:tc>
        <w:tc>
          <w:tcPr>
            <w:tcBorders/>
            <w:tcW w:w="3077" w:type="dxa"/>
          </w:tcPr>
          <w:p>
            <w:pPr>
              <w:pStyle w:val="922"/>
              <w:pBdr/>
              <w:spacing/>
              <w:ind/>
              <w:rPr/>
            </w:pPr>
            <w:r>
              <w:t xml:space="preserve">Las sesiones deberán expirar.</w:t>
            </w:r>
            <w:r/>
          </w:p>
        </w:tc>
        <w:tc>
          <w:tcPr>
            <w:tcBorders/>
            <w:tcW w:w="2947" w:type="dxa"/>
          </w:tcPr>
          <w:p>
            <w:pPr>
              <w:pStyle w:val="922"/>
              <w:pBdr/>
              <w:spacing/>
              <w:ind/>
              <w:rPr/>
            </w:pPr>
            <w:r>
              <w:t xml:space="preserve">Las sesiones de roles con privilegios expiran tras 30 minutos de inactividad y las demás tras 8 horas; cerrar sesión invalida la sesión en el servidor.</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7" w:name="_Toc200907"/>
      <w:r>
        <w:t xml:space="preserve">3.3.7 Mantenibilidad</w:t>
      </w:r>
      <w:bookmarkEnd w:id="907"/>
      <w:r/>
      <w:r/>
    </w:p>
    <w:p>
      <w:pPr>
        <w:pStyle w:val="923"/>
        <w:keepNext w:val="true"/>
        <w:pBdr/>
        <w:spacing/>
        <w:ind/>
        <w:rPr/>
      </w:pPr>
      <w:r>
        <w:rPr>
          <w:b/>
          <w:bCs/>
          <w:color w:val="241a61"/>
          <w:sz w:val="18"/>
          <w:szCs w:val="18"/>
        </w:rPr>
        <w:t xml:space="preserve">Tabla 14. </w:t>
      </w:r>
      <w:r>
        <w:rPr>
          <w:sz w:val="18"/>
          <w:szCs w:val="18"/>
        </w:rPr>
        <w:t xml:space="preserve">Requisitos de mantenibilidad.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RNF-36</w:t>
            </w:r>
            <w:r/>
          </w:p>
        </w:tc>
        <w:tc>
          <w:tcPr>
            <w:tcBorders/>
            <w:tcW w:w="3077" w:type="dxa"/>
          </w:tcPr>
          <w:p>
            <w:pPr>
              <w:pStyle w:val="922"/>
              <w:pBdr/>
              <w:spacing/>
              <w:ind/>
              <w:rPr/>
            </w:pPr>
            <w:r>
              <w:t xml:space="preserve">Las reglas de cada temporada deberán cambiarse sin modificar el código.</w:t>
            </w:r>
            <w:r/>
          </w:p>
        </w:tc>
        <w:tc>
          <w:tcPr>
            <w:tcBorders/>
            <w:tcW w:w="2947" w:type="dxa"/>
          </w:tcPr>
          <w:p>
            <w:pPr>
              <w:pStyle w:val="922"/>
              <w:pBdr/>
              <w:spacing/>
              <w:ind/>
              <w:rPr/>
            </w:pPr>
            <w:r>
              <w:t xml:space="preserve">Puntos por resultado, desempates, cupos de liguilla, ascensos y descensos, cambios permitidos y años de nacimiento por categoría se configuran como datos versionados; la Convocatoria 2026–2027 completa se carga solo desde la interfaz administrativa.</w:t>
            </w:r>
            <w:r/>
          </w:p>
        </w:tc>
        <w:tc>
          <w:tcPr>
            <w:tcBorders/>
            <w:tcW w:w="1350" w:type="dxa"/>
          </w:tcPr>
          <w:p>
            <w:pPr>
              <w:pStyle w:val="922"/>
              <w:pBdr/>
              <w:spacing/>
              <w:ind/>
              <w:rPr/>
            </w:pPr>
            <w:r>
              <w:t xml:space="preserve">Demostración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RNF-37</w:t>
            </w:r>
            <w:r/>
          </w:p>
        </w:tc>
        <w:tc>
          <w:tcPr>
            <w:tcBorders/>
            <w:tcW w:w="3077" w:type="dxa"/>
          </w:tcPr>
          <w:p>
            <w:pPr>
              <w:pStyle w:val="922"/>
              <w:pBdr/>
              <w:spacing/>
              <w:ind/>
              <w:rPr/>
            </w:pPr>
            <w:r>
              <w:t xml:space="preserve">El código de dominio deberá tener pruebas automatizadas.</w:t>
            </w:r>
            <w:r/>
          </w:p>
        </w:tc>
        <w:tc>
          <w:tcPr>
            <w:tcBorders/>
            <w:tcW w:w="2947" w:type="dxa"/>
          </w:tcPr>
          <w:p>
            <w:pPr>
              <w:pStyle w:val="922"/>
              <w:pBdr/>
              <w:spacing/>
              <w:ind/>
              <w:rPr/>
            </w:pPr>
            <w:r>
              <w:t xml:space="preserve">Cobertura ≥ 70 % de líneas en los módulos de reglas, tablas, sanciones y programación; al menos una prueba por RF Alta/Esencial; la suite completa corre en ≤ 5 minutos.</w:t>
            </w:r>
            <w:r/>
          </w:p>
        </w:tc>
        <w:tc>
          <w:tcPr>
            <w:tcBorders/>
            <w:tcW w:w="1350" w:type="dxa"/>
          </w:tcPr>
          <w:p>
            <w:pPr>
              <w:pStyle w:val="922"/>
              <w:pBdr/>
              <w:spacing/>
              <w:ind/>
              <w:rPr/>
            </w:pPr>
            <w:r>
              <w:t xml:space="preserve">Análisis</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RNF-38</w:t>
            </w:r>
            <w:r/>
          </w:p>
        </w:tc>
        <w:tc>
          <w:tcPr>
            <w:tcBorders/>
            <w:tcW w:w="3077" w:type="dxa"/>
          </w:tcPr>
          <w:p>
            <w:pPr>
              <w:pStyle w:val="922"/>
              <w:pBdr/>
              <w:spacing/>
              <w:ind/>
              <w:rPr/>
            </w:pPr>
            <w:r>
              <w:t xml:space="preserve">El código deberá seguir estándares verificables.</w:t>
            </w:r>
            <w:r/>
          </w:p>
        </w:tc>
        <w:tc>
          <w:tcPr>
            <w:tcBorders/>
            <w:tcW w:w="2947" w:type="dxa"/>
          </w:tcPr>
          <w:p>
            <w:pPr>
              <w:pStyle w:val="922"/>
              <w:pBdr/>
              <w:spacing/>
              <w:ind/>
              <w:rPr/>
            </w:pPr>
            <w:r>
              <w:t xml:space="preserve">Sin errores en Laravel Pint (PSR-12) ni en análisis estático (Larastan nivel 5 o superior); todo cambio pasa por git con revisión de otro integrante.</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RNF-39</w:t>
            </w:r>
            <w:r/>
          </w:p>
        </w:tc>
        <w:tc>
          <w:tcPr>
            <w:tcBorders/>
            <w:tcW w:w="3077" w:type="dxa"/>
          </w:tcPr>
          <w:p>
            <w:pPr>
              <w:pStyle w:val="922"/>
              <w:pBdr/>
              <w:spacing/>
              <w:ind/>
              <w:rPr/>
            </w:pPr>
            <w:r>
              <w:t xml:space="preserve">Los errores deberán poder diagnosticarse.</w:t>
            </w:r>
            <w:r/>
          </w:p>
        </w:tc>
        <w:tc>
          <w:tcPr>
            <w:tcBorders/>
            <w:tcW w:w="2947" w:type="dxa"/>
          </w:tcPr>
          <w:p>
            <w:pPr>
              <w:pStyle w:val="922"/>
              <w:pBdr/>
              <w:spacing/>
              <w:ind/>
              <w:rPr/>
            </w:pPr>
            <w:r>
              <w:t xml:space="preserve">Los registros incluyen nivel, fecha y hora, usuario e identificador de solicitud; un error 500 guarda la traza completa sin mostrarla al usuario.</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r>
        <w:trPr>
          <w:cantSplit/>
        </w:trPr>
        <w:tc>
          <w:tcPr>
            <w:tcBorders/>
            <w:tcW w:w="880" w:type="dxa"/>
          </w:tcPr>
          <w:p>
            <w:pPr>
              <w:pStyle w:val="922"/>
              <w:pBdr/>
              <w:spacing/>
              <w:ind/>
              <w:rPr/>
            </w:pPr>
            <w:r>
              <w:rPr>
                <w:b/>
              </w:rPr>
              <w:t xml:space="preserve">RNF-40</w:t>
            </w:r>
            <w:r/>
          </w:p>
        </w:tc>
        <w:tc>
          <w:tcPr>
            <w:tcBorders/>
            <w:tcW w:w="3077" w:type="dxa"/>
          </w:tcPr>
          <w:p>
            <w:pPr>
              <w:pStyle w:val="922"/>
              <w:pBdr/>
              <w:spacing/>
              <w:ind/>
              <w:rPr/>
            </w:pPr>
            <w:r>
              <w:t xml:space="preserve">El Sistema deberá entregarse documentado.</w:t>
            </w:r>
            <w:r/>
          </w:p>
        </w:tc>
        <w:tc>
          <w:tcPr>
            <w:tcBorders/>
            <w:tcW w:w="2947" w:type="dxa"/>
          </w:tcPr>
          <w:p>
            <w:pPr>
              <w:pStyle w:val="922"/>
              <w:pBdr/>
              <w:spacing/>
              <w:ind/>
              <w:rPr/>
            </w:pPr>
            <w:r>
              <w:t xml:space="preserve">Se entregan un manual técnico de instalación y un manual de usuario por rol, revisados por un integrante que no los redactó.</w:t>
            </w:r>
            <w:r/>
          </w:p>
        </w:tc>
        <w:tc>
          <w:tcPr>
            <w:tcBorders/>
            <w:tcW w:w="1350" w:type="dxa"/>
          </w:tcPr>
          <w:p>
            <w:pPr>
              <w:pStyle w:val="922"/>
              <w:pBdr/>
              <w:spacing/>
              <w:ind/>
              <w:rPr/>
            </w:pPr>
            <w:r>
              <w:t xml:space="preserve">Inspección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8" w:name="_Toc200908"/>
      <w:r>
        <w:t xml:space="preserve">3.3.8 Flexibilidad</w:t>
      </w:r>
      <w:bookmarkEnd w:id="908"/>
      <w:r/>
      <w:r/>
    </w:p>
    <w:p>
      <w:pPr>
        <w:pStyle w:val="923"/>
        <w:keepNext w:val="true"/>
        <w:pBdr/>
        <w:spacing/>
        <w:ind/>
        <w:rPr/>
      </w:pPr>
      <w:r>
        <w:rPr>
          <w:b/>
          <w:bCs/>
          <w:color w:val="241a61"/>
          <w:sz w:val="18"/>
          <w:szCs w:val="18"/>
        </w:rPr>
        <w:t xml:space="preserve">Tabla 15. </w:t>
      </w:r>
      <w:r>
        <w:rPr>
          <w:sz w:val="18"/>
          <w:szCs w:val="18"/>
        </w:rPr>
        <w:t xml:space="preserve">Requisitos de flexibilidad.</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RNF-41</w:t>
            </w:r>
            <w:r/>
          </w:p>
        </w:tc>
        <w:tc>
          <w:tcPr>
            <w:tcBorders/>
            <w:tcW w:w="3077" w:type="dxa"/>
          </w:tcPr>
          <w:p>
            <w:pPr>
              <w:pStyle w:val="922"/>
              <w:pBdr/>
              <w:spacing/>
              <w:ind/>
              <w:rPr/>
            </w:pPr>
            <w:r>
              <w:t xml:space="preserve">El Sistema deberá instalarse con facilidad en un equipo nuevo.</w:t>
            </w:r>
            <w:r/>
          </w:p>
        </w:tc>
        <w:tc>
          <w:tcPr>
            <w:tcBorders/>
            <w:tcW w:w="2947" w:type="dxa"/>
          </w:tcPr>
          <w:p>
            <w:pPr>
              <w:pStyle w:val="922"/>
              <w:pBdr/>
              <w:spacing/>
              <w:ind/>
              <w:rPr/>
            </w:pPr>
            <w:r>
              <w:t xml:space="preserve">Siguiendo el manual técnico, una persona del equipo lo instala con migraciones y datos de ejemplo en ≤ 1 hora en un equipo con las versiones de PHP y MariaDB definidas.</w:t>
            </w:r>
            <w:r/>
          </w:p>
        </w:tc>
        <w:tc>
          <w:tcPr>
            <w:tcBorders/>
            <w:tcW w:w="1350" w:type="dxa"/>
          </w:tcPr>
          <w:p>
            <w:pPr>
              <w:pStyle w:val="922"/>
              <w:pBdr/>
              <w:spacing/>
              <w:ind/>
              <w:rPr/>
            </w:pPr>
            <w:r>
              <w:t xml:space="preserve">Demostración</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RNF-42</w:t>
            </w:r>
            <w:r/>
          </w:p>
        </w:tc>
        <w:tc>
          <w:tcPr>
            <w:tcBorders/>
            <w:tcW w:w="3077" w:type="dxa"/>
          </w:tcPr>
          <w:p>
            <w:pPr>
              <w:pStyle w:val="922"/>
              <w:pBdr/>
              <w:spacing/>
              <w:ind/>
              <w:rPr/>
            </w:pPr>
            <w:r>
              <w:t xml:space="preserve">El Sistema deberá poder pasar a producción sin cambiar el código.</w:t>
            </w:r>
            <w:r/>
          </w:p>
        </w:tc>
        <w:tc>
          <w:tcPr>
            <w:tcBorders/>
            <w:tcW w:w="2947" w:type="dxa"/>
          </w:tcPr>
          <w:p>
            <w:pPr>
              <w:pStyle w:val="922"/>
              <w:pBdr/>
              <w:spacing/>
              <w:ind/>
              <w:rPr/>
            </w:pPr>
            <w:r>
              <w:t xml:space="preserve">Toda configuración dependiente del entorno (base de datos, correo, dominio, túnel) se define en variables de entorno; el mismo código corre en el equipo local con túnel y en un hospedaje de producción.</w:t>
            </w:r>
            <w:r/>
          </w:p>
        </w:tc>
        <w:tc>
          <w:tcPr>
            <w:tcBorders/>
            <w:tcW w:w="1350" w:type="dxa"/>
          </w:tcPr>
          <w:p>
            <w:pPr>
              <w:pStyle w:val="922"/>
              <w:pBdr/>
              <w:spacing/>
              <w:ind/>
              <w:rPr/>
            </w:pPr>
            <w:r>
              <w:t xml:space="preserve">Demostración</w:t>
            </w:r>
            <w:r/>
          </w:p>
        </w:tc>
        <w:tc>
          <w:tcPr>
            <w:tcBorders/>
            <w:tcW w:w="1150" w:type="dxa"/>
          </w:tcPr>
          <w:p>
            <w:pPr>
              <w:pStyle w:val="922"/>
              <w:pBdr/>
              <w:spacing/>
              <w:ind/>
              <w:rPr/>
            </w:pPr>
            <w:r>
              <w:t xml:space="preserve">Media</w:t>
            </w:r>
            <w:r/>
          </w:p>
        </w:tc>
      </w:tr>
    </w:tbl>
    <w:p>
      <w:pPr>
        <w:pBdr/>
        <w:spacing/>
        <w:ind/>
        <w:rPr/>
      </w:pPr>
      <w:r/>
      <w:r/>
    </w:p>
    <w:p>
      <w:pPr>
        <w:pStyle w:val="917"/>
        <w:pBdr/>
        <w:spacing/>
        <w:ind/>
        <w:rPr/>
      </w:pPr>
      <w:r/>
      <w:bookmarkStart w:id="909" w:name="_Toc200909"/>
      <w:r>
        <w:t xml:space="preserve">3.3.9 Protección</w:t>
      </w:r>
      <w:bookmarkEnd w:id="909"/>
      <w:r/>
      <w:r/>
    </w:p>
    <w:p>
      <w:pPr>
        <w:pStyle w:val="923"/>
        <w:keepNext w:val="true"/>
        <w:pBdr/>
        <w:spacing/>
        <w:ind/>
        <w:rPr/>
      </w:pPr>
      <w:r>
        <w:rPr>
          <w:b/>
          <w:bCs/>
          <w:color w:val="241a61"/>
          <w:sz w:val="18"/>
          <w:szCs w:val="18"/>
        </w:rPr>
        <w:t xml:space="preserve">Tabla 16. </w:t>
      </w:r>
      <w:r>
        <w:rPr>
          <w:sz w:val="18"/>
          <w:szCs w:val="18"/>
        </w:rPr>
        <w:t xml:space="preserve">Requisitos de protección.</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80"/>
        <w:gridCol w:w="3077"/>
        <w:gridCol w:w="2947"/>
        <w:gridCol w:w="1350"/>
        <w:gridCol w:w="1150"/>
      </w:tblGrid>
      <w:tr>
        <w:trPr>
          <w:cantSplit/>
          <w:tblHeader/>
        </w:trPr>
        <w:tc>
          <w:tcPr>
            <w:shd w:val="clear" w:color="auto" w:fill="241a61"/>
            <w:tcBorders/>
            <w:tcW w:w="880" w:type="dxa"/>
          </w:tcPr>
          <w:p>
            <w:pPr>
              <w:pStyle w:val="922"/>
              <w:pBdr/>
              <w:spacing/>
              <w:ind/>
              <w:rPr/>
            </w:pPr>
            <w:r>
              <w:rPr>
                <w:b/>
                <w:bCs/>
                <w:color w:val="ffffff"/>
              </w:rPr>
              <w:t xml:space="preserve">ID</w:t>
            </w:r>
            <w:r/>
          </w:p>
        </w:tc>
        <w:tc>
          <w:tcPr>
            <w:shd w:val="clear" w:color="auto" w:fill="241a61"/>
            <w:tcBorders/>
            <w:tcW w:w="3077" w:type="dxa"/>
          </w:tcPr>
          <w:p>
            <w:pPr>
              <w:pStyle w:val="922"/>
              <w:pBdr/>
              <w:spacing/>
              <w:ind/>
              <w:rPr/>
            </w:pPr>
            <w:r>
              <w:rPr>
                <w:b/>
                <w:bCs/>
                <w:color w:val="ffffff"/>
              </w:rPr>
              <w:t xml:space="preserve">Requisito</w:t>
            </w:r>
            <w:r/>
          </w:p>
        </w:tc>
        <w:tc>
          <w:tcPr>
            <w:shd w:val="clear" w:color="auto" w:fill="241a61"/>
            <w:tcBorders/>
            <w:tcW w:w="2947" w:type="dxa"/>
          </w:tcPr>
          <w:p>
            <w:pPr>
              <w:pStyle w:val="922"/>
              <w:pBdr/>
              <w:spacing/>
              <w:ind/>
              <w:rPr/>
            </w:pPr>
            <w:r>
              <w:rPr>
                <w:b/>
                <w:bCs/>
                <w:color w:val="ffffff"/>
              </w:rPr>
              <w:t xml:space="preserve">Criterio de aceptación</w:t>
            </w:r>
            <w:r/>
          </w:p>
        </w:tc>
        <w:tc>
          <w:tcPr>
            <w:shd w:val="clear" w:color="auto" w:fill="241a61"/>
            <w:tcBorders/>
            <w:tcW w:w="1350" w:type="dxa"/>
          </w:tcPr>
          <w:p>
            <w:pPr>
              <w:pStyle w:val="922"/>
              <w:pBdr/>
              <w:spacing/>
              <w:ind/>
              <w:rPr/>
            </w:pPr>
            <w:r>
              <w:rPr>
                <w:b/>
                <w:bCs/>
                <w:color w:val="ffffff"/>
              </w:rPr>
              <w:t xml:space="preserve">Verificación</w:t>
            </w:r>
            <w:r/>
          </w:p>
        </w:tc>
        <w:tc>
          <w:tcPr>
            <w:shd w:val="clear" w:color="auto" w:fill="241a61"/>
            <w:tcBorders/>
            <w:tcW w:w="1150" w:type="dxa"/>
          </w:tcPr>
          <w:p>
            <w:pPr>
              <w:pStyle w:val="922"/>
              <w:pBdr/>
              <w:spacing/>
              <w:ind/>
              <w:rPr/>
            </w:pPr>
            <w:r>
              <w:rPr>
                <w:b/>
                <w:bCs/>
                <w:color w:val="ffffff"/>
              </w:rPr>
              <w:t xml:space="preserve">Prioridad</w:t>
            </w:r>
            <w:r/>
          </w:p>
        </w:tc>
      </w:tr>
      <w:tr>
        <w:trPr>
          <w:cantSplit/>
        </w:trPr>
        <w:tc>
          <w:tcPr>
            <w:tcBorders/>
            <w:tcW w:w="880" w:type="dxa"/>
          </w:tcPr>
          <w:p>
            <w:pPr>
              <w:pStyle w:val="922"/>
              <w:pBdr/>
              <w:spacing/>
              <w:ind/>
              <w:rPr/>
            </w:pPr>
            <w:r>
              <w:rPr>
                <w:b/>
              </w:rPr>
              <w:t xml:space="preserve">RNF-43</w:t>
            </w:r>
            <w:r/>
          </w:p>
        </w:tc>
        <w:tc>
          <w:tcPr>
            <w:tcBorders/>
            <w:tcW w:w="3077" w:type="dxa"/>
          </w:tcPr>
          <w:p>
            <w:pPr>
              <w:pStyle w:val="922"/>
              <w:pBdr/>
              <w:spacing/>
              <w:ind/>
              <w:rPr/>
            </w:pPr>
            <w:r>
              <w:t xml:space="preserve">Ante una duda sobre la elegibilidad, el Sistema deberá fallar del lado seguro.</w:t>
            </w:r>
            <w:r/>
          </w:p>
        </w:tc>
        <w:tc>
          <w:tcPr>
            <w:tcBorders/>
            <w:tcW w:w="2947" w:type="dxa"/>
          </w:tcPr>
          <w:p>
            <w:pPr>
              <w:pStyle w:val="922"/>
              <w:pBdr/>
              <w:spacing/>
              <w:ind/>
              <w:rPr/>
            </w:pPr>
            <w:r>
              <w:t xml:space="preserve">Si no puede determinar la elegibilidad de un jugador (datos incompletos o error interno), lo marca como «no verificado» y alerta al árbitro y al delegado; nunca lo marca como habilitado.</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r>
        <w:trPr>
          <w:cantSplit/>
        </w:trPr>
        <w:tc>
          <w:tcPr>
            <w:tcBorders/>
            <w:tcW w:w="880" w:type="dxa"/>
          </w:tcPr>
          <w:p>
            <w:pPr>
              <w:pStyle w:val="922"/>
              <w:pBdr/>
              <w:spacing/>
              <w:ind/>
              <w:rPr/>
            </w:pPr>
            <w:r>
              <w:rPr>
                <w:b/>
              </w:rPr>
              <w:t xml:space="preserve">RNF-44</w:t>
            </w:r>
            <w:r/>
          </w:p>
        </w:tc>
        <w:tc>
          <w:tcPr>
            <w:tcBorders/>
            <w:tcW w:w="3077" w:type="dxa"/>
          </w:tcPr>
          <w:p>
            <w:pPr>
              <w:pStyle w:val="922"/>
              <w:pBdr/>
              <w:spacing/>
              <w:ind/>
              <w:rPr/>
            </w:pPr>
            <w:r>
              <w:t xml:space="preserve">El boletín de castigados no deberá publicarse sin validación.</w:t>
            </w:r>
            <w:r/>
          </w:p>
        </w:tc>
        <w:tc>
          <w:tcPr>
            <w:tcBorders/>
            <w:tcW w:w="2947" w:type="dxa"/>
          </w:tcPr>
          <w:p>
            <w:pPr>
              <w:pStyle w:val="922"/>
              <w:pBdr/>
              <w:spacing/>
              <w:ind/>
              <w:rPr/>
            </w:pPr>
            <w:r>
              <w:t xml:space="preserve">Ninguna sanción aparece en el portal antes de que la Comisión Disciplinaria la valide; cada publicación registra quién la autorizó.</w:t>
            </w:r>
            <w:r/>
          </w:p>
        </w:tc>
        <w:tc>
          <w:tcPr>
            <w:tcBorders/>
            <w:tcW w:w="1350" w:type="dxa"/>
          </w:tcPr>
          <w:p>
            <w:pPr>
              <w:pStyle w:val="922"/>
              <w:pBdr/>
              <w:spacing/>
              <w:ind/>
              <w:rPr/>
            </w:pPr>
            <w:r>
              <w:t xml:space="preserve">Prueba</w:t>
            </w:r>
            <w:r/>
          </w:p>
        </w:tc>
        <w:tc>
          <w:tcPr>
            <w:tcBorders/>
            <w:tcW w:w="1150" w:type="dxa"/>
          </w:tcPr>
          <w:p>
            <w:pPr>
              <w:pStyle w:val="922"/>
              <w:pBdr/>
              <w:spacing/>
              <w:ind/>
              <w:rPr/>
            </w:pPr>
            <w:r>
              <w:t xml:space="preserve">Alta</w:t>
            </w:r>
            <w:r/>
          </w:p>
        </w:tc>
      </w:tr>
    </w:tbl>
    <w:p>
      <w:pPr>
        <w:pBdr/>
        <w:spacing/>
        <w:ind/>
        <w:rPr/>
      </w:pPr>
      <w:r/>
      <w:r/>
    </w:p>
    <w:p>
      <w:pPr>
        <w:pStyle w:val="916"/>
        <w:pBdr/>
        <w:spacing/>
        <w:ind/>
        <w:rPr/>
      </w:pPr>
      <w:r/>
      <w:bookmarkStart w:id="42" w:name="_Toc100042"/>
      <w:r>
        <w:t xml:space="preserve">3.4 Otros requisitos</w:t>
      </w:r>
      <w:bookmarkEnd w:id="42"/>
      <w:r/>
      <w:r/>
    </w:p>
    <w:p>
      <w:pPr>
        <w:pStyle w:val="917"/>
        <w:pBdr/>
        <w:spacing/>
        <w:ind/>
        <w:rPr/>
      </w:pPr>
      <w:r/>
      <w:bookmarkStart w:id="43" w:name="_Toc100043"/>
      <w:r>
        <w:t xml:space="preserve">3.4.1 Requisitos legales y de privacidad</w:t>
      </w:r>
      <w:bookmarkEnd w:id="43"/>
      <w:r/>
      <w:r/>
    </w:p>
    <w:p>
      <w:pPr>
        <w:pStyle w:val="920"/>
        <w:numPr>
          <w:ilvl w:val="0"/>
          <w:numId w:val="1"/>
        </w:numPr>
        <w:pBdr/>
        <w:spacing/>
        <w:ind/>
        <w:rPr/>
      </w:pPr>
      <w:r>
        <w:rPr>
          <w:b/>
          <w:bCs/>
        </w:rPr>
        <w:t xml:space="preserve">OR-01:</w:t>
      </w:r>
      <w:r>
        <w:t xml:space="preserve"> El </w:t>
      </w:r>
      <w:r>
        <w:t xml:space="preserve">sistema deberá cumplir con las normativas</w:t>
      </w:r>
      <w:r>
        <w:t xml:space="preserve"> de protección de datos personales vigentes, mostrando un aviso de privacidad al momento del registro de jugadores y recabando el consentimiento digital de los delegados y tutores en el caso de jugadores menores de edad (rama infantil y categoría Juvenil).</w:t>
      </w:r>
      <w:r/>
    </w:p>
    <w:p>
      <w:pPr>
        <w:pStyle w:val="915"/>
        <w:pageBreakBefore w:val="true"/>
        <w:pBdr/>
        <w:spacing/>
        <w:ind/>
        <w:rPr/>
      </w:pPr>
      <w:r/>
      <w:bookmarkStart w:id="44" w:name="_Toc100044"/>
      <w:r>
        <w:t xml:space="preserve">4. Modelado del sistema</w:t>
      </w:r>
      <w:bookmarkEnd w:id="44"/>
      <w:r/>
      <w:r/>
    </w:p>
    <w:p>
      <w:pPr>
        <w:pStyle w:val="916"/>
        <w:pBdr/>
        <w:spacing/>
        <w:ind/>
        <w:rPr/>
      </w:pPr>
      <w:r/>
      <w:bookmarkStart w:id="45" w:name="_Toc100045"/>
      <w:r>
        <w:t xml:space="preserve">4.1 Diagrama BPMN</w:t>
      </w:r>
      <w:bookmarkEnd w:id="45"/>
      <w:r/>
      <w:r/>
    </w:p>
    <w:p>
      <w:pPr>
        <w:pStyle w:val="916"/>
        <w:pBdr/>
        <w:spacing/>
        <w:ind/>
        <w:rPr/>
      </w:pPr>
      <w:r/>
      <w:bookmarkStart w:id="46" w:name="_Toc100046"/>
      <w:r>
        <w:t xml:space="preserve">4.2 Diseño de Interfaz</w:t>
      </w:r>
      <w:bookmarkEnd w:id="46"/>
      <w:r/>
      <w:r/>
    </w:p>
    <w:p>
      <w:pPr>
        <w:pStyle w:val="916"/>
        <w:pBdr/>
        <w:spacing/>
        <w:ind/>
        <w:rPr/>
      </w:pPr>
      <w:r/>
      <w:bookmarkStart w:id="47" w:name="_Toc100047"/>
      <w:r>
        <w:t xml:space="preserve">4.3 Diseño de Base de Datos</w:t>
      </w:r>
      <w:bookmarkEnd w:id="47"/>
      <w:r/>
      <w:r/>
    </w:p>
    <w:p>
      <w:pPr>
        <w:pStyle w:val="916"/>
        <w:pBdr/>
        <w:spacing/>
        <w:ind/>
        <w:rPr/>
      </w:pPr>
      <w:r/>
      <w:bookmarkStart w:id="48" w:name="_Toc100048"/>
      <w:r>
        <w:t xml:space="preserve">4.4 Diseño jerárquico</w:t>
      </w:r>
      <w:bookmarkEnd w:id="48"/>
      <w:r/>
      <w:r/>
    </w:p>
    <w:p>
      <w:pPr>
        <w:pBdr/>
        <w:spacing/>
        <w:ind/>
        <w:rPr/>
      </w:pPr>
      <w:r>
        <w:t xml:space="preserve">El sistema se orga</w:t>
      </w:r>
      <w:r>
        <w:t xml:space="preserve">niza desde la plataforma hacia módulos, submódulos y operaciones. Esta jerarquía de navegación y estructura de información evita mezclar responsabilidades y permite que el framework Laravel refleje directamente el dominio del negocio de la Liga Municipal. </w:t>
      </w:r>
      <w:r/>
    </w:p>
    <w:p>
      <w:pPr>
        <w:pStyle w:val="920"/>
        <w:numPr>
          <w:ilvl w:val="0"/>
          <w:numId w:val="1"/>
        </w:numPr>
        <w:pBdr/>
        <w:spacing/>
        <w:ind/>
        <w:rPr/>
      </w:pPr>
      <w:r>
        <w:rPr>
          <w:b/>
          <w:bCs/>
        </w:rPr>
        <w:t xml:space="preserve">Jerarquía de Módulos (Estructura del Sistema)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805"/>
        <w:gridCol w:w="1915"/>
        <w:gridCol w:w="6684"/>
      </w:tblGrid>
      <w:tr>
        <w:trPr>
          <w:cantSplit/>
          <w:tblHeader/>
        </w:trPr>
        <w:tc>
          <w:tcPr>
            <w:shd w:val="clear" w:color="auto" w:fill="241a61"/>
            <w:tcBorders/>
            <w:tcW w:w="805" w:type="dxa"/>
          </w:tcPr>
          <w:p>
            <w:pPr>
              <w:pStyle w:val="922"/>
              <w:pBdr/>
              <w:spacing/>
              <w:ind/>
              <w:rPr/>
            </w:pPr>
            <w:r>
              <w:rPr>
                <w:b/>
                <w:bCs/>
                <w:color w:val="ffffff"/>
              </w:rPr>
              <w:t xml:space="preserve">Nivel</w:t>
            </w:r>
            <w:r/>
          </w:p>
        </w:tc>
        <w:tc>
          <w:tcPr>
            <w:shd w:val="clear" w:color="auto" w:fill="241a61"/>
            <w:tcBorders/>
            <w:tcW w:w="1915" w:type="dxa"/>
          </w:tcPr>
          <w:p>
            <w:pPr>
              <w:pStyle w:val="922"/>
              <w:pBdr/>
              <w:spacing/>
              <w:ind/>
              <w:rPr/>
            </w:pPr>
            <w:r>
              <w:rPr>
                <w:b/>
                <w:bCs/>
                <w:color w:val="ffffff"/>
              </w:rPr>
              <w:t xml:space="preserve">Elemento</w:t>
            </w:r>
            <w:r/>
          </w:p>
        </w:tc>
        <w:tc>
          <w:tcPr>
            <w:shd w:val="clear" w:color="auto" w:fill="241a61"/>
            <w:tcBorders/>
            <w:tcW w:w="6684" w:type="dxa"/>
          </w:tcPr>
          <w:p>
            <w:pPr>
              <w:pStyle w:val="922"/>
              <w:pBdr/>
              <w:spacing/>
              <w:ind/>
              <w:rPr/>
            </w:pPr>
            <w:r>
              <w:rPr>
                <w:b/>
                <w:bCs/>
                <w:color w:val="ffffff"/>
              </w:rPr>
              <w:t xml:space="preserve">Subelementos</w:t>
            </w:r>
            <w:r/>
          </w:p>
        </w:tc>
      </w:tr>
      <w:tr>
        <w:trPr>
          <w:cantSplit/>
        </w:trPr>
        <w:tc>
          <w:tcPr>
            <w:tcBorders/>
            <w:tcW w:w="805" w:type="dxa"/>
          </w:tcPr>
          <w:p>
            <w:pPr>
              <w:pStyle w:val="922"/>
              <w:pBdr/>
              <w:spacing/>
              <w:ind/>
              <w:rPr/>
            </w:pPr>
            <w:r>
              <w:t xml:space="preserve">0</w:t>
            </w:r>
            <w:r/>
          </w:p>
        </w:tc>
        <w:tc>
          <w:tcPr>
            <w:tcBorders/>
            <w:tcW w:w="1915" w:type="dxa"/>
          </w:tcPr>
          <w:p>
            <w:pPr>
              <w:pStyle w:val="922"/>
              <w:pBdr/>
              <w:spacing/>
              <w:ind/>
              <w:rPr/>
            </w:pPr>
            <w:r>
              <w:t xml:space="preserve">Sistema Gestor</w:t>
            </w:r>
            <w:r/>
          </w:p>
        </w:tc>
        <w:tc>
          <w:tcPr>
            <w:tcBorders/>
            <w:tcW w:w="6684" w:type="dxa"/>
          </w:tcPr>
          <w:p>
            <w:pPr>
              <w:pStyle w:val="922"/>
              <w:pBdr/>
              <w:spacing/>
              <w:ind/>
              <w:rPr/>
            </w:pPr>
            <w:r>
              <w:t xml:space="preserve">Portal interno + Portal público + API/servicios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Core</w:t>
            </w:r>
            <w:r/>
          </w:p>
        </w:tc>
        <w:tc>
          <w:tcPr>
            <w:tcBorders/>
            <w:tcW w:w="6684" w:type="dxa"/>
          </w:tcPr>
          <w:p>
            <w:pPr>
              <w:pStyle w:val="922"/>
              <w:pBdr/>
              <w:spacing/>
              <w:ind/>
              <w:rPr/>
            </w:pPr>
            <w:r>
              <w:t xml:space="preserve">Liga, usuarios, roles, permisos, sesiones, auditoría</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Temporada</w:t>
            </w:r>
            <w:r/>
          </w:p>
        </w:tc>
        <w:tc>
          <w:tcPr>
            <w:tcBorders/>
            <w:tcW w:w="6684" w:type="dxa"/>
          </w:tcPr>
          <w:p>
            <w:pPr>
              <w:pStyle w:val="922"/>
              <w:pBdr/>
              <w:spacing/>
              <w:ind/>
              <w:rPr/>
            </w:pPr>
            <w:r>
              <w:t xml:space="preserve">Temporadas, convocatorias, categorías, grupos, reglas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Clubes/Finanzas</w:t>
            </w:r>
            <w:r/>
          </w:p>
        </w:tc>
        <w:tc>
          <w:tcPr>
            <w:tcBorders/>
            <w:tcW w:w="6684" w:type="dxa"/>
          </w:tcPr>
          <w:p>
            <w:pPr>
              <w:pStyle w:val="922"/>
              <w:pBdr/>
              <w:spacing/>
              <w:ind/>
              <w:rPr/>
            </w:pPr>
            <w:r>
              <w:t xml:space="preserve">Afiliación, tarjetón, directiva, venta, cargos, pagos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Jugadores</w:t>
            </w:r>
            <w:r/>
          </w:p>
        </w:tc>
        <w:tc>
          <w:tcPr>
            <w:tcBorders/>
            <w:tcW w:w="6684" w:type="dxa"/>
          </w:tcPr>
          <w:p>
            <w:pPr>
              <w:pStyle w:val="922"/>
              <w:pBdr/>
              <w:spacing/>
              <w:ind/>
              <w:rPr/>
            </w:pPr>
            <w:r>
              <w:t xml:space="preserve">Personas, expedientes, documentos, plantillas, elegibilidad</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Logística</w:t>
            </w:r>
            <w:r/>
          </w:p>
        </w:tc>
        <w:tc>
          <w:tcPr>
            <w:tcBorders/>
            <w:tcW w:w="6684" w:type="dxa"/>
          </w:tcPr>
          <w:p>
            <w:pPr>
              <w:pStyle w:val="922"/>
              <w:pBdr/>
              <w:spacing/>
              <w:ind/>
              <w:rPr/>
            </w:pPr>
            <w:r>
              <w:t xml:space="preserve">Canchas, sedes, bloqueos, preferencias, préstamos, árbitros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Fixture</w:t>
            </w:r>
            <w:r/>
          </w:p>
        </w:tc>
        <w:tc>
          <w:tcPr>
            <w:tcBorders/>
            <w:tcW w:w="6684" w:type="dxa"/>
          </w:tcPr>
          <w:p>
            <w:pPr>
              <w:pStyle w:val="922"/>
              <w:pBdr/>
              <w:spacing/>
              <w:ind/>
              <w:rPr/>
            </w:pPr>
            <w:r>
              <w:t xml:space="preserve">Jornadas, enfrentamientos, restricciones, asignaciones, conflictos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Partidos</w:t>
            </w:r>
            <w:r/>
          </w:p>
        </w:tc>
        <w:tc>
          <w:tcPr>
            <w:tcBorders/>
            <w:tcW w:w="6684" w:type="dxa"/>
          </w:tcPr>
          <w:p>
            <w:pPr>
              <w:pStyle w:val="922"/>
              <w:pBdr/>
              <w:spacing/>
              <w:ind/>
              <w:rPr/>
            </w:pPr>
            <w:r>
              <w:t xml:space="preserve">Estados, cédulas, alineaciones, eventos, resultados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Disciplina</w:t>
            </w:r>
            <w:r/>
          </w:p>
        </w:tc>
        <w:tc>
          <w:tcPr>
            <w:tcBorders/>
            <w:tcW w:w="6684" w:type="dxa"/>
          </w:tcPr>
          <w:p>
            <w:pPr>
              <w:pStyle w:val="922"/>
              <w:pBdr/>
              <w:spacing/>
              <w:ind/>
              <w:rPr/>
            </w:pPr>
            <w:r>
              <w:t xml:space="preserve">Incidentes, artículos, expedientes, sanciones, recursos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Competencia</w:t>
            </w:r>
            <w:r/>
          </w:p>
        </w:tc>
        <w:tc>
          <w:tcPr>
            <w:tcBorders/>
            <w:tcW w:w="6684" w:type="dxa"/>
          </w:tcPr>
          <w:p>
            <w:pPr>
              <w:pStyle w:val="922"/>
              <w:pBdr/>
              <w:spacing/>
              <w:ind/>
              <w:rPr/>
            </w:pPr>
            <w:r>
              <w:t xml:space="preserve">Tablas, estadísticas, liguilla, ascenso/descenso</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Publicación</w:t>
            </w:r>
            <w:r/>
          </w:p>
        </w:tc>
        <w:tc>
          <w:tcPr>
            <w:tcBorders/>
            <w:tcW w:w="6684" w:type="dxa"/>
          </w:tcPr>
          <w:p>
            <w:pPr>
              <w:pStyle w:val="922"/>
              <w:pBdr/>
              <w:spacing/>
              <w:ind/>
              <w:rPr/>
            </w:pPr>
            <w:r>
              <w:t xml:space="preserve">Noticias, comunicados, roles, resultados, tablas</w:t>
            </w:r>
            <w:r/>
          </w:p>
        </w:tc>
      </w:tr>
      <w:tr>
        <w:trPr>
          <w:cantSplit/>
        </w:trPr>
        <w:tc>
          <w:tcPr>
            <w:tcBorders/>
            <w:tcW w:w="805" w:type="dxa"/>
          </w:tcPr>
          <w:p>
            <w:pPr>
              <w:pStyle w:val="922"/>
              <w:pBdr/>
              <w:spacing/>
              <w:ind/>
              <w:rPr/>
            </w:pPr>
            <w:r>
              <w:t xml:space="preserve">1</w:t>
            </w:r>
            <w:r/>
          </w:p>
        </w:tc>
        <w:tc>
          <w:tcPr>
            <w:tcBorders/>
            <w:tcW w:w="1915" w:type="dxa"/>
          </w:tcPr>
          <w:p>
            <w:pPr>
              <w:pStyle w:val="922"/>
              <w:pBdr/>
              <w:spacing/>
              <w:ind/>
              <w:rPr/>
            </w:pPr>
            <w:r>
              <w:t xml:space="preserve">Reportes</w:t>
            </w:r>
            <w:r/>
          </w:p>
        </w:tc>
        <w:tc>
          <w:tcPr>
            <w:tcBorders/>
            <w:tcW w:w="6684" w:type="dxa"/>
          </w:tcPr>
          <w:p>
            <w:pPr>
              <w:pStyle w:val="922"/>
              <w:pBdr/>
              <w:spacing/>
              <w:ind/>
              <w:rPr/>
            </w:pPr>
            <w:r>
              <w:t xml:space="preserve">PDF, Excel/CSV, históricos, auditoría</w:t>
            </w:r>
            <w:r/>
          </w:p>
        </w:tc>
      </w:tr>
    </w:tbl>
    <w:p>
      <w:pPr>
        <w:pBdr/>
        <w:spacing w:after="60" w:before="0"/>
        <w:ind/>
        <w:rPr/>
      </w:pPr>
      <w:r/>
      <w:r/>
    </w:p>
    <w:p>
      <w:pPr>
        <w:pStyle w:val="920"/>
        <w:numPr>
          <w:ilvl w:val="0"/>
          <w:numId w:val="1"/>
        </w:numPr>
        <w:pBdr/>
        <w:spacing/>
        <w:ind/>
        <w:rPr/>
      </w:pPr>
      <w:r>
        <w:rPr>
          <w:b/>
          <w:bCs/>
        </w:rPr>
        <w:t xml:space="preserve">Jerarquía Funcional y Trazabilidad de Datos</w:t>
      </w:r>
      <w:r/>
    </w:p>
    <w:p>
      <w:pPr>
        <w:pBdr/>
        <w:spacing/>
        <w:ind/>
        <w:rPr/>
      </w:pPr>
      <w:r>
        <w:t xml:space="preserve">El sistema respeta el siguiente flujo de dependencias. Un eslabón no puede existir sin que el anterior haya sido creado y validado:</w:t>
      </w:r>
      <w:r/>
    </w:p>
    <w:p>
      <w:pPr>
        <w:pBdr/>
        <w:spacing/>
        <w:ind/>
        <w:rPr/>
      </w:pPr>
      <w:r>
        <w:rPr>
          <w:color w:val="188038"/>
        </w:rPr>
        <w:t xml:space="preserve">Sistema → Liga → Temporada → Convocatoria/Reglas → Categoría → Grupo → Equipo → Partido → Cédula → Incidente → Artículo → Expediente → Resolución/Sanción → Elegibilidad → Tabla/Clasificación → Liguilla → Campeón/Ascenso/Descenso</w:t>
      </w:r>
      <w:r/>
    </w:p>
    <w:p>
      <w:pPr>
        <w:pStyle w:val="916"/>
        <w:pBdr/>
        <w:spacing/>
        <w:ind/>
        <w:rPr/>
      </w:pPr>
      <w:r/>
      <w:bookmarkStart w:id="49" w:name="_Toc100049"/>
      <w:r>
        <w:t xml:space="preserve">4.5 Arquitectura</w:t>
      </w:r>
      <w:bookmarkEnd w:id="49"/>
      <w:r/>
      <w:r/>
    </w:p>
    <w:p>
      <w:pPr>
        <w:pBdr/>
        <w:spacing/>
        <w:ind/>
        <w:rPr/>
      </w:pPr>
      <w:r>
        <w:t xml:space="preserve">Se propone una </w:t>
      </w:r>
      <w:r>
        <w:rPr>
          <w:b/>
          <w:bCs/>
        </w:rPr>
        <w:t xml:space="preserve">arquitectura modular monolítica</w:t>
      </w:r>
      <w:r>
        <w:t xml:space="preserve"> sep</w:t>
      </w:r>
      <w:r>
        <w:t xml:space="preserve">arada en Laravel para el proyecto. Esta decisión arquitectónica es más simple de desplegar y mantener, y mantiene los "servicios de dominio" independientes para poder extraerlos o escalarlos en el futuro si la plataforma crece hacia otras ligas del estado.</w:t>
      </w:r>
      <w:r/>
    </w:p>
    <w:p>
      <w:pPr>
        <w:pBdr/>
        <w:spacing/>
        <w:ind/>
        <w:rPr/>
      </w:pPr>
      <w:r>
        <w:t xml:space="preserve">El sistema contempla un backend/API modular, base de datos relacional, motor de reglas desacoplado, servicio de programación automatizado y almacenamiento documental seguro.</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2355"/>
        <w:gridCol w:w="2772"/>
        <w:gridCol w:w="4277"/>
      </w:tblGrid>
      <w:tr>
        <w:trPr>
          <w:cantSplit/>
          <w:tblHeader/>
        </w:trPr>
        <w:tc>
          <w:tcPr>
            <w:shd w:val="clear" w:color="auto" w:fill="241a61"/>
            <w:tcBorders/>
            <w:tcW w:w="2355" w:type="dxa"/>
          </w:tcPr>
          <w:p>
            <w:pPr>
              <w:pStyle w:val="922"/>
              <w:pBdr/>
              <w:spacing/>
              <w:ind/>
              <w:rPr/>
            </w:pPr>
            <w:r>
              <w:rPr>
                <w:b/>
                <w:bCs/>
                <w:color w:val="ffffff"/>
              </w:rPr>
              <w:t xml:space="preserve">Capa Tecnológica</w:t>
            </w:r>
            <w:r/>
          </w:p>
        </w:tc>
        <w:tc>
          <w:tcPr>
            <w:shd w:val="clear" w:color="auto" w:fill="241a61"/>
            <w:tcBorders/>
            <w:tcW w:w="2772" w:type="dxa"/>
          </w:tcPr>
          <w:p>
            <w:pPr>
              <w:pStyle w:val="922"/>
              <w:pBdr/>
              <w:spacing/>
              <w:ind/>
              <w:rPr/>
            </w:pPr>
            <w:r>
              <w:rPr>
                <w:b/>
                <w:bCs/>
                <w:color w:val="ffffff"/>
              </w:rPr>
              <w:t xml:space="preserve">Tecnología / Componente</w:t>
            </w:r>
            <w:r/>
          </w:p>
        </w:tc>
        <w:tc>
          <w:tcPr>
            <w:shd w:val="clear" w:color="auto" w:fill="241a61"/>
            <w:tcBorders/>
            <w:tcW w:w="4277" w:type="dxa"/>
          </w:tcPr>
          <w:p>
            <w:pPr>
              <w:pStyle w:val="922"/>
              <w:pBdr/>
              <w:spacing/>
              <w:ind/>
              <w:rPr/>
            </w:pPr>
            <w:r>
              <w:rPr>
                <w:b/>
                <w:bCs/>
                <w:color w:val="ffffff"/>
              </w:rPr>
              <w:t xml:space="preserve">Responsabilidad Funcional</w:t>
            </w:r>
            <w:r/>
          </w:p>
        </w:tc>
      </w:tr>
      <w:tr>
        <w:trPr>
          <w:cantSplit/>
        </w:trPr>
        <w:tc>
          <w:tcPr>
            <w:tcBorders/>
            <w:tcW w:w="2355" w:type="dxa"/>
          </w:tcPr>
          <w:p>
            <w:pPr>
              <w:pStyle w:val="922"/>
              <w:pBdr/>
              <w:spacing/>
              <w:ind/>
              <w:rPr/>
            </w:pPr>
            <w:r>
              <w:t xml:space="preserve">Presentación UI</w:t>
            </w:r>
            <w:r/>
          </w:p>
        </w:tc>
        <w:tc>
          <w:tcPr>
            <w:tcBorders/>
            <w:tcW w:w="2772" w:type="dxa"/>
          </w:tcPr>
          <w:p>
            <w:pPr>
              <w:pStyle w:val="922"/>
              <w:pBdr/>
              <w:spacing/>
              <w:ind/>
              <w:rPr/>
            </w:pPr>
            <w:r>
              <w:t xml:space="preserve">Laravel Blade + HTML5/CSS/JS</w:t>
            </w:r>
            <w:r/>
          </w:p>
        </w:tc>
        <w:tc>
          <w:tcPr>
            <w:tcBorders/>
            <w:tcW w:w="4277" w:type="dxa"/>
          </w:tcPr>
          <w:p>
            <w:pPr>
              <w:pStyle w:val="922"/>
              <w:pBdr/>
              <w:spacing/>
              <w:ind/>
              <w:rPr/>
            </w:pPr>
            <w:r>
              <w:t xml:space="preserve">Renderizado de pantallas, formularios rápidos, tablas responsivas y vistas móviles para árbitros</w:t>
            </w:r>
            <w:r/>
          </w:p>
        </w:tc>
      </w:tr>
      <w:tr>
        <w:trPr>
          <w:cantSplit/>
        </w:trPr>
        <w:tc>
          <w:tcPr>
            <w:tcBorders/>
            <w:tcW w:w="2355" w:type="dxa"/>
          </w:tcPr>
          <w:p>
            <w:pPr>
              <w:pStyle w:val="922"/>
              <w:pBdr/>
              <w:spacing/>
              <w:ind/>
              <w:rPr/>
            </w:pPr>
            <w:r>
              <w:t xml:space="preserve">Autorización (Security)</w:t>
            </w:r>
            <w:r/>
          </w:p>
        </w:tc>
        <w:tc>
          <w:tcPr>
            <w:tcBorders/>
            <w:tcW w:w="2772" w:type="dxa"/>
          </w:tcPr>
          <w:p>
            <w:pPr>
              <w:pStyle w:val="922"/>
              <w:pBdr/>
              <w:spacing/>
              <w:ind/>
              <w:rPr/>
            </w:pPr>
            <w:r>
              <w:t xml:space="preserve">Middleware / Policies / Gates</w:t>
            </w:r>
            <w:r/>
          </w:p>
        </w:tc>
        <w:tc>
          <w:tcPr>
            <w:tcBorders/>
            <w:tcW w:w="4277" w:type="dxa"/>
          </w:tcPr>
          <w:p>
            <w:pPr>
              <w:pStyle w:val="922"/>
              <w:pBdr/>
              <w:spacing/>
              <w:ind/>
              <w:rPr/>
            </w:pPr>
            <w:r>
              <w:t xml:space="preserve">Control de acceso basado en roles (RBAC), validación de contexto (ej. un delegado solo edita su club) y protección CSRF</w:t>
            </w:r>
            <w:r/>
          </w:p>
        </w:tc>
      </w:tr>
      <w:tr>
        <w:trPr>
          <w:cantSplit/>
        </w:trPr>
        <w:tc>
          <w:tcPr>
            <w:tcBorders/>
            <w:tcW w:w="2355" w:type="dxa"/>
          </w:tcPr>
          <w:p>
            <w:pPr>
              <w:pStyle w:val="922"/>
              <w:pBdr/>
              <w:spacing/>
              <w:ind/>
              <w:rPr/>
            </w:pPr>
            <w:r>
              <w:t xml:space="preserve">HTTP y Ruteo</w:t>
            </w:r>
            <w:r/>
          </w:p>
        </w:tc>
        <w:tc>
          <w:tcPr>
            <w:tcBorders/>
            <w:tcW w:w="2772" w:type="dxa"/>
          </w:tcPr>
          <w:p>
            <w:pPr>
              <w:pStyle w:val="922"/>
              <w:pBdr/>
              <w:spacing/>
              <w:ind/>
              <w:rPr/>
            </w:pPr>
            <w:r>
              <w:t xml:space="preserve">Controllers / Form Requests</w:t>
            </w:r>
            <w:r/>
          </w:p>
        </w:tc>
        <w:tc>
          <w:tcPr>
            <w:tcBorders/>
            <w:tcW w:w="4277" w:type="dxa"/>
          </w:tcPr>
          <w:p>
            <w:pPr>
              <w:pStyle w:val="922"/>
              <w:pBdr/>
              <w:spacing/>
              <w:ind/>
              <w:rPr/>
            </w:pPr>
            <w:r>
              <w:t xml:space="preserve">Gestión de endpoints, validación de entrada de datos (tipos, longitudes) y sanitización</w:t>
            </w:r>
            <w:r/>
          </w:p>
        </w:tc>
      </w:tr>
      <w:tr>
        <w:trPr>
          <w:cantSplit/>
        </w:trPr>
        <w:tc>
          <w:tcPr>
            <w:tcBorders/>
            <w:tcW w:w="2355" w:type="dxa"/>
          </w:tcPr>
          <w:p>
            <w:pPr>
              <w:pStyle w:val="922"/>
              <w:pBdr/>
              <w:spacing/>
              <w:ind/>
              <w:rPr/>
            </w:pPr>
            <w:r>
              <w:t xml:space="preserve">Aplicación (Use Cases)</w:t>
            </w:r>
            <w:r/>
          </w:p>
        </w:tc>
        <w:tc>
          <w:tcPr>
            <w:tcBorders/>
            <w:tcW w:w="2772" w:type="dxa"/>
          </w:tcPr>
          <w:p>
            <w:pPr>
              <w:pStyle w:val="922"/>
              <w:pBdr/>
              <w:spacing/>
              <w:ind/>
              <w:rPr/>
            </w:pPr>
            <w:r>
              <w:t xml:space="preserve">Services / Actions</w:t>
            </w:r>
            <w:r/>
          </w:p>
        </w:tc>
        <w:tc>
          <w:tcPr>
            <w:tcBorders/>
            <w:tcW w:w="4277" w:type="dxa"/>
          </w:tcPr>
          <w:p>
            <w:pPr>
              <w:pStyle w:val="922"/>
              <w:pBdr/>
              <w:spacing/>
              <w:ind/>
              <w:rPr/>
            </w:pPr>
            <w:r>
              <w:t xml:space="preserve">Ejecución de casos de uso transaccionales complejos (ej. DarDeAltaJugadorService)</w:t>
            </w:r>
            <w:r/>
          </w:p>
        </w:tc>
      </w:tr>
      <w:tr>
        <w:trPr>
          <w:cantSplit/>
        </w:trPr>
        <w:tc>
          <w:tcPr>
            <w:tcBorders/>
            <w:tcW w:w="2355" w:type="dxa"/>
          </w:tcPr>
          <w:p>
            <w:pPr>
              <w:pStyle w:val="922"/>
              <w:pBdr/>
              <w:spacing/>
              <w:ind/>
              <w:rPr/>
            </w:pPr>
            <w:r>
              <w:t xml:space="preserve">Dominio (Business Logic)</w:t>
            </w:r>
            <w:r/>
          </w:p>
        </w:tc>
        <w:tc>
          <w:tcPr>
            <w:tcBorders/>
            <w:tcW w:w="2772" w:type="dxa"/>
          </w:tcPr>
          <w:p>
            <w:pPr>
              <w:pStyle w:val="922"/>
              <w:pBdr/>
              <w:spacing/>
              <w:ind/>
              <w:rPr/>
            </w:pPr>
            <w:r>
              <w:t xml:space="preserve">Rules / Policies / Engines</w:t>
            </w:r>
            <w:r/>
          </w:p>
        </w:tc>
        <w:tc>
          <w:tcPr>
            <w:tcBorders/>
            <w:tcW w:w="4277" w:type="dxa"/>
          </w:tcPr>
          <w:p>
            <w:pPr>
              <w:pStyle w:val="922"/>
              <w:pBdr/>
              <w:spacing/>
              <w:ind/>
              <w:rPr/>
            </w:pPr>
            <w:r>
              <w:t xml:space="preserve">Aislamiento de las reglas deportivas y disciplinarias puras (ej. ReglaSaltoCategoria)</w:t>
            </w:r>
            <w:r/>
          </w:p>
        </w:tc>
      </w:tr>
      <w:tr>
        <w:trPr>
          <w:cantSplit/>
        </w:trPr>
        <w:tc>
          <w:tcPr>
            <w:tcBorders/>
            <w:tcW w:w="2355" w:type="dxa"/>
          </w:tcPr>
          <w:p>
            <w:pPr>
              <w:pStyle w:val="922"/>
              <w:pBdr/>
              <w:spacing/>
              <w:ind/>
              <w:rPr/>
            </w:pPr>
            <w:r>
              <w:t xml:space="preserve">Fixture Engine</w:t>
            </w:r>
            <w:r/>
          </w:p>
        </w:tc>
        <w:tc>
          <w:tcPr>
            <w:tcBorders/>
            <w:tcW w:w="2772" w:type="dxa"/>
          </w:tcPr>
          <w:p>
            <w:pPr>
              <w:pStyle w:val="922"/>
              <w:pBdr/>
              <w:spacing/>
              <w:ind/>
              <w:rPr/>
            </w:pPr>
            <w:r>
              <w:t xml:space="preserve">FixtureService + Constraint Engine</w:t>
            </w:r>
            <w:r/>
          </w:p>
        </w:tc>
        <w:tc>
          <w:tcPr>
            <w:tcBorders/>
            <w:tcW w:w="4277" w:type="dxa"/>
          </w:tcPr>
          <w:p>
            <w:pPr>
              <w:pStyle w:val="922"/>
              <w:pBdr/>
              <w:spacing/>
              <w:ind/>
              <w:rPr/>
            </w:pPr>
            <w:r>
              <w:t xml:space="preserve">Módulo algorítmico independiente para generar enfrentamientos evaluando restricciones y preferencias</w:t>
            </w:r>
            <w:r/>
          </w:p>
        </w:tc>
      </w:tr>
      <w:tr>
        <w:trPr>
          <w:cantSplit/>
        </w:trPr>
        <w:tc>
          <w:tcPr>
            <w:tcBorders/>
            <w:tcW w:w="2355" w:type="dxa"/>
          </w:tcPr>
          <w:p>
            <w:pPr>
              <w:pStyle w:val="922"/>
              <w:pBdr/>
              <w:spacing/>
              <w:ind/>
              <w:rPr/>
            </w:pPr>
            <w:r>
              <w:t xml:space="preserve">Persistencia (Datos)</w:t>
            </w:r>
            <w:r/>
          </w:p>
        </w:tc>
        <w:tc>
          <w:tcPr>
            <w:tcBorders/>
            <w:tcW w:w="2772" w:type="dxa"/>
          </w:tcPr>
          <w:p>
            <w:pPr>
              <w:pStyle w:val="922"/>
              <w:pBdr/>
              <w:spacing/>
              <w:ind/>
              <w:rPr/>
            </w:pPr>
            <w:r>
              <w:t xml:space="preserve">Eloquent ORM + MariaDB</w:t>
            </w:r>
            <w:r/>
          </w:p>
        </w:tc>
        <w:tc>
          <w:tcPr>
            <w:tcBorders/>
            <w:tcW w:w="4277" w:type="dxa"/>
          </w:tcPr>
          <w:p>
            <w:pPr>
              <w:pStyle w:val="922"/>
              <w:pBdr/>
              <w:spacing/>
              <w:ind/>
              <w:rPr/>
            </w:pPr>
            <w:r>
              <w:t xml:space="preserve">Mapeo objeto-relacional, gestión de migraciones y ejecución de transacciones seguras (ACID)</w:t>
            </w:r>
            <w:r/>
          </w:p>
        </w:tc>
      </w:tr>
      <w:tr>
        <w:trPr>
          <w:cantSplit/>
        </w:trPr>
        <w:tc>
          <w:tcPr>
            <w:tcBorders/>
            <w:tcW w:w="2355" w:type="dxa"/>
          </w:tcPr>
          <w:p>
            <w:pPr>
              <w:pStyle w:val="922"/>
              <w:pBdr/>
              <w:spacing/>
              <w:ind/>
              <w:rPr/>
            </w:pPr>
            <w:r>
              <w:t xml:space="preserve">Documentos (Storage)</w:t>
            </w:r>
            <w:r/>
          </w:p>
        </w:tc>
        <w:tc>
          <w:tcPr>
            <w:tcBorders/>
            <w:tcW w:w="2772" w:type="dxa"/>
          </w:tcPr>
          <w:p>
            <w:pPr>
              <w:pStyle w:val="922"/>
              <w:pBdr/>
              <w:spacing/>
              <w:ind/>
              <w:rPr/>
            </w:pPr>
            <w:r>
              <w:t xml:space="preserve">Laravel Storage (Disco Privado)</w:t>
            </w:r>
            <w:r/>
          </w:p>
        </w:tc>
        <w:tc>
          <w:tcPr>
            <w:tcBorders/>
            <w:tcW w:w="4277" w:type="dxa"/>
          </w:tcPr>
          <w:p>
            <w:pPr>
              <w:pStyle w:val="922"/>
              <w:pBdr/>
              <w:spacing/>
              <w:ind/>
              <w:rPr/>
            </w:pPr>
            <w:r>
              <w:t xml:space="preserve">Almacenamiento seguro, aislado de URLs públicas, para resguardar INEs, CURPs, firmas y cartas de venta</w:t>
            </w:r>
            <w:r/>
          </w:p>
        </w:tc>
      </w:tr>
      <w:tr>
        <w:trPr>
          <w:cantSplit/>
        </w:trPr>
        <w:tc>
          <w:tcPr>
            <w:tcBorders/>
            <w:tcW w:w="2355" w:type="dxa"/>
          </w:tcPr>
          <w:p>
            <w:pPr>
              <w:pStyle w:val="922"/>
              <w:pBdr/>
              <w:spacing/>
              <w:ind/>
              <w:rPr/>
            </w:pPr>
            <w:r>
              <w:t xml:space="preserve">Observabilidad</w:t>
            </w:r>
            <w:r/>
          </w:p>
        </w:tc>
        <w:tc>
          <w:tcPr>
            <w:tcBorders/>
            <w:tcW w:w="2772" w:type="dxa"/>
          </w:tcPr>
          <w:p>
            <w:pPr>
              <w:pStyle w:val="922"/>
              <w:pBdr/>
              <w:spacing/>
              <w:ind/>
              <w:rPr/>
            </w:pPr>
            <w:r>
              <w:t xml:space="preserve">Logs + Audit Service</w:t>
            </w:r>
            <w:r/>
          </w:p>
        </w:tc>
        <w:tc>
          <w:tcPr>
            <w:tcBorders/>
            <w:tcW w:w="4277" w:type="dxa"/>
          </w:tcPr>
          <w:p>
            <w:pPr>
              <w:pStyle w:val="922"/>
              <w:pBdr/>
              <w:spacing/>
              <w:ind/>
              <w:rPr/>
            </w:pPr>
            <w:r>
              <w:t xml:space="preserve">Registro de errores técnicos, captura de eventos críticos de negocio y soporte a la tabla de trazabilidad</w:t>
            </w:r>
            <w:r/>
          </w:p>
        </w:tc>
      </w:tr>
      <w:tr>
        <w:trPr>
          <w:cantSplit/>
        </w:trPr>
        <w:tc>
          <w:tcPr>
            <w:tcBorders/>
            <w:tcW w:w="2355" w:type="dxa"/>
          </w:tcPr>
          <w:p>
            <w:pPr>
              <w:pStyle w:val="922"/>
              <w:pBdr/>
              <w:spacing/>
              <w:ind/>
              <w:rPr/>
            </w:pPr>
            <w:r>
              <w:t xml:space="preserve">Infraestructura (Despliegue Ágil) -&gt; por definir</w:t>
            </w:r>
            <w:r/>
          </w:p>
        </w:tc>
        <w:tc>
          <w:tcPr>
            <w:tcBorders/>
            <w:tcW w:w="2772" w:type="dxa"/>
          </w:tcPr>
          <w:p>
            <w:pPr>
              <w:pStyle w:val="922"/>
              <w:pBdr/>
              <w:spacing/>
              <w:ind/>
              <w:rPr/>
            </w:pPr>
            <w:r>
              <w:t xml:space="preserve">Servidor local PHP + MariaDB + Ngrok / Cloudflare Tunnels</w:t>
            </w:r>
            <w:r/>
          </w:p>
        </w:tc>
        <w:tc>
          <w:tcPr>
            <w:tcBorders/>
            <w:tcW w:w="4277" w:type="dxa"/>
          </w:tcPr>
          <w:p>
            <w:pPr>
              <w:pStyle w:val="922"/>
              <w:pBdr/>
              <w:spacing/>
              <w:ind/>
              <w:rPr/>
            </w:pPr>
            <w:r>
              <w:t xml:space="preserve">Alojamiento del entorno de pruebas alojado localmente y expuesto a internet mediante un túnel seguro cifrado (https).</w:t>
            </w:r>
            <w:r/>
          </w:p>
          <w:p>
            <w:pPr>
              <w:pStyle w:val="922"/>
              <w:pBdr/>
              <w:spacing/>
              <w:ind/>
              <w:rPr/>
            </w:pPr>
            <w:r>
              <w:t xml:space="preserve">Permite revisiones semanales de los Sprint a costo cero y sin latencia de despliegue</w:t>
            </w:r>
            <w:r/>
          </w:p>
        </w:tc>
      </w:tr>
    </w:tbl>
    <w:p>
      <w:pPr>
        <w:pBdr/>
        <w:spacing w:after="60" w:before="0"/>
        <w:ind/>
        <w:rPr/>
      </w:pPr>
      <w:r/>
      <w:r/>
    </w:p>
    <w:p>
      <w:pPr>
        <w:pStyle w:val="915"/>
        <w:pageBreakBefore w:val="true"/>
        <w:pBdr/>
        <w:spacing/>
        <w:ind/>
        <w:rPr/>
      </w:pPr>
      <w:r/>
      <w:bookmarkStart w:id="50" w:name="_Toc100050"/>
      <w:r>
        <w:t xml:space="preserve">Anexo A. Matriz de trazabilidad de requisitos funcionales</w:t>
      </w:r>
      <w:bookmarkEnd w:id="50"/>
      <w:r/>
      <w:r/>
    </w:p>
    <w:p>
      <w:pPr>
        <w:keepNext w:val="true"/>
        <w:pBdr/>
        <w:spacing/>
        <w:ind/>
        <w:rPr/>
      </w:pPr>
      <w:r>
        <w:t xml:space="preserve">Relaciona cada requisito funcional con el proceso de la Liga al que corresponde (propuesta del equipo), el caso de uso crítico del documento base y el actor principal. Donde el documento base no define un caso de uso, se indica «Por definir».</w:t>
      </w:r>
      <w:r/>
    </w:p>
    <w:p>
      <w:pPr>
        <w:pStyle w:val="923"/>
        <w:keepNext w:val="true"/>
        <w:pBdr/>
        <w:spacing/>
        <w:ind/>
        <w:rPr/>
      </w:pPr>
      <w:r>
        <w:rPr>
          <w:b/>
          <w:bCs/>
          <w:color w:val="241a61"/>
          <w:sz w:val="18"/>
          <w:szCs w:val="18"/>
        </w:rPr>
        <w:t xml:space="preserve">Tabla 17. </w:t>
      </w:r>
      <w:r>
        <w:rPr>
          <w:sz w:val="18"/>
          <w:szCs w:val="18"/>
        </w:rPr>
        <w:t xml:space="preserve">Matriz de trazabilidad de requisitos funcionales.</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1106"/>
        <w:gridCol w:w="3135"/>
        <w:gridCol w:w="2950"/>
        <w:gridCol w:w="2213"/>
      </w:tblGrid>
      <w:tr>
        <w:trPr>
          <w:cantSplit/>
          <w:tblHeader/>
        </w:trPr>
        <w:tc>
          <w:tcPr>
            <w:shd w:val="clear" w:color="auto" w:fill="241a61"/>
            <w:tcBorders/>
            <w:tcW w:w="1106" w:type="dxa"/>
          </w:tcPr>
          <w:p>
            <w:pPr>
              <w:pStyle w:val="922"/>
              <w:pBdr/>
              <w:spacing/>
              <w:ind/>
              <w:rPr/>
            </w:pPr>
            <w:r>
              <w:rPr>
                <w:b/>
                <w:bCs/>
                <w:color w:val="ffffff"/>
              </w:rPr>
              <w:t xml:space="preserve">RF</w:t>
            </w:r>
            <w:r/>
          </w:p>
        </w:tc>
        <w:tc>
          <w:tcPr>
            <w:shd w:val="clear" w:color="auto" w:fill="241a61"/>
            <w:tcBorders/>
            <w:tcW w:w="3135" w:type="dxa"/>
          </w:tcPr>
          <w:p>
            <w:pPr>
              <w:pStyle w:val="922"/>
              <w:pBdr/>
              <w:spacing/>
              <w:ind/>
              <w:rPr/>
            </w:pPr>
            <w:r>
              <w:rPr>
                <w:b/>
                <w:bCs/>
                <w:color w:val="ffffff"/>
              </w:rPr>
              <w:t xml:space="preserve">Proceso de la Liga</w:t>
            </w:r>
            <w:r/>
          </w:p>
        </w:tc>
        <w:tc>
          <w:tcPr>
            <w:shd w:val="clear" w:color="auto" w:fill="241a61"/>
            <w:tcBorders/>
            <w:tcW w:w="2950" w:type="dxa"/>
          </w:tcPr>
          <w:p>
            <w:pPr>
              <w:pStyle w:val="922"/>
              <w:pBdr/>
              <w:spacing/>
              <w:ind/>
              <w:rPr/>
            </w:pPr>
            <w:r>
              <w:rPr>
                <w:b/>
                <w:bCs/>
                <w:color w:val="ffffff"/>
              </w:rPr>
              <w:t xml:space="preserve">Caso de uso</w:t>
            </w:r>
            <w:r/>
          </w:p>
        </w:tc>
        <w:tc>
          <w:tcPr>
            <w:shd w:val="clear" w:color="auto" w:fill="241a61"/>
            <w:tcBorders/>
            <w:tcW w:w="2213" w:type="dxa"/>
          </w:tcPr>
          <w:p>
            <w:pPr>
              <w:pStyle w:val="922"/>
              <w:pBdr/>
              <w:spacing/>
              <w:ind/>
              <w:rPr/>
            </w:pPr>
            <w:r>
              <w:rPr>
                <w:b/>
                <w:bCs/>
                <w:color w:val="ffffff"/>
              </w:rPr>
              <w:t xml:space="preserve">Actor principal</w:t>
            </w:r>
            <w:r/>
          </w:p>
        </w:tc>
      </w:tr>
      <w:tr>
        <w:trPr>
          <w:cantSplit/>
        </w:trPr>
        <w:tc>
          <w:tcPr>
            <w:shd w:val="clear" w:color="auto" w:fill="f3f2f8"/>
            <w:tcBorders/>
            <w:tcW w:w="1106" w:type="dxa"/>
          </w:tcPr>
          <w:p>
            <w:pPr>
              <w:pStyle w:val="922"/>
              <w:pBdr/>
              <w:spacing/>
              <w:ind/>
              <w:rPr/>
            </w:pPr>
            <w:r>
              <w:rPr>
                <w:b/>
                <w:bCs/>
              </w:rPr>
              <w:t xml:space="preserve">RF-01</w:t>
            </w:r>
            <w:r/>
          </w:p>
        </w:tc>
        <w:tc>
          <w:tcPr>
            <w:tcBorders/>
            <w:tcW w:w="3135" w:type="dxa"/>
          </w:tcPr>
          <w:p>
            <w:pPr>
              <w:pStyle w:val="922"/>
              <w:pBdr/>
              <w:spacing/>
              <w:ind/>
              <w:rPr/>
            </w:pPr>
            <w:r>
              <w:t xml:space="preserve">Paso 1. Convocatoria / temporada</w:t>
            </w:r>
            <w:r/>
          </w:p>
        </w:tc>
        <w:tc>
          <w:tcPr>
            <w:tcBorders/>
            <w:tcW w:w="2950" w:type="dxa"/>
          </w:tcPr>
          <w:p>
            <w:pPr>
              <w:pStyle w:val="922"/>
              <w:pBdr/>
              <w:spacing/>
              <w:ind/>
              <w:rPr/>
            </w:pPr>
            <w:r>
              <w:t xml:space="preserve">Registrar temporada</w:t>
            </w:r>
            <w:r/>
          </w:p>
        </w:tc>
        <w:tc>
          <w:tcPr>
            <w:tcBorders/>
            <w:tcW w:w="2213" w:type="dxa"/>
          </w:tcPr>
          <w:p>
            <w:pPr>
              <w:pStyle w:val="922"/>
              <w:pBdr/>
              <w:spacing/>
              <w:ind/>
              <w:rPr/>
            </w:pPr>
            <w:r>
              <w:t xml:space="preserve">Administrador, Secretario</w:t>
            </w:r>
            <w:r/>
          </w:p>
        </w:tc>
      </w:tr>
      <w:tr>
        <w:trPr>
          <w:cantSplit/>
        </w:trPr>
        <w:tc>
          <w:tcPr>
            <w:shd w:val="clear" w:color="auto" w:fill="f3f2f8"/>
            <w:tcBorders/>
            <w:tcW w:w="1106" w:type="dxa"/>
          </w:tcPr>
          <w:p>
            <w:pPr>
              <w:pStyle w:val="922"/>
              <w:pBdr/>
              <w:spacing/>
              <w:ind/>
              <w:rPr/>
            </w:pPr>
            <w:r>
              <w:rPr>
                <w:b/>
                <w:bCs/>
              </w:rPr>
              <w:t xml:space="preserve">RF-02</w:t>
            </w:r>
            <w:r/>
          </w:p>
        </w:tc>
        <w:tc>
          <w:tcPr>
            <w:tcBorders/>
            <w:tcW w:w="3135" w:type="dxa"/>
          </w:tcPr>
          <w:p>
            <w:pPr>
              <w:pStyle w:val="922"/>
              <w:pBdr/>
              <w:spacing/>
              <w:ind/>
              <w:rPr/>
            </w:pPr>
            <w:r>
              <w:t xml:space="preserve">Paso 4. Estructura deportiva</w:t>
            </w:r>
            <w:r/>
          </w:p>
        </w:tc>
        <w:tc>
          <w:tcPr>
            <w:tcBorders/>
            <w:tcW w:w="2950" w:type="dxa"/>
          </w:tcPr>
          <w:p>
            <w:pPr>
              <w:pStyle w:val="922"/>
              <w:pBdr/>
              <w:spacing/>
              <w:ind/>
              <w:rPr/>
            </w:pPr>
            <w:r>
              <w:t xml:space="preserve">Configurar categoría/grupo</w:t>
            </w:r>
            <w:r/>
          </w:p>
        </w:tc>
        <w:tc>
          <w:tcPr>
            <w:tcBorders/>
            <w:tcW w:w="2213" w:type="dxa"/>
          </w:tcPr>
          <w:p>
            <w:pPr>
              <w:pStyle w:val="922"/>
              <w:pBdr/>
              <w:spacing/>
              <w:ind/>
              <w:rPr/>
            </w:pPr>
            <w:r>
              <w:t xml:space="preserve">Administrador</w:t>
            </w:r>
            <w:r/>
          </w:p>
        </w:tc>
      </w:tr>
      <w:tr>
        <w:trPr>
          <w:cantSplit/>
        </w:trPr>
        <w:tc>
          <w:tcPr>
            <w:shd w:val="clear" w:color="auto" w:fill="f3f2f8"/>
            <w:tcBorders/>
            <w:tcW w:w="1106" w:type="dxa"/>
          </w:tcPr>
          <w:p>
            <w:pPr>
              <w:pStyle w:val="922"/>
              <w:pBdr/>
              <w:spacing/>
              <w:ind/>
              <w:rPr/>
            </w:pPr>
            <w:r>
              <w:rPr>
                <w:b/>
                <w:bCs/>
              </w:rPr>
              <w:t xml:space="preserve">RF-03</w:t>
            </w:r>
            <w:r/>
          </w:p>
        </w:tc>
        <w:tc>
          <w:tcPr>
            <w:tcBorders/>
            <w:tcW w:w="3135" w:type="dxa"/>
          </w:tcPr>
          <w:p>
            <w:pPr>
              <w:pStyle w:val="922"/>
              <w:pBdr/>
              <w:spacing/>
              <w:ind/>
              <w:rPr/>
            </w:pPr>
            <w:r>
              <w:t xml:space="preserve">Paso 2. Alta de club y equipos</w:t>
            </w:r>
            <w:r/>
          </w:p>
        </w:tc>
        <w:tc>
          <w:tcPr>
            <w:tcBorders/>
            <w:tcW w:w="2950" w:type="dxa"/>
          </w:tcPr>
          <w:p>
            <w:pPr>
              <w:pStyle w:val="922"/>
              <w:pBdr/>
              <w:spacing/>
              <w:ind/>
              <w:rPr/>
            </w:pPr>
            <w:r>
              <w:t xml:space="preserve">Registrar club/equipo</w:t>
            </w:r>
            <w:r/>
          </w:p>
        </w:tc>
        <w:tc>
          <w:tcPr>
            <w:tcBorders/>
            <w:tcW w:w="2213" w:type="dxa"/>
          </w:tcPr>
          <w:p>
            <w:pPr>
              <w:pStyle w:val="922"/>
              <w:pBdr/>
              <w:spacing/>
              <w:ind/>
              <w:rPr/>
            </w:pPr>
            <w:r>
              <w:t xml:space="preserve">Delegado de club, Secretario</w:t>
            </w:r>
            <w:r/>
          </w:p>
        </w:tc>
      </w:tr>
      <w:tr>
        <w:trPr>
          <w:cantSplit/>
        </w:trPr>
        <w:tc>
          <w:tcPr>
            <w:shd w:val="clear" w:color="auto" w:fill="f3f2f8"/>
            <w:tcBorders/>
            <w:tcW w:w="1106" w:type="dxa"/>
          </w:tcPr>
          <w:p>
            <w:pPr>
              <w:pStyle w:val="922"/>
              <w:pBdr/>
              <w:spacing/>
              <w:ind/>
              <w:rPr/>
            </w:pPr>
            <w:r>
              <w:rPr>
                <w:b/>
                <w:bCs/>
              </w:rPr>
              <w:t xml:space="preserve">RF-04</w:t>
            </w:r>
            <w:r/>
          </w:p>
        </w:tc>
        <w:tc>
          <w:tcPr>
            <w:tcBorders/>
            <w:tcW w:w="3135" w:type="dxa"/>
          </w:tcPr>
          <w:p>
            <w:pPr>
              <w:pStyle w:val="922"/>
              <w:pBdr/>
              <w:spacing/>
              <w:ind/>
              <w:rPr/>
            </w:pPr>
            <w:r>
              <w:t xml:space="preserve">Paso 3. Registro y habilitación de jugadores</w:t>
            </w:r>
            <w:r/>
          </w:p>
        </w:tc>
        <w:tc>
          <w:tcPr>
            <w:tcBorders/>
            <w:tcW w:w="2950" w:type="dxa"/>
          </w:tcPr>
          <w:p>
            <w:pPr>
              <w:pStyle w:val="922"/>
              <w:pBdr/>
              <w:spacing/>
              <w:ind/>
              <w:rPr/>
            </w:pPr>
            <w:r>
              <w:t xml:space="preserve">Registrar jugador</w:t>
            </w:r>
            <w:r/>
          </w:p>
        </w:tc>
        <w:tc>
          <w:tcPr>
            <w:tcBorders/>
            <w:tcW w:w="2213" w:type="dxa"/>
          </w:tcPr>
          <w:p>
            <w:pPr>
              <w:pStyle w:val="922"/>
              <w:pBdr/>
              <w:spacing/>
              <w:ind/>
              <w:rPr/>
            </w:pPr>
            <w:r>
              <w:t xml:space="preserve">Delegado de club, Secretario</w:t>
            </w:r>
            <w:r/>
          </w:p>
        </w:tc>
      </w:tr>
      <w:tr>
        <w:trPr>
          <w:cantSplit/>
        </w:trPr>
        <w:tc>
          <w:tcPr>
            <w:shd w:val="clear" w:color="auto" w:fill="f3f2f8"/>
            <w:tcBorders/>
            <w:tcW w:w="1106" w:type="dxa"/>
          </w:tcPr>
          <w:p>
            <w:pPr>
              <w:pStyle w:val="922"/>
              <w:pBdr/>
              <w:spacing/>
              <w:ind/>
              <w:rPr/>
            </w:pPr>
            <w:r>
              <w:rPr>
                <w:b/>
                <w:bCs/>
              </w:rPr>
              <w:t xml:space="preserve">RF-05</w:t>
            </w:r>
            <w:r/>
          </w:p>
        </w:tc>
        <w:tc>
          <w:tcPr>
            <w:tcBorders/>
            <w:tcW w:w="3135" w:type="dxa"/>
          </w:tcPr>
          <w:p>
            <w:pPr>
              <w:pStyle w:val="922"/>
              <w:pBdr/>
              <w:spacing/>
              <w:ind/>
              <w:rPr/>
            </w:pPr>
            <w:r>
              <w:t xml:space="preserve">Proceso transversal: canchas y disponibilidad</w:t>
            </w:r>
            <w:r/>
          </w:p>
        </w:tc>
        <w:tc>
          <w:tcPr>
            <w:tcBorders/>
            <w:tcW w:w="2950" w:type="dxa"/>
          </w:tcPr>
          <w:p>
            <w:pPr>
              <w:pStyle w:val="922"/>
              <w:pBdr/>
              <w:spacing/>
              <w:ind/>
              <w:rPr/>
            </w:pPr>
            <w:r>
              <w:t xml:space="preserve">Registrar cancha</w:t>
            </w:r>
            <w:r/>
          </w:p>
        </w:tc>
        <w:tc>
          <w:tcPr>
            <w:tcBorders/>
            <w:tcW w:w="2213" w:type="dxa"/>
          </w:tcPr>
          <w:p>
            <w:pPr>
              <w:pStyle w:val="922"/>
              <w:pBdr/>
              <w:spacing/>
              <w:ind/>
              <w:rPr/>
            </w:pPr>
            <w:r>
              <w:t xml:space="preserve">Programador de partidos</w:t>
            </w:r>
            <w:r/>
          </w:p>
        </w:tc>
      </w:tr>
      <w:tr>
        <w:trPr>
          <w:cantSplit/>
        </w:trPr>
        <w:tc>
          <w:tcPr>
            <w:shd w:val="clear" w:color="auto" w:fill="f3f2f8"/>
            <w:tcBorders/>
            <w:tcW w:w="1106" w:type="dxa"/>
          </w:tcPr>
          <w:p>
            <w:pPr>
              <w:pStyle w:val="922"/>
              <w:pBdr/>
              <w:spacing/>
              <w:ind/>
              <w:rPr/>
            </w:pPr>
            <w:r>
              <w:rPr>
                <w:b/>
                <w:bCs/>
              </w:rPr>
              <w:t xml:space="preserve">RF-06</w:t>
            </w:r>
            <w:r/>
          </w:p>
        </w:tc>
        <w:tc>
          <w:tcPr>
            <w:tcBorders/>
            <w:tcW w:w="3135" w:type="dxa"/>
          </w:tcPr>
          <w:p>
            <w:pPr>
              <w:pStyle w:val="922"/>
              <w:pBdr/>
              <w:spacing/>
              <w:ind/>
              <w:rPr/>
            </w:pPr>
            <w:r>
              <w:t xml:space="preserve">Paso 5. Programación semanal</w:t>
            </w:r>
            <w:r/>
          </w:p>
        </w:tc>
        <w:tc>
          <w:tcPr>
            <w:tcBorders/>
            <w:tcW w:w="2950" w:type="dxa"/>
          </w:tcPr>
          <w:p>
            <w:pPr>
              <w:pStyle w:val="922"/>
              <w:pBdr/>
              <w:spacing/>
              <w:ind/>
              <w:rPr/>
            </w:pPr>
            <w:r>
              <w:t xml:space="preserve">Publicar programación</w:t>
            </w:r>
            <w:r/>
          </w:p>
        </w:tc>
        <w:tc>
          <w:tcPr>
            <w:tcBorders/>
            <w:tcW w:w="2213" w:type="dxa"/>
          </w:tcPr>
          <w:p>
            <w:pPr>
              <w:pStyle w:val="922"/>
              <w:pBdr/>
              <w:spacing/>
              <w:ind/>
              <w:rPr/>
            </w:pPr>
            <w:r>
              <w:t xml:space="preserve">Programador de partidos</w:t>
            </w:r>
            <w:r/>
          </w:p>
        </w:tc>
      </w:tr>
      <w:tr>
        <w:trPr>
          <w:cantSplit/>
        </w:trPr>
        <w:tc>
          <w:tcPr>
            <w:shd w:val="clear" w:color="auto" w:fill="f3f2f8"/>
            <w:tcBorders/>
            <w:tcW w:w="1106" w:type="dxa"/>
          </w:tcPr>
          <w:p>
            <w:pPr>
              <w:pStyle w:val="922"/>
              <w:pBdr/>
              <w:spacing/>
              <w:ind/>
              <w:rPr/>
            </w:pPr>
            <w:r>
              <w:rPr>
                <w:b/>
                <w:bCs/>
              </w:rPr>
              <w:t xml:space="preserve">RF-07</w:t>
            </w:r>
            <w:r/>
          </w:p>
        </w:tc>
        <w:tc>
          <w:tcPr>
            <w:tcBorders/>
            <w:tcW w:w="3135" w:type="dxa"/>
          </w:tcPr>
          <w:p>
            <w:pPr>
              <w:pStyle w:val="922"/>
              <w:pBdr/>
              <w:spacing/>
              <w:ind/>
              <w:rPr/>
            </w:pPr>
            <w:r>
              <w:t xml:space="preserve">Paso 5. Programación semanal</w:t>
            </w:r>
            <w:r/>
          </w:p>
        </w:tc>
        <w:tc>
          <w:tcPr>
            <w:tcBorders/>
            <w:tcW w:w="2950" w:type="dxa"/>
          </w:tcPr>
          <w:p>
            <w:pPr>
              <w:pStyle w:val="922"/>
              <w:pBdr/>
              <w:spacing/>
              <w:ind/>
              <w:rPr/>
            </w:pPr>
            <w:r>
              <w:t xml:space="preserve">Generar programación</w:t>
            </w:r>
            <w:r/>
          </w:p>
        </w:tc>
        <w:tc>
          <w:tcPr>
            <w:tcBorders/>
            <w:tcW w:w="2213" w:type="dxa"/>
          </w:tcPr>
          <w:p>
            <w:pPr>
              <w:pStyle w:val="922"/>
              <w:pBdr/>
              <w:spacing/>
              <w:ind/>
              <w:rPr/>
            </w:pPr>
            <w:r>
              <w:t xml:space="preserve">Programador de partidos</w:t>
            </w:r>
            <w:r/>
          </w:p>
        </w:tc>
      </w:tr>
      <w:tr>
        <w:trPr>
          <w:cantSplit/>
        </w:trPr>
        <w:tc>
          <w:tcPr>
            <w:shd w:val="clear" w:color="auto" w:fill="f3f2f8"/>
            <w:tcBorders/>
            <w:tcW w:w="1106" w:type="dxa"/>
          </w:tcPr>
          <w:p>
            <w:pPr>
              <w:pStyle w:val="922"/>
              <w:pBdr/>
              <w:spacing/>
              <w:ind/>
              <w:rPr/>
            </w:pPr>
            <w:r>
              <w:rPr>
                <w:b/>
                <w:bCs/>
              </w:rPr>
              <w:t xml:space="preserve">RF-08</w:t>
            </w:r>
            <w:r/>
          </w:p>
        </w:tc>
        <w:tc>
          <w:tcPr>
            <w:tcBorders/>
            <w:tcW w:w="3135" w:type="dxa"/>
          </w:tcPr>
          <w:p>
            <w:pPr>
              <w:pStyle w:val="922"/>
              <w:pBdr/>
              <w:spacing/>
              <w:ind/>
              <w:rPr/>
            </w:pPr>
            <w:r>
              <w:t xml:space="preserve">Pasos 6 y 7. Partido y cédula arbitral</w:t>
            </w:r>
            <w:r/>
          </w:p>
        </w:tc>
        <w:tc>
          <w:tcPr>
            <w:tcBorders/>
            <w:tcW w:w="2950" w:type="dxa"/>
          </w:tcPr>
          <w:p>
            <w:pPr>
              <w:pStyle w:val="922"/>
              <w:pBdr/>
              <w:spacing/>
              <w:ind/>
              <w:rPr/>
            </w:pPr>
            <w:r>
              <w:t xml:space="preserve">Registrar resultado; Capturar cédula</w:t>
            </w:r>
            <w:r/>
          </w:p>
        </w:tc>
        <w:tc>
          <w:tcPr>
            <w:tcBorders/>
            <w:tcW w:w="2213" w:type="dxa"/>
          </w:tcPr>
          <w:p>
            <w:pPr>
              <w:pStyle w:val="922"/>
              <w:pBdr/>
              <w:spacing/>
              <w:ind/>
              <w:rPr/>
            </w:pPr>
            <w:r>
              <w:t xml:space="preserve">Árbitro, Capturista</w:t>
            </w:r>
            <w:r/>
          </w:p>
        </w:tc>
      </w:tr>
      <w:tr>
        <w:trPr>
          <w:cantSplit/>
        </w:trPr>
        <w:tc>
          <w:tcPr>
            <w:shd w:val="clear" w:color="auto" w:fill="f3f2f8"/>
            <w:tcBorders/>
            <w:tcW w:w="1106" w:type="dxa"/>
          </w:tcPr>
          <w:p>
            <w:pPr>
              <w:pStyle w:val="922"/>
              <w:pBdr/>
              <w:spacing/>
              <w:ind/>
              <w:rPr/>
            </w:pPr>
            <w:r>
              <w:rPr>
                <w:b/>
                <w:bCs/>
              </w:rPr>
              <w:t xml:space="preserve">RF-09</w:t>
            </w:r>
            <w:r/>
          </w:p>
        </w:tc>
        <w:tc>
          <w:tcPr>
            <w:tcBorders/>
            <w:tcW w:w="3135" w:type="dxa"/>
          </w:tcPr>
          <w:p>
            <w:pPr>
              <w:pStyle w:val="922"/>
              <w:pBdr/>
              <w:spacing/>
              <w:ind/>
              <w:rPr/>
            </w:pPr>
            <w:r>
              <w:t xml:space="preserve">Paso 8. Resultados y estadísticas</w:t>
            </w:r>
            <w:r/>
          </w:p>
        </w:tc>
        <w:tc>
          <w:tcPr>
            <w:tcBorders/>
            <w:tcW w:w="2950" w:type="dxa"/>
          </w:tcPr>
          <w:p>
            <w:pPr>
              <w:pStyle w:val="922"/>
              <w:pBdr/>
              <w:spacing/>
              <w:ind/>
              <w:rPr/>
            </w:pPr>
            <w:r>
              <w:t xml:space="preserve">Calcular tabla</w:t>
            </w:r>
            <w:r/>
          </w:p>
        </w:tc>
        <w:tc>
          <w:tcPr>
            <w:tcBorders/>
            <w:tcW w:w="2213" w:type="dxa"/>
          </w:tcPr>
          <w:p>
            <w:pPr>
              <w:pStyle w:val="922"/>
              <w:pBdr/>
              <w:spacing/>
              <w:ind/>
              <w:rPr/>
            </w:pPr>
            <w:r>
              <w:t xml:space="preserve">Capturista, Sistema</w:t>
            </w:r>
            <w:r/>
          </w:p>
        </w:tc>
      </w:tr>
      <w:tr>
        <w:trPr>
          <w:cantSplit/>
        </w:trPr>
        <w:tc>
          <w:tcPr>
            <w:shd w:val="clear" w:color="auto" w:fill="f3f2f8"/>
            <w:tcBorders/>
            <w:tcW w:w="1106" w:type="dxa"/>
          </w:tcPr>
          <w:p>
            <w:pPr>
              <w:pStyle w:val="922"/>
              <w:pBdr/>
              <w:spacing/>
              <w:ind/>
              <w:rPr/>
            </w:pPr>
            <w:r>
              <w:rPr>
                <w:b/>
                <w:bCs/>
              </w:rPr>
              <w:t xml:space="preserve">RF-10</w:t>
            </w:r>
            <w:r/>
          </w:p>
        </w:tc>
        <w:tc>
          <w:tcPr>
            <w:tcBorders/>
            <w:tcW w:w="3135" w:type="dxa"/>
          </w:tcPr>
          <w:p>
            <w:pPr>
              <w:pStyle w:val="922"/>
              <w:pBdr/>
              <w:spacing/>
              <w:ind/>
              <w:rPr/>
            </w:pPr>
            <w:r>
              <w:t xml:space="preserve">Paso 10. Disciplina e inconformidades</w:t>
            </w:r>
            <w:r/>
          </w:p>
        </w:tc>
        <w:tc>
          <w:tcPr>
            <w:tcBorders/>
            <w:tcW w:w="2950" w:type="dxa"/>
          </w:tcPr>
          <w:p>
            <w:pPr>
              <w:pStyle w:val="922"/>
              <w:pBdr/>
              <w:spacing/>
              <w:ind/>
              <w:rPr/>
            </w:pPr>
            <w:r>
              <w:t xml:space="preserve">Resolver sanción; Publicar castigados; Resolver recurso</w:t>
            </w:r>
            <w:r/>
          </w:p>
        </w:tc>
        <w:tc>
          <w:tcPr>
            <w:tcBorders/>
            <w:tcW w:w="2213" w:type="dxa"/>
          </w:tcPr>
          <w:p>
            <w:pPr>
              <w:pStyle w:val="922"/>
              <w:pBdr/>
              <w:spacing/>
              <w:ind/>
              <w:rPr/>
            </w:pPr>
            <w:r>
              <w:t xml:space="preserve">Comisión Disciplinaria</w:t>
            </w:r>
            <w:r/>
          </w:p>
        </w:tc>
      </w:tr>
      <w:tr>
        <w:trPr>
          <w:cantSplit/>
        </w:trPr>
        <w:tc>
          <w:tcPr>
            <w:shd w:val="clear" w:color="auto" w:fill="f3f2f8"/>
            <w:tcBorders/>
            <w:tcW w:w="1106" w:type="dxa"/>
          </w:tcPr>
          <w:p>
            <w:pPr>
              <w:pStyle w:val="922"/>
              <w:pBdr/>
              <w:spacing/>
              <w:ind/>
              <w:rPr/>
            </w:pPr>
            <w:r>
              <w:rPr>
                <w:b/>
                <w:bCs/>
              </w:rPr>
              <w:t xml:space="preserve">RF-11</w:t>
            </w:r>
            <w:r/>
          </w:p>
        </w:tc>
        <w:tc>
          <w:tcPr>
            <w:tcBorders/>
            <w:tcW w:w="3135" w:type="dxa"/>
          </w:tcPr>
          <w:p>
            <w:pPr>
              <w:pStyle w:val="922"/>
              <w:pBdr/>
              <w:spacing/>
              <w:ind/>
              <w:rPr/>
            </w:pPr>
            <w:r>
              <w:t xml:space="preserve">Pasos 12 y 13. Liguilla y cierre de temporada</w:t>
            </w:r>
            <w:r/>
          </w:p>
        </w:tc>
        <w:tc>
          <w:tcPr>
            <w:tcBorders/>
            <w:tcW w:w="2950" w:type="dxa"/>
          </w:tcPr>
          <w:p>
            <w:pPr>
              <w:pStyle w:val="922"/>
              <w:pBdr/>
              <w:spacing/>
              <w:ind/>
              <w:rPr/>
            </w:pPr>
            <w:r>
              <w:t xml:space="preserve">Determinar clasificación/ascenso/descenso</w:t>
            </w:r>
            <w:r/>
          </w:p>
        </w:tc>
        <w:tc>
          <w:tcPr>
            <w:tcBorders/>
            <w:tcW w:w="2213" w:type="dxa"/>
          </w:tcPr>
          <w:p>
            <w:pPr>
              <w:pStyle w:val="922"/>
              <w:pBdr/>
              <w:spacing/>
              <w:ind/>
              <w:rPr/>
            </w:pPr>
            <w:r>
              <w:t xml:space="preserve">Comité Ejecutivo</w:t>
            </w:r>
            <w:r/>
          </w:p>
        </w:tc>
      </w:tr>
      <w:tr>
        <w:trPr>
          <w:cantSplit/>
        </w:trPr>
        <w:tc>
          <w:tcPr>
            <w:shd w:val="clear" w:color="auto" w:fill="f3f2f8"/>
            <w:tcBorders/>
            <w:tcW w:w="1106" w:type="dxa"/>
          </w:tcPr>
          <w:p>
            <w:pPr>
              <w:pStyle w:val="922"/>
              <w:pBdr/>
              <w:spacing/>
              <w:ind/>
              <w:rPr/>
            </w:pPr>
            <w:r>
              <w:rPr>
                <w:b/>
                <w:bCs/>
              </w:rPr>
              <w:t xml:space="preserve">RF-12</w:t>
            </w:r>
            <w:r/>
          </w:p>
        </w:tc>
        <w:tc>
          <w:tcPr>
            <w:tcBorders/>
            <w:tcW w:w="3135" w:type="dxa"/>
          </w:tcPr>
          <w:p>
            <w:pPr>
              <w:pStyle w:val="922"/>
              <w:pBdr/>
              <w:spacing/>
              <w:ind/>
              <w:rPr/>
            </w:pPr>
            <w:r>
              <w:t xml:space="preserve">Auditoría y trazabilidad; portal público</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Administrador general, Usuario público</w:t>
            </w:r>
            <w:r/>
          </w:p>
        </w:tc>
      </w:tr>
      <w:tr>
        <w:trPr>
          <w:cantSplit/>
        </w:trPr>
        <w:tc>
          <w:tcPr>
            <w:shd w:val="clear" w:color="auto" w:fill="f3f2f8"/>
            <w:tcBorders/>
            <w:tcW w:w="1106" w:type="dxa"/>
          </w:tcPr>
          <w:p>
            <w:pPr>
              <w:pStyle w:val="922"/>
              <w:pBdr/>
              <w:spacing/>
              <w:ind/>
              <w:rPr/>
            </w:pPr>
            <w:r>
              <w:rPr>
                <w:b/>
                <w:bCs/>
              </w:rPr>
              <w:t xml:space="preserve">RF-13</w:t>
            </w:r>
            <w:r/>
          </w:p>
        </w:tc>
        <w:tc>
          <w:tcPr>
            <w:tcBorders/>
            <w:tcW w:w="3135" w:type="dxa"/>
          </w:tcPr>
          <w:p>
            <w:pPr>
              <w:pStyle w:val="922"/>
              <w:pBdr/>
              <w:spacing/>
              <w:ind/>
              <w:rPr/>
            </w:pPr>
            <w:r>
              <w:t xml:space="preserve">Proceso transversal: tesorería y pagos</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Tesorero</w:t>
            </w:r>
            <w:r/>
          </w:p>
        </w:tc>
      </w:tr>
      <w:tr>
        <w:trPr>
          <w:cantSplit/>
        </w:trPr>
        <w:tc>
          <w:tcPr>
            <w:shd w:val="clear" w:color="auto" w:fill="f3f2f8"/>
            <w:tcBorders/>
            <w:tcW w:w="1106" w:type="dxa"/>
          </w:tcPr>
          <w:p>
            <w:pPr>
              <w:pStyle w:val="922"/>
              <w:pBdr/>
              <w:spacing/>
              <w:ind/>
              <w:rPr/>
            </w:pPr>
            <w:r>
              <w:rPr>
                <w:b/>
                <w:bCs/>
              </w:rPr>
              <w:t xml:space="preserve">RF-14</w:t>
            </w:r>
            <w:r/>
          </w:p>
        </w:tc>
        <w:tc>
          <w:tcPr>
            <w:tcBorders/>
            <w:tcW w:w="3135" w:type="dxa"/>
          </w:tcPr>
          <w:p>
            <w:pPr>
              <w:pStyle w:val="922"/>
              <w:pBdr/>
              <w:spacing/>
              <w:ind/>
              <w:rPr/>
            </w:pPr>
            <w:r>
              <w:t xml:space="preserve">Proceso transversal: asambleas y acuerdos</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Secretario</w:t>
            </w:r>
            <w:r/>
          </w:p>
        </w:tc>
      </w:tr>
      <w:tr>
        <w:trPr>
          <w:cantSplit/>
        </w:trPr>
        <w:tc>
          <w:tcPr>
            <w:shd w:val="clear" w:color="auto" w:fill="f3f2f8"/>
            <w:tcBorders/>
            <w:tcW w:w="1106" w:type="dxa"/>
          </w:tcPr>
          <w:p>
            <w:pPr>
              <w:pStyle w:val="922"/>
              <w:pBdr/>
              <w:spacing/>
              <w:ind/>
              <w:rPr/>
            </w:pPr>
            <w:r>
              <w:rPr>
                <w:b/>
                <w:bCs/>
              </w:rPr>
              <w:t xml:space="preserve">RF-15</w:t>
            </w:r>
            <w:r/>
          </w:p>
        </w:tc>
        <w:tc>
          <w:tcPr>
            <w:tcBorders/>
            <w:tcW w:w="3135" w:type="dxa"/>
          </w:tcPr>
          <w:p>
            <w:pPr>
              <w:pStyle w:val="922"/>
              <w:pBdr/>
              <w:spacing/>
              <w:ind/>
              <w:rPr/>
            </w:pPr>
            <w:r>
              <w:t xml:space="preserve">Proceso transversal: notificaciones</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Secretario, Tesorero, Sistema</w:t>
            </w:r>
            <w:r/>
          </w:p>
        </w:tc>
      </w:tr>
      <w:tr>
        <w:trPr>
          <w:cantSplit/>
        </w:trPr>
        <w:tc>
          <w:tcPr>
            <w:shd w:val="clear" w:color="auto" w:fill="f3f2f8"/>
            <w:tcBorders/>
            <w:tcW w:w="1106" w:type="dxa"/>
          </w:tcPr>
          <w:p>
            <w:pPr>
              <w:pStyle w:val="922"/>
              <w:pBdr/>
              <w:spacing/>
              <w:ind/>
              <w:rPr/>
            </w:pPr>
            <w:r>
              <w:rPr>
                <w:b/>
                <w:bCs/>
              </w:rPr>
              <w:t xml:space="preserve">RF-16</w:t>
            </w:r>
            <w:r/>
          </w:p>
        </w:tc>
        <w:tc>
          <w:tcPr>
            <w:tcBorders/>
            <w:tcW w:w="3135" w:type="dxa"/>
          </w:tcPr>
          <w:p>
            <w:pPr>
              <w:pStyle w:val="922"/>
              <w:pBdr/>
              <w:spacing/>
              <w:ind/>
              <w:rPr/>
            </w:pPr>
            <w:r>
              <w:t xml:space="preserve">Proceso transversal: reportes y difusión</w:t>
            </w:r>
            <w:r/>
          </w:p>
        </w:tc>
        <w:tc>
          <w:tcPr>
            <w:tcBorders/>
            <w:tcW w:w="2950" w:type="dxa"/>
          </w:tcPr>
          <w:p>
            <w:pPr>
              <w:pStyle w:val="922"/>
              <w:pBdr/>
              <w:spacing/>
              <w:ind/>
              <w:rPr/>
            </w:pPr>
            <w:r>
              <w:t xml:space="preserve">Por definir</w:t>
            </w:r>
            <w:r/>
          </w:p>
        </w:tc>
        <w:tc>
          <w:tcPr>
            <w:tcBorders/>
            <w:tcW w:w="2213" w:type="dxa"/>
          </w:tcPr>
          <w:p>
            <w:pPr>
              <w:pStyle w:val="922"/>
              <w:pBdr/>
              <w:spacing/>
              <w:ind/>
              <w:rPr/>
            </w:pPr>
            <w:r>
              <w:t xml:space="preserve">Secretario, Tesorero, Programador de partidos</w:t>
            </w:r>
            <w:r/>
          </w:p>
        </w:tc>
      </w:tr>
    </w:tbl>
    <w:p>
      <w:pPr>
        <w:pBdr/>
        <w:spacing w:after="60" w:before="0"/>
        <w:ind/>
        <w:rPr/>
      </w:pPr>
      <w:r/>
      <w:r/>
    </w:p>
    <w:p>
      <w:pPr>
        <w:pStyle w:val="915"/>
        <w:pBdr/>
        <w:spacing/>
        <w:ind/>
        <w:rPr/>
      </w:pPr>
      <w:r/>
      <w:bookmarkStart w:id="51" w:name="_Toc100051"/>
      <w:r>
        <w:t xml:space="preserve">Anexo B. Puntos por validar con la Liga</w:t>
      </w:r>
      <w:bookmarkEnd w:id="51"/>
      <w:r/>
      <w:r/>
    </w:p>
    <w:p>
      <w:pPr>
        <w:keepNext w:val="true"/>
        <w:pBdr/>
        <w:spacing/>
        <w:ind/>
        <w:rPr/>
      </w:pPr>
      <w:r>
        <w:t xml:space="preserve">Lo que las fuentes (convocatorias, programación oficial y reglamentos de referencia) no definen de forma explícita no se convierte en requisito definitivo hasta confirmarlo con la Liga. Mientras tanto, se usa el supuesto de trabajo indicado.</w:t>
      </w:r>
      <w:r/>
    </w:p>
    <w:p>
      <w:pPr>
        <w:pStyle w:val="923"/>
        <w:keepNext w:val="true"/>
        <w:pBdr/>
        <w:spacing/>
        <w:ind/>
        <w:rPr/>
      </w:pPr>
      <w:r>
        <w:rPr>
          <w:b/>
          <w:bCs/>
          <w:color w:val="241a61"/>
          <w:sz w:val="18"/>
          <w:szCs w:val="18"/>
        </w:rPr>
        <w:t xml:space="preserve">Tabla 18. </w:t>
      </w:r>
      <w:r>
        <w:rPr>
          <w:sz w:val="18"/>
          <w:szCs w:val="18"/>
        </w:rPr>
        <w:t xml:space="preserve">Puntos por validar con la Liga.</w:t>
      </w:r>
      <w:r/>
    </w:p>
    <w:tbl>
      <w:tblPr>
        <w:tblW w:w="9404" w:type="dxa"/>
        <w:tblCellMar>
          <w:left w:w="90" w:type="dxa"/>
          <w:top w:w="45" w:type="dxa"/>
          <w:right w:w="90" w:type="dxa"/>
          <w:bottom w:w="45" w:type="dxa"/>
        </w:tblCellMa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Look w:val="04A0" w:firstRow="1" w:lastRow="0" w:firstColumn="1" w:lastColumn="0" w:noHBand="0" w:noVBand="1"/>
      </w:tblPr>
      <w:tblGrid>
        <w:gridCol w:w="553"/>
        <w:gridCol w:w="3688"/>
        <w:gridCol w:w="1475"/>
        <w:gridCol w:w="3688"/>
      </w:tblGrid>
      <w:tr>
        <w:trPr>
          <w:cantSplit/>
          <w:tblHeader/>
        </w:trPr>
        <w:tc>
          <w:tcPr>
            <w:shd w:val="clear" w:color="auto" w:fill="241a61"/>
            <w:tcBorders/>
            <w:tcW w:w="553" w:type="dxa"/>
          </w:tcPr>
          <w:p>
            <w:pPr>
              <w:pStyle w:val="922"/>
              <w:pBdr/>
              <w:spacing/>
              <w:ind/>
              <w:rPr/>
            </w:pPr>
            <w:r>
              <w:rPr>
                <w:b/>
                <w:bCs/>
                <w:color w:val="ffffff"/>
              </w:rPr>
              <w:t xml:space="preserve">#</w:t>
            </w:r>
            <w:r/>
          </w:p>
        </w:tc>
        <w:tc>
          <w:tcPr>
            <w:shd w:val="clear" w:color="auto" w:fill="241a61"/>
            <w:tcBorders/>
            <w:tcW w:w="3688" w:type="dxa"/>
          </w:tcPr>
          <w:p>
            <w:pPr>
              <w:pStyle w:val="922"/>
              <w:pBdr/>
              <w:spacing/>
              <w:ind/>
              <w:rPr/>
            </w:pPr>
            <w:r>
              <w:rPr>
                <w:b/>
                <w:bCs/>
                <w:color w:val="ffffff"/>
              </w:rPr>
              <w:t xml:space="preserve">Pregunta por validar</w:t>
            </w:r>
            <w:r/>
          </w:p>
        </w:tc>
        <w:tc>
          <w:tcPr>
            <w:shd w:val="clear" w:color="auto" w:fill="241a61"/>
            <w:tcBorders/>
            <w:tcW w:w="1475" w:type="dxa"/>
          </w:tcPr>
          <w:p>
            <w:pPr>
              <w:pStyle w:val="922"/>
              <w:pBdr/>
              <w:spacing/>
              <w:ind/>
              <w:rPr/>
            </w:pPr>
            <w:r>
              <w:rPr>
                <w:b/>
                <w:bCs/>
                <w:color w:val="ffffff"/>
              </w:rPr>
              <w:t xml:space="preserve">RF</w:t>
            </w:r>
            <w:r/>
          </w:p>
        </w:tc>
        <w:tc>
          <w:tcPr>
            <w:shd w:val="clear" w:color="auto" w:fill="241a61"/>
            <w:tcBorders/>
            <w:tcW w:w="3688" w:type="dxa"/>
          </w:tcPr>
          <w:p>
            <w:pPr>
              <w:pStyle w:val="922"/>
              <w:pBdr/>
              <w:spacing/>
              <w:ind/>
              <w:rPr/>
            </w:pPr>
            <w:r>
              <w:rPr>
                <w:b/>
                <w:bCs/>
                <w:color w:val="ffffff"/>
              </w:rPr>
              <w:t xml:space="preserve">Supuesto de trabajo</w:t>
            </w:r>
            <w:r/>
          </w:p>
        </w:tc>
      </w:tr>
      <w:tr>
        <w:trPr>
          <w:cantSplit/>
        </w:trPr>
        <w:tc>
          <w:tcPr>
            <w:tcBorders/>
            <w:tcW w:w="553" w:type="dxa"/>
          </w:tcPr>
          <w:p>
            <w:pPr>
              <w:pStyle w:val="922"/>
              <w:pBdr/>
              <w:spacing/>
              <w:ind/>
              <w:rPr/>
            </w:pPr>
            <w:r>
              <w:t xml:space="preserve">1</w:t>
            </w:r>
            <w:r/>
          </w:p>
        </w:tc>
        <w:tc>
          <w:tcPr>
            <w:tcBorders/>
            <w:tcW w:w="3688" w:type="dxa"/>
          </w:tcPr>
          <w:p>
            <w:pPr>
              <w:pStyle w:val="922"/>
              <w:pBdr/>
              <w:spacing/>
              <w:ind/>
              <w:rPr/>
            </w:pPr>
            <w:r>
              <w:t xml:space="preserve">¿Quién crea y quién aprueba la programación?</w:t>
            </w:r>
            <w:r/>
          </w:p>
        </w:tc>
        <w:tc>
          <w:tcPr>
            <w:tcBorders/>
            <w:tcW w:w="1475" w:type="dxa"/>
          </w:tcPr>
          <w:p>
            <w:pPr>
              <w:pStyle w:val="922"/>
              <w:pBdr/>
              <w:spacing/>
              <w:ind/>
              <w:rPr/>
            </w:pPr>
            <w:r>
              <w:t xml:space="preserve">RF-06, RF-07</w:t>
            </w:r>
            <w:r/>
          </w:p>
        </w:tc>
        <w:tc>
          <w:tcPr>
            <w:tcBorders/>
            <w:tcW w:w="3688" w:type="dxa"/>
          </w:tcPr>
          <w:p>
            <w:pPr>
              <w:pStyle w:val="922"/>
              <w:pBdr/>
              <w:spacing/>
              <w:ind/>
              <w:rPr/>
            </w:pPr>
            <w:r>
              <w:t xml:space="preserve">Un programador la crea y el Comité Ejecutivo la aprueba antes de publicarla.</w:t>
            </w:r>
            <w:r/>
          </w:p>
        </w:tc>
      </w:tr>
      <w:tr>
        <w:trPr>
          <w:cantSplit/>
        </w:trPr>
        <w:tc>
          <w:tcPr>
            <w:tcBorders/>
            <w:tcW w:w="553" w:type="dxa"/>
          </w:tcPr>
          <w:p>
            <w:pPr>
              <w:pStyle w:val="922"/>
              <w:pBdr/>
              <w:spacing/>
              <w:ind/>
              <w:rPr/>
            </w:pPr>
            <w:r>
              <w:t xml:space="preserve">2</w:t>
            </w:r>
            <w:r/>
          </w:p>
        </w:tc>
        <w:tc>
          <w:tcPr>
            <w:tcBorders/>
            <w:tcW w:w="3688" w:type="dxa"/>
          </w:tcPr>
          <w:p>
            <w:pPr>
              <w:pStyle w:val="922"/>
              <w:pBdr/>
              <w:spacing/>
              <w:ind/>
              <w:rPr/>
            </w:pPr>
            <w:r>
              <w:t xml:space="preserve">¿Qué datos son obligatorios para poder programar un partido?</w:t>
            </w:r>
            <w:r/>
          </w:p>
        </w:tc>
        <w:tc>
          <w:tcPr>
            <w:tcBorders/>
            <w:tcW w:w="1475" w:type="dxa"/>
          </w:tcPr>
          <w:p>
            <w:pPr>
              <w:pStyle w:val="922"/>
              <w:pBdr/>
              <w:spacing/>
              <w:ind/>
              <w:rPr/>
            </w:pPr>
            <w:r>
              <w:t xml:space="preserve">RF-06</w:t>
            </w:r>
            <w:r/>
          </w:p>
        </w:tc>
        <w:tc>
          <w:tcPr>
            <w:tcBorders/>
            <w:tcW w:w="3688" w:type="dxa"/>
          </w:tcPr>
          <w:p>
            <w:pPr>
              <w:pStyle w:val="922"/>
              <w:pBdr/>
              <w:spacing/>
              <w:ind/>
              <w:rPr/>
            </w:pPr>
            <w:r>
              <w:t xml:space="preserve">Equipos, categoría/grupo, cancha disponible, fecha y hora.</w:t>
            </w:r>
            <w:r/>
          </w:p>
        </w:tc>
      </w:tr>
      <w:tr>
        <w:trPr>
          <w:cantSplit/>
        </w:trPr>
        <w:tc>
          <w:tcPr>
            <w:tcBorders/>
            <w:tcW w:w="553" w:type="dxa"/>
          </w:tcPr>
          <w:p>
            <w:pPr>
              <w:pStyle w:val="922"/>
              <w:pBdr/>
              <w:spacing/>
              <w:ind/>
              <w:rPr/>
            </w:pPr>
            <w:r>
              <w:t xml:space="preserve">3</w:t>
            </w:r>
            <w:r/>
          </w:p>
        </w:tc>
        <w:tc>
          <w:tcPr>
            <w:tcBorders/>
            <w:tcW w:w="3688" w:type="dxa"/>
          </w:tcPr>
          <w:p>
            <w:pPr>
              <w:pStyle w:val="922"/>
              <w:pBdr/>
              <w:spacing/>
              <w:ind/>
              <w:rPr/>
            </w:pPr>
            <w:r>
              <w:t xml:space="preserve">¿Qué ocurre con los partidos ya programados si se bloquea una cancha?</w:t>
            </w:r>
            <w:r/>
          </w:p>
        </w:tc>
        <w:tc>
          <w:tcPr>
            <w:tcBorders/>
            <w:tcW w:w="1475" w:type="dxa"/>
          </w:tcPr>
          <w:p>
            <w:pPr>
              <w:pStyle w:val="922"/>
              <w:pBdr/>
              <w:spacing/>
              <w:ind/>
              <w:rPr/>
            </w:pPr>
            <w:r>
              <w:t xml:space="preserve">RF-05, RF-06</w:t>
            </w:r>
            <w:r/>
          </w:p>
        </w:tc>
        <w:tc>
          <w:tcPr>
            <w:tcBorders/>
            <w:tcW w:w="3688" w:type="dxa"/>
          </w:tcPr>
          <w:p>
            <w:pPr>
              <w:pStyle w:val="922"/>
              <w:pBdr/>
              <w:spacing/>
              <w:ind/>
              <w:rPr/>
            </w:pPr>
            <w:r>
              <w:t xml:space="preserve">El sistema avisa y el partido pasa a reprogramación manual.</w:t>
            </w:r>
            <w:r/>
          </w:p>
        </w:tc>
      </w:tr>
      <w:tr>
        <w:trPr>
          <w:cantSplit/>
        </w:trPr>
        <w:tc>
          <w:tcPr>
            <w:tcBorders/>
            <w:tcW w:w="553" w:type="dxa"/>
          </w:tcPr>
          <w:p>
            <w:pPr>
              <w:pStyle w:val="922"/>
              <w:pBdr/>
              <w:spacing/>
              <w:ind/>
              <w:rPr/>
            </w:pPr>
            <w:r>
              <w:t xml:space="preserve">4</w:t>
            </w:r>
            <w:r/>
          </w:p>
        </w:tc>
        <w:tc>
          <w:tcPr>
            <w:tcBorders/>
            <w:tcW w:w="3688" w:type="dxa"/>
          </w:tcPr>
          <w:p>
            <w:pPr>
              <w:pStyle w:val="922"/>
              <w:pBdr/>
              <w:spacing/>
              <w:ind/>
              <w:rPr/>
            </w:pPr>
            <w:r>
              <w:t xml:space="preserve">¿Quién puede modificar un resultado ya capturado?</w:t>
            </w:r>
            <w:r/>
          </w:p>
        </w:tc>
        <w:tc>
          <w:tcPr>
            <w:tcBorders/>
            <w:tcW w:w="1475" w:type="dxa"/>
          </w:tcPr>
          <w:p>
            <w:pPr>
              <w:pStyle w:val="922"/>
              <w:pBdr/>
              <w:spacing/>
              <w:ind/>
              <w:rPr/>
            </w:pPr>
            <w:r>
              <w:t xml:space="preserve">RF-08</w:t>
            </w:r>
            <w:r/>
          </w:p>
        </w:tc>
        <w:tc>
          <w:tcPr>
            <w:tcBorders/>
            <w:tcW w:w="3688" w:type="dxa"/>
          </w:tcPr>
          <w:p>
            <w:pPr>
              <w:pStyle w:val="922"/>
              <w:pBdr/>
              <w:spacing/>
              <w:ind/>
              <w:rPr/>
            </w:pPr>
            <w:r>
              <w:t xml:space="preserve">Solo un usuario autorizado distinto del capturista, con auditoría.</w:t>
            </w:r>
            <w:r/>
          </w:p>
        </w:tc>
      </w:tr>
      <w:tr>
        <w:trPr>
          <w:cantSplit/>
        </w:trPr>
        <w:tc>
          <w:tcPr>
            <w:tcBorders/>
            <w:tcW w:w="553" w:type="dxa"/>
          </w:tcPr>
          <w:p>
            <w:pPr>
              <w:pStyle w:val="922"/>
              <w:pBdr/>
              <w:spacing/>
              <w:ind/>
              <w:rPr/>
            </w:pPr>
            <w:r>
              <w:t xml:space="preserve">5</w:t>
            </w:r>
            <w:r/>
          </w:p>
        </w:tc>
        <w:tc>
          <w:tcPr>
            <w:tcBorders/>
            <w:tcW w:w="3688" w:type="dxa"/>
          </w:tcPr>
          <w:p>
            <w:pPr>
              <w:pStyle w:val="922"/>
              <w:pBdr/>
              <w:spacing/>
              <w:ind/>
              <w:rPr/>
            </w:pPr>
            <w:r>
              <w:t xml:space="preserve">¿Cuándo un resultado se considera oficial?</w:t>
            </w:r>
            <w:r/>
          </w:p>
        </w:tc>
        <w:tc>
          <w:tcPr>
            <w:tcBorders/>
            <w:tcW w:w="1475" w:type="dxa"/>
          </w:tcPr>
          <w:p>
            <w:pPr>
              <w:pStyle w:val="922"/>
              <w:pBdr/>
              <w:spacing/>
              <w:ind/>
              <w:rPr/>
            </w:pPr>
            <w:r>
              <w:t xml:space="preserve">RF-08, RF-09</w:t>
            </w:r>
            <w:r/>
          </w:p>
        </w:tc>
        <w:tc>
          <w:tcPr>
            <w:tcBorders/>
            <w:tcW w:w="3688" w:type="dxa"/>
          </w:tcPr>
          <w:p>
            <w:pPr>
              <w:pStyle w:val="922"/>
              <w:pBdr/>
              <w:spacing/>
              <w:ind/>
              <w:rPr/>
            </w:pPr>
            <w:r>
              <w:t xml:space="preserve">Al ser validado; solo entonces actualiza la tabla.</w:t>
            </w:r>
            <w:r/>
          </w:p>
        </w:tc>
      </w:tr>
      <w:tr>
        <w:trPr>
          <w:cantSplit/>
        </w:trPr>
        <w:tc>
          <w:tcPr>
            <w:tcBorders/>
            <w:tcW w:w="553" w:type="dxa"/>
          </w:tcPr>
          <w:p>
            <w:pPr>
              <w:pStyle w:val="922"/>
              <w:pBdr/>
              <w:spacing/>
              <w:ind/>
              <w:rPr/>
            </w:pPr>
            <w:r>
              <w:t xml:space="preserve">6</w:t>
            </w:r>
            <w:r/>
          </w:p>
        </w:tc>
        <w:tc>
          <w:tcPr>
            <w:tcBorders/>
            <w:tcW w:w="3688" w:type="dxa"/>
          </w:tcPr>
          <w:p>
            <w:pPr>
              <w:pStyle w:val="922"/>
              <w:pBdr/>
              <w:spacing/>
              <w:ind/>
              <w:rPr/>
            </w:pPr>
            <w:r>
              <w:t xml:space="preserve">¿Quién resuelve las sanciones?</w:t>
            </w:r>
            <w:r/>
          </w:p>
        </w:tc>
        <w:tc>
          <w:tcPr>
            <w:tcBorders/>
            <w:tcW w:w="1475" w:type="dxa"/>
          </w:tcPr>
          <w:p>
            <w:pPr>
              <w:pStyle w:val="922"/>
              <w:pBdr/>
              <w:spacing/>
              <w:ind/>
              <w:rPr/>
            </w:pPr>
            <w:r>
              <w:t xml:space="preserve">RF-10</w:t>
            </w:r>
            <w:r/>
          </w:p>
        </w:tc>
        <w:tc>
          <w:tcPr>
            <w:tcBorders/>
            <w:tcW w:w="3688" w:type="dxa"/>
          </w:tcPr>
          <w:p>
            <w:pPr>
              <w:pStyle w:val="922"/>
              <w:pBdr/>
              <w:spacing/>
              <w:ind/>
              <w:rPr/>
            </w:pPr>
            <w:r>
              <w:t xml:space="preserve">La Comisión Disciplinaria.</w:t>
            </w:r>
            <w:r/>
          </w:p>
        </w:tc>
      </w:tr>
      <w:tr>
        <w:trPr>
          <w:cantSplit/>
        </w:trPr>
        <w:tc>
          <w:tcPr>
            <w:tcBorders/>
            <w:tcW w:w="553" w:type="dxa"/>
          </w:tcPr>
          <w:p>
            <w:pPr>
              <w:pStyle w:val="922"/>
              <w:pBdr/>
              <w:spacing/>
              <w:ind/>
              <w:rPr/>
            </w:pPr>
            <w:r>
              <w:t xml:space="preserve">7</w:t>
            </w:r>
            <w:r/>
          </w:p>
        </w:tc>
        <w:tc>
          <w:tcPr>
            <w:tcBorders/>
            <w:tcW w:w="3688" w:type="dxa"/>
          </w:tcPr>
          <w:p>
            <w:pPr>
              <w:pStyle w:val="922"/>
              <w:pBdr/>
              <w:spacing/>
              <w:ind/>
              <w:rPr/>
            </w:pPr>
            <w:r>
              <w:t xml:space="preserve">¿Qué sanciones son públicas?</w:t>
            </w:r>
            <w:r/>
          </w:p>
        </w:tc>
        <w:tc>
          <w:tcPr>
            <w:tcBorders/>
            <w:tcW w:w="1475" w:type="dxa"/>
          </w:tcPr>
          <w:p>
            <w:pPr>
              <w:pStyle w:val="922"/>
              <w:pBdr/>
              <w:spacing/>
              <w:ind/>
              <w:rPr/>
            </w:pPr>
            <w:r>
              <w:t xml:space="preserve">RF-10, RF-12</w:t>
            </w:r>
            <w:r/>
          </w:p>
        </w:tc>
        <w:tc>
          <w:tcPr>
            <w:tcBorders/>
            <w:tcW w:w="3688" w:type="dxa"/>
          </w:tcPr>
          <w:p>
            <w:pPr>
              <w:pStyle w:val="922"/>
              <w:pBdr/>
              <w:spacing/>
              <w:ind/>
              <w:rPr/>
            </w:pPr>
            <w:r>
              <w:t xml:space="preserve">Solo las resoluciones autorizadas para publicación.</w:t>
            </w:r>
            <w:r/>
          </w:p>
        </w:tc>
      </w:tr>
      <w:tr>
        <w:trPr>
          <w:cantSplit/>
        </w:trPr>
        <w:tc>
          <w:tcPr>
            <w:tcBorders/>
            <w:tcW w:w="553" w:type="dxa"/>
          </w:tcPr>
          <w:p>
            <w:pPr>
              <w:pStyle w:val="922"/>
              <w:pBdr/>
              <w:spacing/>
              <w:ind/>
              <w:rPr/>
            </w:pPr>
            <w:r>
              <w:t xml:space="preserve">8</w:t>
            </w:r>
            <w:r/>
          </w:p>
        </w:tc>
        <w:tc>
          <w:tcPr>
            <w:tcBorders/>
            <w:tcW w:w="3688" w:type="dxa"/>
          </w:tcPr>
          <w:p>
            <w:pPr>
              <w:pStyle w:val="922"/>
              <w:pBdr/>
              <w:spacing/>
              <w:ind/>
              <w:rPr/>
            </w:pPr>
            <w:r>
              <w:t xml:space="preserve">¿Cómo se presentan las inconformidades y los recursos, y en qué plazos?</w:t>
            </w:r>
            <w:r/>
          </w:p>
        </w:tc>
        <w:tc>
          <w:tcPr>
            <w:tcBorders/>
            <w:tcW w:w="1475" w:type="dxa"/>
          </w:tcPr>
          <w:p>
            <w:pPr>
              <w:pStyle w:val="922"/>
              <w:pBdr/>
              <w:spacing/>
              <w:ind/>
              <w:rPr/>
            </w:pPr>
            <w:r>
              <w:t xml:space="preserve">RF-10</w:t>
            </w:r>
            <w:r/>
          </w:p>
        </w:tc>
        <w:tc>
          <w:tcPr>
            <w:tcBorders/>
            <w:tcW w:w="3688" w:type="dxa"/>
          </w:tcPr>
          <w:p>
            <w:pPr>
              <w:pStyle w:val="922"/>
              <w:pBdr/>
              <w:spacing/>
              <w:ind/>
              <w:rPr/>
            </w:pPr>
            <w:r>
              <w:t xml:space="preserve">Se registran en el sistema y reabren el expediente; plazos por definir.</w:t>
            </w:r>
            <w:r/>
          </w:p>
        </w:tc>
      </w:tr>
      <w:tr>
        <w:trPr>
          <w:cantSplit/>
        </w:trPr>
        <w:tc>
          <w:tcPr>
            <w:tcBorders/>
            <w:tcW w:w="553" w:type="dxa"/>
          </w:tcPr>
          <w:p>
            <w:pPr>
              <w:pStyle w:val="922"/>
              <w:pBdr/>
              <w:spacing/>
              <w:ind/>
              <w:rPr/>
            </w:pPr>
            <w:r>
              <w:t xml:space="preserve">9</w:t>
            </w:r>
            <w:r/>
          </w:p>
        </w:tc>
        <w:tc>
          <w:tcPr>
            <w:tcBorders/>
            <w:tcW w:w="3688" w:type="dxa"/>
          </w:tcPr>
          <w:p>
            <w:pPr>
              <w:pStyle w:val="922"/>
              <w:pBdr/>
              <w:spacing/>
              <w:ind/>
              <w:rPr/>
            </w:pPr>
            <w:r>
              <w:t xml:space="preserve">¿Qué criterios de desempate aplican?</w:t>
            </w:r>
            <w:r/>
          </w:p>
        </w:tc>
        <w:tc>
          <w:tcPr>
            <w:tcBorders/>
            <w:tcW w:w="1475" w:type="dxa"/>
          </w:tcPr>
          <w:p>
            <w:pPr>
              <w:pStyle w:val="922"/>
              <w:pBdr/>
              <w:spacing/>
              <w:ind/>
              <w:rPr/>
            </w:pPr>
            <w:r>
              <w:t xml:space="preserve">RF-09, RF-11</w:t>
            </w:r>
            <w:r/>
          </w:p>
        </w:tc>
        <w:tc>
          <w:tcPr>
            <w:tcBorders/>
            <w:tcW w:w="3688" w:type="dxa"/>
          </w:tcPr>
          <w:p>
            <w:pPr>
              <w:pStyle w:val="922"/>
              <w:pBdr/>
              <w:spacing/>
              <w:ind/>
              <w:rPr/>
            </w:pPr>
            <w:r>
              <w:t xml:space="preserve">Configurables por temporada.</w:t>
            </w:r>
            <w:r/>
          </w:p>
        </w:tc>
      </w:tr>
      <w:tr>
        <w:trPr>
          <w:cantSplit/>
        </w:trPr>
        <w:tc>
          <w:tcPr>
            <w:tcBorders/>
            <w:tcW w:w="553" w:type="dxa"/>
          </w:tcPr>
          <w:p>
            <w:pPr>
              <w:pStyle w:val="922"/>
              <w:pBdr/>
              <w:spacing/>
              <w:ind/>
              <w:rPr/>
            </w:pPr>
            <w:r>
              <w:t xml:space="preserve">10</w:t>
            </w:r>
            <w:r/>
          </w:p>
        </w:tc>
        <w:tc>
          <w:tcPr>
            <w:tcBorders/>
            <w:tcW w:w="3688" w:type="dxa"/>
          </w:tcPr>
          <w:p>
            <w:pPr>
              <w:pStyle w:val="922"/>
              <w:pBdr/>
              <w:spacing/>
              <w:ind/>
              <w:rPr/>
            </w:pPr>
            <w:r>
              <w:t xml:space="preserve">¿Qué impide ascender o descender a un equipo? ¿Qué excepciones existen?</w:t>
            </w:r>
            <w:r/>
          </w:p>
        </w:tc>
        <w:tc>
          <w:tcPr>
            <w:tcBorders/>
            <w:tcW w:w="1475" w:type="dxa"/>
          </w:tcPr>
          <w:p>
            <w:pPr>
              <w:pStyle w:val="922"/>
              <w:pBdr/>
              <w:spacing/>
              <w:ind/>
              <w:rPr/>
            </w:pPr>
            <w:r>
              <w:t xml:space="preserve">RF-11</w:t>
            </w:r>
            <w:r/>
          </w:p>
        </w:tc>
        <w:tc>
          <w:tcPr>
            <w:tcBorders/>
            <w:tcW w:w="3688" w:type="dxa"/>
          </w:tcPr>
          <w:p>
            <w:pPr>
              <w:pStyle w:val="922"/>
              <w:pBdr/>
              <w:spacing/>
              <w:ind/>
              <w:rPr/>
            </w:pPr>
            <w:r>
              <w:t xml:space="preserve">Reglas configurables por convocatoria; lo ambiguo requiere validación humana.</w:t>
            </w:r>
            <w:r/>
          </w:p>
        </w:tc>
      </w:tr>
      <w:tr>
        <w:trPr>
          <w:cantSplit/>
        </w:trPr>
        <w:tc>
          <w:tcPr>
            <w:tcBorders/>
            <w:tcW w:w="553" w:type="dxa"/>
          </w:tcPr>
          <w:p>
            <w:pPr>
              <w:pStyle w:val="922"/>
              <w:pBdr/>
              <w:spacing/>
              <w:ind/>
              <w:rPr/>
            </w:pPr>
            <w:r>
              <w:t xml:space="preserve">11</w:t>
            </w:r>
            <w:r/>
          </w:p>
        </w:tc>
        <w:tc>
          <w:tcPr>
            <w:tcBorders/>
            <w:tcW w:w="3688" w:type="dxa"/>
          </w:tcPr>
          <w:p>
            <w:pPr>
              <w:pStyle w:val="922"/>
              <w:pBdr/>
              <w:spacing/>
              <w:ind/>
              <w:rPr/>
            </w:pPr>
            <w:r>
              <w:t xml:space="preserve">¿Una sanción afecta solo la participación del jugador, la programación del club o ambas?</w:t>
            </w:r>
            <w:r/>
          </w:p>
        </w:tc>
        <w:tc>
          <w:tcPr>
            <w:tcBorders/>
            <w:tcW w:w="1475" w:type="dxa"/>
          </w:tcPr>
          <w:p>
            <w:pPr>
              <w:pStyle w:val="922"/>
              <w:pBdr/>
              <w:spacing/>
              <w:ind/>
              <w:rPr/>
            </w:pPr>
            <w:r>
              <w:t xml:space="preserve">RF-04, RF-10</w:t>
            </w:r>
            <w:r/>
          </w:p>
        </w:tc>
        <w:tc>
          <w:tcPr>
            <w:tcBorders/>
            <w:tcW w:w="3688" w:type="dxa"/>
          </w:tcPr>
          <w:p>
            <w:pPr>
              <w:pStyle w:val="922"/>
              <w:pBdr/>
              <w:spacing/>
              <w:ind/>
              <w:rPr/>
            </w:pPr>
            <w:r>
              <w:t xml:space="preserve">Bloquea la participación del jugador; lo demás por definir.</w:t>
            </w:r>
            <w:r/>
          </w:p>
        </w:tc>
      </w:tr>
      <w:tr>
        <w:trPr>
          <w:cantSplit/>
        </w:trPr>
        <w:tc>
          <w:tcPr>
            <w:tcBorders/>
            <w:tcW w:w="553" w:type="dxa"/>
          </w:tcPr>
          <w:p>
            <w:pPr>
              <w:pStyle w:val="922"/>
              <w:pBdr/>
              <w:spacing/>
              <w:ind/>
              <w:rPr/>
            </w:pPr>
            <w:r>
              <w:t xml:space="preserve">12</w:t>
            </w:r>
            <w:r/>
          </w:p>
        </w:tc>
        <w:tc>
          <w:tcPr>
            <w:tcBorders/>
            <w:tcW w:w="3688" w:type="dxa"/>
          </w:tcPr>
          <w:p>
            <w:pPr>
              <w:pStyle w:val="922"/>
              <w:pBdr/>
              <w:spacing/>
              <w:ind/>
              <w:rPr/>
            </w:pPr>
            <w:r>
              <w:t xml:space="preserve">¿Qué documentos exige la Liga para registrar a un jugador?</w:t>
            </w:r>
            <w:r/>
          </w:p>
        </w:tc>
        <w:tc>
          <w:tcPr>
            <w:tcBorders/>
            <w:tcW w:w="1475" w:type="dxa"/>
          </w:tcPr>
          <w:p>
            <w:pPr>
              <w:pStyle w:val="922"/>
              <w:pBdr/>
              <w:spacing/>
              <w:ind/>
              <w:rPr/>
            </w:pPr>
            <w:r>
              <w:t xml:space="preserve">RF-04</w:t>
            </w:r>
            <w:r/>
          </w:p>
        </w:tc>
        <w:tc>
          <w:tcPr>
            <w:tcBorders/>
            <w:tcW w:w="3688" w:type="dxa"/>
          </w:tcPr>
          <w:p>
            <w:pPr>
              <w:pStyle w:val="922"/>
              <w:pBdr/>
              <w:spacing/>
              <w:ind/>
              <w:rPr/>
            </w:pPr>
            <w:r>
              <w:t xml:space="preserve">Identificación, fotografía y comprobante de cuota; lista final por definir.</w:t>
            </w:r>
            <w:r/>
          </w:p>
        </w:tc>
      </w:tr>
    </w:tbl>
    <w:p>
      <w:pPr>
        <w:pBdr/>
        <w:spacing w:after="60" w:before="0"/>
        <w:ind/>
        <w:rPr/>
      </w:pPr>
      <w:r/>
      <w:r/>
    </w:p>
    <w:sectPr>
      <w:headerReference w:type="default" r:id="rId9"/>
      <w:footerReference w:type="default" r:id="rId10"/>
      <w:footnotePr/>
      <w:endnotePr/>
      <w:type w:val="nextPage"/>
      <w:pgSz w:h="15840" w:orient="portrait" w:w="12240"/>
      <w:pgMar w:top="1418" w:right="1418" w:bottom="1276" w:left="1418" w:header="708" w:footer="567"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8"/>
      <w:pBdr/>
      <w:tabs>
        <w:tab w:val="right" w:leader="none" w:pos="9404"/>
      </w:tabs>
      <w:spacing/>
      <w:ind/>
      <w:rPr/>
    </w:pPr>
    <w:r>
      <w:rPr>
        <w:color w:val="595959"/>
        <w:sz w:val="16"/>
        <w:szCs w:val="16"/>
      </w:rPr>
      <w:t xml:space="preserve">Liga Municipal de Fútbol Amateur de Morelia, A.C.</w:t>
    </w:r>
    <w:r>
      <w:rPr>
        <w:sz w:val="16"/>
        <w:szCs w:val="16"/>
      </w:rPr>
      <w:tab/>
    </w:r>
    <w:r>
      <w:rPr>
        <w:color w:val="595959"/>
        <w:sz w:val="16"/>
        <w:szCs w:val="16"/>
      </w:rPr>
      <w:t xml:space="preserve">Página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 xml:space="preserve">1</w:t>
    </w:r>
    <w:r>
      <w:rPr>
        <w:color w:val="595959"/>
        <w:sz w:val="16"/>
      </w:rPr>
      <w:fldChar w:fldCharType="end"/>
    </w:r>
    <w:r>
      <w:rPr>
        <w:color w:val="595959"/>
        <w:sz w:val="16"/>
        <w:szCs w:val="16"/>
      </w:rPr>
      <w:t xml:space="preserve"> de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 xml:space="preserve">1</w:t>
    </w:r>
    <w:r>
      <w:rPr>
        <w:color w:val="595959"/>
        <w:sz w:val="16"/>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7"/>
      <w:pBdr>
        <w:bottom w:val="single" w:color="bfbfbf" w:sz="4" w:space="4"/>
      </w:pBdr>
      <w:spacing/>
      <w:ind/>
      <w:jc w:val="right"/>
      <w:rPr/>
    </w:pPr>
    <w:r>
      <w:rPr>
        <w:color w:val="595959"/>
        <w:sz w:val="16"/>
        <w:szCs w:val="16"/>
      </w:rPr>
      <w:t xml:space="preserve">ERS · Sistema de Gestión para la Liga Municipal de Morelia</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283" w:left="567"/>
      </w:pPr>
      <w:rPr>
        <w:rFonts w:hint="default" w:ascii="Arial" w:hAnsi="Aria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lvl w:ilvl="0">
      <w:isLgl w:val="false"/>
      <w:lvlJc w:val="left"/>
      <w:lvlText w:val="•"/>
      <w:numFmt w:val="bullet"/>
      <w:pPr>
        <w:pBdr/>
        <w:spacing/>
        <w:ind w:hanging="170" w:left="198"/>
      </w:pPr>
      <w:rPr>
        <w:rFonts w:hint="default" w:ascii="Arial" w:hAnsi="Aria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1"/>
        <w:szCs w:val="21"/>
        <w:lang w:val="es-MX" w:eastAsia="es-MX" w:bidi="ar-SA"/>
      </w:rPr>
    </w:rPrDefault>
    <w:pPrDefault>
      <w:pPr>
        <w:pBdr/>
        <w:spacing w:after="120" w:afterAutospacing="0" w:before="0" w:beforeAutospacing="0" w:line="264"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Table Grid"/>
    <w:basedOn w:val="73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73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73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73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73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73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73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73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73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73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73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73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73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73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73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73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73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73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73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73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73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73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73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73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73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73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73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73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73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73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73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73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73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73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73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73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73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73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73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73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73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73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73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73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73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73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73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73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73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73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73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73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73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73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73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73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73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73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73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73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73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73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73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73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9">
    <w:name w:val="List Table 7 Colorful - Accent 2"/>
    <w:basedOn w:val="73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0">
    <w:name w:val="List Table 7 Colorful - Accent 3"/>
    <w:basedOn w:val="73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1">
    <w:name w:val="List Table 7 Colorful - Accent 4"/>
    <w:basedOn w:val="73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2">
    <w:name w:val="List Table 7 Colorful - Accent 5"/>
    <w:basedOn w:val="73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3">
    <w:name w:val="List Table 7 Colorful - Accent 6"/>
    <w:basedOn w:val="73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4">
    <w:name w:val="Lined - Accent"/>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73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73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73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73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73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73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73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73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73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73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73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73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73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73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73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Heading 5"/>
    <w:basedOn w:val="914"/>
    <w:next w:val="914"/>
    <w:link w:val="87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6">
    <w:name w:val="Heading 6"/>
    <w:basedOn w:val="914"/>
    <w:next w:val="914"/>
    <w:link w:val="87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7">
    <w:name w:val="Heading 7"/>
    <w:basedOn w:val="914"/>
    <w:next w:val="914"/>
    <w:link w:val="87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8">
    <w:name w:val="Heading 8"/>
    <w:basedOn w:val="914"/>
    <w:next w:val="914"/>
    <w:link w:val="87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9">
    <w:name w:val="Heading 9"/>
    <w:basedOn w:val="914"/>
    <w:next w:val="914"/>
    <w:link w:val="88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0" w:default="1">
    <w:name w:val="Default Paragraph Font"/>
    <w:uiPriority w:val="1"/>
    <w:semiHidden/>
    <w:unhideWhenUsed/>
    <w:pPr>
      <w:pBdr/>
      <w:spacing/>
      <w:ind/>
    </w:pPr>
  </w:style>
  <w:style w:type="numbering" w:styleId="871" w:default="1">
    <w:name w:val="No List"/>
    <w:uiPriority w:val="99"/>
    <w:semiHidden/>
    <w:unhideWhenUsed/>
    <w:pPr>
      <w:pBdr/>
      <w:spacing/>
      <w:ind/>
    </w:pPr>
  </w:style>
  <w:style w:type="character" w:styleId="872">
    <w:name w:val="Heading 1 Char"/>
    <w:basedOn w:val="870"/>
    <w:link w:val="915"/>
    <w:uiPriority w:val="9"/>
    <w:pPr>
      <w:pBdr/>
      <w:spacing/>
      <w:ind/>
    </w:pPr>
    <w:rPr>
      <w:rFonts w:ascii="Arial" w:hAnsi="Arial" w:eastAsia="Arial" w:cs="Arial"/>
      <w:color w:val="0f4761" w:themeColor="accent1" w:themeShade="BF"/>
      <w:sz w:val="40"/>
      <w:szCs w:val="40"/>
    </w:rPr>
  </w:style>
  <w:style w:type="character" w:styleId="873">
    <w:name w:val="Heading 2 Char"/>
    <w:basedOn w:val="870"/>
    <w:link w:val="916"/>
    <w:uiPriority w:val="9"/>
    <w:pPr>
      <w:pBdr/>
      <w:spacing/>
      <w:ind/>
    </w:pPr>
    <w:rPr>
      <w:rFonts w:ascii="Arial" w:hAnsi="Arial" w:eastAsia="Arial" w:cs="Arial"/>
      <w:color w:val="0f4761" w:themeColor="accent1" w:themeShade="BF"/>
      <w:sz w:val="32"/>
      <w:szCs w:val="32"/>
    </w:rPr>
  </w:style>
  <w:style w:type="character" w:styleId="874">
    <w:name w:val="Heading 3 Char"/>
    <w:basedOn w:val="870"/>
    <w:link w:val="917"/>
    <w:uiPriority w:val="9"/>
    <w:pPr>
      <w:pBdr/>
      <w:spacing/>
      <w:ind/>
    </w:pPr>
    <w:rPr>
      <w:rFonts w:ascii="Arial" w:hAnsi="Arial" w:eastAsia="Arial" w:cs="Arial"/>
      <w:color w:val="0f4761" w:themeColor="accent1" w:themeShade="BF"/>
      <w:sz w:val="28"/>
      <w:szCs w:val="28"/>
    </w:rPr>
  </w:style>
  <w:style w:type="character" w:styleId="875">
    <w:name w:val="Heading 4 Char"/>
    <w:basedOn w:val="870"/>
    <w:link w:val="918"/>
    <w:uiPriority w:val="9"/>
    <w:pPr>
      <w:pBdr/>
      <w:spacing/>
      <w:ind/>
    </w:pPr>
    <w:rPr>
      <w:rFonts w:ascii="Arial" w:hAnsi="Arial" w:eastAsia="Arial" w:cs="Arial"/>
      <w:i/>
      <w:iCs/>
      <w:color w:val="0f4761" w:themeColor="accent1" w:themeShade="BF"/>
    </w:rPr>
  </w:style>
  <w:style w:type="character" w:styleId="876">
    <w:name w:val="Heading 5 Char"/>
    <w:basedOn w:val="870"/>
    <w:link w:val="865"/>
    <w:uiPriority w:val="9"/>
    <w:pPr>
      <w:pBdr/>
      <w:spacing/>
      <w:ind/>
    </w:pPr>
    <w:rPr>
      <w:rFonts w:ascii="Arial" w:hAnsi="Arial" w:eastAsia="Arial" w:cs="Arial"/>
      <w:color w:val="0f4761" w:themeColor="accent1" w:themeShade="BF"/>
    </w:rPr>
  </w:style>
  <w:style w:type="character" w:styleId="877">
    <w:name w:val="Heading 6 Char"/>
    <w:basedOn w:val="870"/>
    <w:link w:val="866"/>
    <w:uiPriority w:val="9"/>
    <w:pPr>
      <w:pBdr/>
      <w:spacing/>
      <w:ind/>
    </w:pPr>
    <w:rPr>
      <w:rFonts w:ascii="Arial" w:hAnsi="Arial" w:eastAsia="Arial" w:cs="Arial"/>
      <w:i/>
      <w:iCs/>
      <w:color w:val="595959" w:themeColor="text1" w:themeTint="A6"/>
    </w:rPr>
  </w:style>
  <w:style w:type="character" w:styleId="878">
    <w:name w:val="Heading 7 Char"/>
    <w:basedOn w:val="870"/>
    <w:link w:val="867"/>
    <w:uiPriority w:val="9"/>
    <w:pPr>
      <w:pBdr/>
      <w:spacing/>
      <w:ind/>
    </w:pPr>
    <w:rPr>
      <w:rFonts w:ascii="Arial" w:hAnsi="Arial" w:eastAsia="Arial" w:cs="Arial"/>
      <w:color w:val="595959" w:themeColor="text1" w:themeTint="A6"/>
    </w:rPr>
  </w:style>
  <w:style w:type="character" w:styleId="879">
    <w:name w:val="Heading 8 Char"/>
    <w:basedOn w:val="870"/>
    <w:link w:val="868"/>
    <w:uiPriority w:val="9"/>
    <w:pPr>
      <w:pBdr/>
      <w:spacing/>
      <w:ind/>
    </w:pPr>
    <w:rPr>
      <w:rFonts w:ascii="Arial" w:hAnsi="Arial" w:eastAsia="Arial" w:cs="Arial"/>
      <w:i/>
      <w:iCs/>
      <w:color w:val="272727" w:themeColor="text1" w:themeTint="D8"/>
    </w:rPr>
  </w:style>
  <w:style w:type="character" w:styleId="880">
    <w:name w:val="Heading 9 Char"/>
    <w:basedOn w:val="870"/>
    <w:link w:val="869"/>
    <w:uiPriority w:val="9"/>
    <w:pPr>
      <w:pBdr/>
      <w:spacing/>
      <w:ind/>
    </w:pPr>
    <w:rPr>
      <w:rFonts w:ascii="Arial" w:hAnsi="Arial" w:eastAsia="Arial" w:cs="Arial"/>
      <w:i/>
      <w:iCs/>
      <w:color w:val="272727" w:themeColor="text1" w:themeTint="D8"/>
    </w:rPr>
  </w:style>
  <w:style w:type="character" w:styleId="881">
    <w:name w:val="Title Char"/>
    <w:basedOn w:val="870"/>
    <w:link w:val="919"/>
    <w:uiPriority w:val="10"/>
    <w:pPr>
      <w:pBdr/>
      <w:spacing/>
      <w:ind/>
    </w:pPr>
    <w:rPr>
      <w:rFonts w:ascii="Arial" w:hAnsi="Arial" w:eastAsia="Arial" w:cs="Arial"/>
      <w:spacing w:val="-10"/>
      <w:sz w:val="56"/>
      <w:szCs w:val="56"/>
    </w:rPr>
  </w:style>
  <w:style w:type="paragraph" w:styleId="882">
    <w:name w:val="Subtitle"/>
    <w:basedOn w:val="914"/>
    <w:next w:val="914"/>
    <w:link w:val="883"/>
    <w:uiPriority w:val="11"/>
    <w:qFormat/>
    <w:pPr>
      <w:numPr>
        <w:ilvl w:val="1"/>
      </w:numPr>
      <w:pBdr/>
      <w:spacing/>
      <w:ind/>
    </w:pPr>
    <w:rPr>
      <w:color w:val="595959" w:themeColor="text1" w:themeTint="A6"/>
      <w:spacing w:val="15"/>
      <w:sz w:val="28"/>
      <w:szCs w:val="28"/>
    </w:rPr>
  </w:style>
  <w:style w:type="character" w:styleId="883">
    <w:name w:val="Subtitle Char"/>
    <w:basedOn w:val="870"/>
    <w:link w:val="882"/>
    <w:uiPriority w:val="11"/>
    <w:pPr>
      <w:pBdr/>
      <w:spacing/>
      <w:ind/>
    </w:pPr>
    <w:rPr>
      <w:color w:val="595959" w:themeColor="text1" w:themeTint="A6"/>
      <w:spacing w:val="15"/>
      <w:sz w:val="28"/>
      <w:szCs w:val="28"/>
    </w:rPr>
  </w:style>
  <w:style w:type="paragraph" w:styleId="884">
    <w:name w:val="Quote"/>
    <w:basedOn w:val="914"/>
    <w:next w:val="914"/>
    <w:link w:val="885"/>
    <w:uiPriority w:val="29"/>
    <w:qFormat/>
    <w:pPr>
      <w:pBdr/>
      <w:spacing w:before="160"/>
      <w:ind/>
      <w:jc w:val="center"/>
    </w:pPr>
    <w:rPr>
      <w:i/>
      <w:iCs/>
      <w:color w:val="404040" w:themeColor="text1" w:themeTint="BF"/>
    </w:rPr>
  </w:style>
  <w:style w:type="character" w:styleId="885">
    <w:name w:val="Quote Char"/>
    <w:basedOn w:val="870"/>
    <w:link w:val="884"/>
    <w:uiPriority w:val="29"/>
    <w:pPr>
      <w:pBdr/>
      <w:spacing/>
      <w:ind/>
    </w:pPr>
    <w:rPr>
      <w:i/>
      <w:iCs/>
      <w:color w:val="404040" w:themeColor="text1" w:themeTint="BF"/>
    </w:rPr>
  </w:style>
  <w:style w:type="character" w:styleId="886">
    <w:name w:val="Intense Emphasis"/>
    <w:basedOn w:val="870"/>
    <w:uiPriority w:val="21"/>
    <w:qFormat/>
    <w:pPr>
      <w:pBdr/>
      <w:spacing/>
      <w:ind/>
    </w:pPr>
    <w:rPr>
      <w:i/>
      <w:iCs/>
      <w:color w:val="0f4761" w:themeColor="accent1" w:themeShade="BF"/>
    </w:rPr>
  </w:style>
  <w:style w:type="paragraph" w:styleId="887">
    <w:name w:val="Intense Quote"/>
    <w:basedOn w:val="914"/>
    <w:next w:val="914"/>
    <w:link w:val="88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8">
    <w:name w:val="Intense Quote Char"/>
    <w:basedOn w:val="870"/>
    <w:link w:val="887"/>
    <w:uiPriority w:val="30"/>
    <w:pPr>
      <w:pBdr/>
      <w:spacing/>
      <w:ind/>
    </w:pPr>
    <w:rPr>
      <w:i/>
      <w:iCs/>
      <w:color w:val="0f4761" w:themeColor="accent1" w:themeShade="BF"/>
    </w:rPr>
  </w:style>
  <w:style w:type="character" w:styleId="889">
    <w:name w:val="Intense Reference"/>
    <w:basedOn w:val="870"/>
    <w:uiPriority w:val="32"/>
    <w:qFormat/>
    <w:pPr>
      <w:pBdr/>
      <w:spacing/>
      <w:ind/>
    </w:pPr>
    <w:rPr>
      <w:b/>
      <w:bCs/>
      <w:smallCaps/>
      <w:color w:val="0f4761" w:themeColor="accent1" w:themeShade="BF"/>
      <w:spacing w:val="5"/>
    </w:rPr>
  </w:style>
  <w:style w:type="paragraph" w:styleId="890">
    <w:name w:val="No Spacing"/>
    <w:basedOn w:val="914"/>
    <w:uiPriority w:val="1"/>
    <w:qFormat/>
    <w:pPr>
      <w:pBdr/>
      <w:spacing w:after="0" w:line="240" w:lineRule="auto"/>
      <w:ind/>
    </w:pPr>
  </w:style>
  <w:style w:type="character" w:styleId="891">
    <w:name w:val="Subtle Emphasis"/>
    <w:basedOn w:val="870"/>
    <w:uiPriority w:val="19"/>
    <w:qFormat/>
    <w:pPr>
      <w:pBdr/>
      <w:spacing/>
      <w:ind/>
    </w:pPr>
    <w:rPr>
      <w:i/>
      <w:iCs/>
      <w:color w:val="404040" w:themeColor="text1" w:themeTint="BF"/>
    </w:rPr>
  </w:style>
  <w:style w:type="character" w:styleId="892">
    <w:name w:val="Emphasis"/>
    <w:basedOn w:val="870"/>
    <w:uiPriority w:val="20"/>
    <w:qFormat/>
    <w:pPr>
      <w:pBdr/>
      <w:spacing/>
      <w:ind/>
    </w:pPr>
    <w:rPr>
      <w:i/>
      <w:iCs/>
    </w:rPr>
  </w:style>
  <w:style w:type="character" w:styleId="893">
    <w:name w:val="Strong"/>
    <w:basedOn w:val="870"/>
    <w:uiPriority w:val="22"/>
    <w:qFormat/>
    <w:pPr>
      <w:pBdr/>
      <w:spacing/>
      <w:ind/>
    </w:pPr>
    <w:rPr>
      <w:b/>
      <w:bCs/>
    </w:rPr>
  </w:style>
  <w:style w:type="character" w:styleId="894">
    <w:name w:val="Subtle Reference"/>
    <w:basedOn w:val="870"/>
    <w:uiPriority w:val="31"/>
    <w:qFormat/>
    <w:pPr>
      <w:pBdr/>
      <w:spacing/>
      <w:ind/>
    </w:pPr>
    <w:rPr>
      <w:smallCaps/>
      <w:color w:val="5a5a5a" w:themeColor="text1" w:themeTint="A5"/>
    </w:rPr>
  </w:style>
  <w:style w:type="character" w:styleId="895">
    <w:name w:val="Book Title"/>
    <w:basedOn w:val="870"/>
    <w:uiPriority w:val="33"/>
    <w:qFormat/>
    <w:pPr>
      <w:pBdr/>
      <w:spacing/>
      <w:ind/>
    </w:pPr>
    <w:rPr>
      <w:b/>
      <w:bCs/>
      <w:i/>
      <w:iCs/>
      <w:spacing w:val="5"/>
    </w:rPr>
  </w:style>
  <w:style w:type="character" w:styleId="896">
    <w:name w:val="Header Char"/>
    <w:basedOn w:val="870"/>
    <w:link w:val="927"/>
    <w:uiPriority w:val="99"/>
    <w:pPr>
      <w:pBdr/>
      <w:spacing/>
      <w:ind/>
    </w:pPr>
  </w:style>
  <w:style w:type="character" w:styleId="897">
    <w:name w:val="Footer Char"/>
    <w:basedOn w:val="870"/>
    <w:link w:val="928"/>
    <w:uiPriority w:val="99"/>
    <w:pPr>
      <w:pBdr/>
      <w:spacing/>
      <w:ind/>
    </w:pPr>
  </w:style>
  <w:style w:type="paragraph" w:styleId="898">
    <w:name w:val="footnote text"/>
    <w:basedOn w:val="914"/>
    <w:link w:val="899"/>
    <w:uiPriority w:val="99"/>
    <w:semiHidden/>
    <w:unhideWhenUsed/>
    <w:pPr>
      <w:pBdr/>
      <w:spacing w:after="0" w:line="240" w:lineRule="auto"/>
      <w:ind/>
    </w:pPr>
    <w:rPr>
      <w:sz w:val="20"/>
      <w:szCs w:val="20"/>
    </w:rPr>
  </w:style>
  <w:style w:type="character" w:styleId="899">
    <w:name w:val="Footnote Text Char"/>
    <w:basedOn w:val="870"/>
    <w:link w:val="898"/>
    <w:uiPriority w:val="99"/>
    <w:semiHidden/>
    <w:pPr>
      <w:pBdr/>
      <w:spacing/>
      <w:ind/>
    </w:pPr>
    <w:rPr>
      <w:sz w:val="20"/>
      <w:szCs w:val="20"/>
    </w:rPr>
  </w:style>
  <w:style w:type="character" w:styleId="900">
    <w:name w:val="footnote reference"/>
    <w:basedOn w:val="870"/>
    <w:uiPriority w:val="99"/>
    <w:semiHidden/>
    <w:unhideWhenUsed/>
    <w:pPr>
      <w:pBdr/>
      <w:spacing/>
      <w:ind/>
    </w:pPr>
    <w:rPr>
      <w:vertAlign w:val="superscript"/>
    </w:rPr>
  </w:style>
  <w:style w:type="paragraph" w:styleId="901">
    <w:name w:val="endnote text"/>
    <w:basedOn w:val="914"/>
    <w:link w:val="902"/>
    <w:uiPriority w:val="99"/>
    <w:semiHidden/>
    <w:unhideWhenUsed/>
    <w:pPr>
      <w:pBdr/>
      <w:spacing w:after="0" w:line="240" w:lineRule="auto"/>
      <w:ind/>
    </w:pPr>
    <w:rPr>
      <w:sz w:val="20"/>
      <w:szCs w:val="20"/>
    </w:rPr>
  </w:style>
  <w:style w:type="character" w:styleId="902">
    <w:name w:val="Endnote Text Char"/>
    <w:basedOn w:val="870"/>
    <w:link w:val="901"/>
    <w:uiPriority w:val="99"/>
    <w:semiHidden/>
    <w:pPr>
      <w:pBdr/>
      <w:spacing/>
      <w:ind/>
    </w:pPr>
    <w:rPr>
      <w:sz w:val="20"/>
      <w:szCs w:val="20"/>
    </w:rPr>
  </w:style>
  <w:style w:type="character" w:styleId="903">
    <w:name w:val="endnote reference"/>
    <w:basedOn w:val="870"/>
    <w:uiPriority w:val="99"/>
    <w:semiHidden/>
    <w:unhideWhenUsed/>
    <w:pPr>
      <w:pBdr/>
      <w:spacing/>
      <w:ind/>
    </w:pPr>
    <w:rPr>
      <w:vertAlign w:val="superscript"/>
    </w:rPr>
  </w:style>
  <w:style w:type="character" w:styleId="904">
    <w:name w:val="FollowedHyperlink"/>
    <w:basedOn w:val="870"/>
    <w:uiPriority w:val="99"/>
    <w:semiHidden/>
    <w:unhideWhenUsed/>
    <w:pPr>
      <w:pBdr/>
      <w:spacing/>
      <w:ind/>
    </w:pPr>
    <w:rPr>
      <w:color w:val="954f72" w:themeColor="followedHyperlink"/>
      <w:u w:val="single"/>
    </w:rPr>
  </w:style>
  <w:style w:type="paragraph" w:styleId="905">
    <w:name w:val="toc 4"/>
    <w:basedOn w:val="914"/>
    <w:next w:val="914"/>
    <w:uiPriority w:val="39"/>
    <w:unhideWhenUsed/>
    <w:pPr>
      <w:pBdr/>
      <w:spacing w:after="100"/>
      <w:ind w:left="660"/>
    </w:pPr>
  </w:style>
  <w:style w:type="paragraph" w:styleId="906">
    <w:name w:val="toc 5"/>
    <w:basedOn w:val="914"/>
    <w:next w:val="914"/>
    <w:uiPriority w:val="39"/>
    <w:unhideWhenUsed/>
    <w:pPr>
      <w:pBdr/>
      <w:spacing w:after="100"/>
      <w:ind w:left="880"/>
    </w:pPr>
  </w:style>
  <w:style w:type="paragraph" w:styleId="907">
    <w:name w:val="toc 6"/>
    <w:basedOn w:val="914"/>
    <w:next w:val="914"/>
    <w:uiPriority w:val="39"/>
    <w:unhideWhenUsed/>
    <w:pPr>
      <w:pBdr/>
      <w:spacing w:after="100"/>
      <w:ind w:left="1100"/>
    </w:pPr>
  </w:style>
  <w:style w:type="paragraph" w:styleId="908">
    <w:name w:val="toc 7"/>
    <w:basedOn w:val="914"/>
    <w:next w:val="914"/>
    <w:uiPriority w:val="39"/>
    <w:unhideWhenUsed/>
    <w:pPr>
      <w:pBdr/>
      <w:spacing w:after="100"/>
      <w:ind w:left="1320"/>
    </w:pPr>
  </w:style>
  <w:style w:type="paragraph" w:styleId="909">
    <w:name w:val="toc 8"/>
    <w:basedOn w:val="914"/>
    <w:next w:val="914"/>
    <w:uiPriority w:val="39"/>
    <w:unhideWhenUsed/>
    <w:pPr>
      <w:pBdr/>
      <w:spacing w:after="100"/>
      <w:ind w:left="1540"/>
    </w:pPr>
  </w:style>
  <w:style w:type="paragraph" w:styleId="910">
    <w:name w:val="toc 9"/>
    <w:basedOn w:val="914"/>
    <w:next w:val="914"/>
    <w:uiPriority w:val="39"/>
    <w:unhideWhenUsed/>
    <w:pPr>
      <w:pBdr/>
      <w:spacing w:after="100"/>
      <w:ind w:left="1760"/>
    </w:pPr>
  </w:style>
  <w:style w:type="character" w:styleId="911">
    <w:name w:val="Placeholder Text"/>
    <w:basedOn w:val="870"/>
    <w:uiPriority w:val="99"/>
    <w:semiHidden/>
    <w:pPr>
      <w:pBdr/>
      <w:spacing/>
      <w:ind/>
    </w:pPr>
    <w:rPr>
      <w:color w:val="666666"/>
    </w:rPr>
  </w:style>
  <w:style w:type="paragraph" w:styleId="912">
    <w:name w:val="TOC Heading"/>
    <w:uiPriority w:val="39"/>
    <w:unhideWhenUsed/>
    <w:pPr>
      <w:pBdr/>
      <w:spacing/>
      <w:ind/>
    </w:pPr>
  </w:style>
  <w:style w:type="paragraph" w:styleId="913">
    <w:name w:val="table of figures"/>
    <w:basedOn w:val="914"/>
    <w:next w:val="914"/>
    <w:uiPriority w:val="99"/>
    <w:unhideWhenUsed/>
    <w:pPr>
      <w:pBdr/>
      <w:spacing w:after="0" w:afterAutospacing="0"/>
      <w:ind/>
    </w:pPr>
  </w:style>
  <w:style w:type="paragraph" w:styleId="914" w:default="1">
    <w:name w:val="Normal"/>
    <w:qFormat/>
    <w:pPr>
      <w:pBdr/>
      <w:spacing/>
      <w:ind/>
      <w:jc w:val="both"/>
    </w:pPr>
  </w:style>
  <w:style w:type="paragraph" w:styleId="915">
    <w:name w:val="Heading 1"/>
    <w:basedOn w:val="914"/>
    <w:next w:val="914"/>
    <w:qFormat/>
    <w:pPr>
      <w:keepNext w:val="true"/>
      <w:keepLines w:val="true"/>
      <w:pBdr/>
      <w:spacing w:after="140" w:before="360"/>
      <w:ind/>
      <w:jc w:val="left"/>
      <w:outlineLvl w:val="0"/>
    </w:pPr>
    <w:rPr>
      <w:b/>
      <w:bCs/>
      <w:color w:val="241a61"/>
      <w:sz w:val="34"/>
      <w:szCs w:val="34"/>
    </w:rPr>
  </w:style>
  <w:style w:type="paragraph" w:styleId="916">
    <w:name w:val="Heading 2"/>
    <w:basedOn w:val="914"/>
    <w:next w:val="914"/>
    <w:qFormat/>
    <w:pPr>
      <w:keepNext w:val="true"/>
      <w:keepLines w:val="true"/>
      <w:pBdr/>
      <w:spacing w:after="140" w:before="300"/>
      <w:ind/>
      <w:jc w:val="left"/>
      <w:outlineLvl w:val="1"/>
    </w:pPr>
    <w:rPr>
      <w:b/>
      <w:bCs/>
      <w:color w:val="241a61"/>
      <w:sz w:val="27"/>
      <w:szCs w:val="27"/>
    </w:rPr>
  </w:style>
  <w:style w:type="paragraph" w:styleId="917">
    <w:name w:val="Heading 3"/>
    <w:basedOn w:val="914"/>
    <w:next w:val="914"/>
    <w:qFormat/>
    <w:pPr>
      <w:keepNext w:val="true"/>
      <w:keepLines w:val="true"/>
      <w:pBdr/>
      <w:spacing w:after="140" w:before="240"/>
      <w:ind/>
      <w:jc w:val="left"/>
      <w:outlineLvl w:val="2"/>
    </w:pPr>
    <w:rPr>
      <w:b/>
      <w:bCs/>
      <w:color w:val="241a61"/>
      <w:sz w:val="23"/>
      <w:szCs w:val="23"/>
    </w:rPr>
  </w:style>
  <w:style w:type="paragraph" w:styleId="918">
    <w:name w:val="Heading 4"/>
    <w:basedOn w:val="914"/>
    <w:next w:val="914"/>
    <w:qFormat/>
    <w:pPr>
      <w:keepNext w:val="true"/>
      <w:keepLines w:val="true"/>
      <w:pBdr/>
      <w:spacing w:after="140" w:before="200"/>
      <w:ind/>
      <w:jc w:val="left"/>
      <w:outlineLvl w:val="3"/>
    </w:pPr>
    <w:rPr>
      <w:b/>
      <w:bCs/>
      <w:color w:val="241a61"/>
      <w:sz w:val="21"/>
      <w:szCs w:val="21"/>
    </w:rPr>
  </w:style>
  <w:style w:type="paragraph" w:styleId="919">
    <w:name w:val="Title"/>
    <w:basedOn w:val="914"/>
    <w:pPr>
      <w:pBdr/>
      <w:spacing w:after="240"/>
      <w:ind/>
      <w:jc w:val="left"/>
    </w:pPr>
    <w:rPr>
      <w:b/>
      <w:bCs/>
      <w:color w:val="241a61"/>
      <w:sz w:val="32"/>
      <w:szCs w:val="32"/>
    </w:rPr>
  </w:style>
  <w:style w:type="paragraph" w:styleId="920">
    <w:name w:val="List Paragraph"/>
    <w:basedOn w:val="914"/>
    <w:qFormat/>
    <w:pPr>
      <w:pBdr/>
      <w:spacing w:after="60"/>
      <w:ind w:left="720"/>
      <w:contextualSpacing w:val="true"/>
    </w:pPr>
  </w:style>
  <w:style w:type="paragraph" w:styleId="921">
    <w:name w:val="Requisito"/>
    <w:basedOn w:val="914"/>
    <w:pPr>
      <w:pBdr/>
      <w:spacing w:after="80"/>
      <w:ind w:left="425"/>
    </w:pPr>
  </w:style>
  <w:style w:type="paragraph" w:styleId="922">
    <w:name w:val="Texto de tabla"/>
    <w:basedOn w:val="914"/>
    <w:pPr>
      <w:pBdr/>
      <w:spacing w:after="20" w:before="0" w:line="240" w:lineRule="auto"/>
      <w:ind/>
      <w:jc w:val="left"/>
    </w:pPr>
    <w:rPr>
      <w:sz w:val="17"/>
      <w:szCs w:val="17"/>
    </w:rPr>
  </w:style>
  <w:style w:type="paragraph" w:styleId="923">
    <w:name w:val="Caption"/>
    <w:basedOn w:val="914"/>
    <w:qFormat/>
    <w:pPr>
      <w:pBdr/>
      <w:spacing w:after="160" w:before="60"/>
      <w:ind/>
      <w:jc w:val="center"/>
    </w:pPr>
    <w:rPr>
      <w:color w:val="404040"/>
      <w:sz w:val="18"/>
      <w:szCs w:val="18"/>
    </w:rPr>
  </w:style>
  <w:style w:type="paragraph" w:styleId="924">
    <w:name w:val="toc 1"/>
    <w:basedOn w:val="914"/>
    <w:pPr>
      <w:pBdr/>
      <w:tabs>
        <w:tab w:val="right" w:leader="dot" w:pos="9404"/>
      </w:tabs>
      <w:spacing w:after="10" w:before="60" w:line="240" w:lineRule="auto"/>
      <w:ind w:left="0"/>
      <w:jc w:val="left"/>
    </w:pPr>
    <w:rPr>
      <w:b/>
      <w:bCs/>
    </w:rPr>
  </w:style>
  <w:style w:type="paragraph" w:styleId="925">
    <w:name w:val="toc 2"/>
    <w:basedOn w:val="914"/>
    <w:pPr>
      <w:pBdr/>
      <w:tabs>
        <w:tab w:val="right" w:leader="dot" w:pos="9404"/>
      </w:tabs>
      <w:spacing w:after="10" w:before="0" w:line="240" w:lineRule="auto"/>
      <w:ind w:left="284"/>
      <w:jc w:val="left"/>
    </w:pPr>
    <w:rPr>
      <w:sz w:val="19"/>
      <w:szCs w:val="19"/>
    </w:rPr>
  </w:style>
  <w:style w:type="paragraph" w:styleId="926">
    <w:name w:val="toc 3"/>
    <w:basedOn w:val="914"/>
    <w:pPr>
      <w:pBdr/>
      <w:tabs>
        <w:tab w:val="right" w:leader="dot" w:pos="9404"/>
      </w:tabs>
      <w:spacing w:after="10" w:before="0" w:line="240" w:lineRule="auto"/>
      <w:ind w:left="567"/>
      <w:jc w:val="left"/>
    </w:pPr>
    <w:rPr>
      <w:sz w:val="19"/>
      <w:szCs w:val="19"/>
    </w:rPr>
  </w:style>
  <w:style w:type="paragraph" w:styleId="927">
    <w:name w:val="Header"/>
    <w:basedOn w:val="914"/>
    <w:pPr>
      <w:pBdr/>
      <w:spacing w:after="0"/>
      <w:ind/>
    </w:pPr>
  </w:style>
  <w:style w:type="paragraph" w:styleId="928">
    <w:name w:val="Footer"/>
    <w:basedOn w:val="914"/>
    <w:pPr>
      <w:pBdr/>
      <w:spacing w:after="0"/>
      <w:ind/>
    </w:pPr>
  </w:style>
  <w:style w:type="character" w:styleId="929">
    <w:name w:val="Hyperlink"/>
    <w:pPr>
      <w:pBdr/>
      <w:spacing/>
      <w:ind/>
    </w:pPr>
    <w:rPr>
      <w:color w:val="1f4e9a"/>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hyperlink" Target="https://www.theifab.com/es/laws-of-the-game-documents/" TargetMode="External"/><Relationship Id="rId12" Type="http://schemas.openxmlformats.org/officeDocument/2006/relationships/hyperlink" Target="https://amateur.fmf.mx/assets/Docs/Reglamentos/Sanciones.pdf" TargetMode="External"/><Relationship Id="rId13" Type="http://schemas.openxmlformats.org/officeDocument/2006/relationships/hyperlink" Target="https://www.iso.org/standard/72089.html" TargetMode="External"/><Relationship Id="rId14" Type="http://schemas.openxmlformats.org/officeDocument/2006/relationships/hyperlink" Target="https://www.diputados.gob.mx/LeyesBiblio/pdf/LFPDPPP.pdf" TargetMode="External"/><Relationship Id="rId15" Type="http://schemas.openxmlformats.org/officeDocument/2006/relationships/hyperlink" Target="https://imcufide.org/nosotros/" TargetMode="External"/><Relationship Id="rId16" Type="http://schemas.openxmlformats.org/officeDocument/2006/relationships/hyperlink" Target="https://www.contramuro.com/convocatoria-para-liga-municipal-de-futbol-morelia-2025-2026/" TargetMode="External"/><Relationship Id="rId17" Type="http://schemas.openxmlformats.org/officeDocument/2006/relationships/hyperlink" Target="https://www.contramuro.com/liga-municipal-futbol-morelia-regresa-2025-2026/" TargetMode="External"/><Relationship Id="rId18" Type="http://schemas.openxmlformats.org/officeDocument/2006/relationships/hyperlink" Target="https://owasp.org/www-project-application-security-verification-standard/" TargetMode="External"/><Relationship Id="rId19" Type="http://schemas.openxmlformats.org/officeDocument/2006/relationships/hyperlink" Target="https://pages.nist.gov/800-63-4/sp800-63b.html" TargetMode="External"/><Relationship Id="rId20" Type="http://schemas.openxmlformats.org/officeDocument/2006/relationships/hyperlink" Target="https://www.w3.org/TR/WCAG22/" TargetMode="External"/><Relationship Id="rId21" Type="http://schemas.openxmlformats.org/officeDocument/2006/relationships/hyperlink" Target="https://web.dev/articles/vitals" TargetMode="External"/><Relationship Id="rId22" Type="http://schemas.openxmlformats.org/officeDocument/2006/relationships/hyperlink" Target="https://www.rfc-editor.org/rfc/rfc7489"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dc:title>
  <dc:language>es-MX</dc:language>
  <cp:revision>4</cp:revision>
  <dcterms:created xsi:type="dcterms:W3CDTF">2026-10-06T00:00:00Z</dcterms:created>
  <dcterms:modified xsi:type="dcterms:W3CDTF">2026-10-07T05:59:19Z</dcterms:modified>
</cp:coreProperties>
</file>