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E9D0ED">
      <w:pPr>
        <w:pBdr>
          <w:top w:val="none" w:color="000000" w:sz="4" w:space="0"/>
          <w:left w:val="none" w:color="000000" w:sz="4" w:space="0"/>
          <w:bottom w:val="none" w:color="000000" w:sz="4" w:space="0"/>
          <w:right w:val="none" w:color="000000" w:sz="4" w:space="0"/>
        </w:pBdr>
        <w:spacing/>
        <w:ind w:right="120" w:firstLine="0" w:left="0"/>
        <w:rPr>
          <w:sz w:val="24"/>
          <w:szCs w:val="24"/>
        </w:rPr>
      </w:pPr>
      <w:r>
        <w:rPr>
          <w:sz w:val="24"/>
        </w:rPr>
      </w:r>
      <w:r>
        <w:rPr>
          <w:sz w:val="24"/>
          <w:szCs w:val="24"/>
        </w:rP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620"/>
      </w:tblGrid>
      <w:tr>
        <w:trPr>
          <w:trHeight w:val="0"/>
        </w:trPr>
        <w:tc>
          <w:tcPr>
            <w:tcBorders>
              <w:top w:val="single" w:color="292929" w:sz="4" w:space="0"/>
            </w:tcBorders>
            <w:tcMar>
              <w:left w:w="70" w:type="dxa"/>
              <w:top w:w="0" w:type="dxa"/>
              <w:right w:w="70" w:type="dxa"/>
              <w:bottom w:w="0" w:type="dxa"/>
            </w:tcMar>
            <w:tcW w:w="5620" w:type="dxa"/>
            <w:vAlign w:val="top"/>
          </w:tcPr>
          <w:p w14:paraId="2AD55C56">
            <w:pPr>
              <w:pBdr/>
              <w:spacing w:after="0" w:before="0" w:line="240" w:lineRule="auto"/>
              <w:ind/>
              <w:rPr/>
            </w:pPr>
            <w:r/>
            <w:r/>
          </w:p>
        </w:tc>
      </w:tr>
    </w:tbl>
    <w:p w14:paraId="31785C3D">
      <w:pPr>
        <w:pBdr>
          <w:top w:val="none" w:color="000000" w:sz="4" w:space="0"/>
          <w:left w:val="none" w:color="000000" w:sz="4" w:space="0"/>
          <w:bottom w:val="none" w:color="000000" w:sz="4" w:space="0"/>
          <w:right w:val="none" w:color="000000" w:sz="4" w:space="0"/>
        </w:pBdr>
        <w:spacing w:after="0" w:before="0" w:line="288" w:lineRule="auto"/>
        <w:ind w:right="0" w:firstLine="0" w:left="2880"/>
        <w:rPr>
          <w:sz w:val="24"/>
          <w:szCs w:val="24"/>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sz w:val="24"/>
          <w:szCs w:val="24"/>
        </w:rPr>
      </w:r>
    </w:p>
    <w:p w14:paraId="2086FD84">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1F98E9A5">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75881A4A">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38903D2D">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3A22AC93">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2F1DB534">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3FDB4043">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2D2D37C4">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3196E13D">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highlight w:val="none"/>
          <w:u w:val="none"/>
        </w:rPr>
      </w:r>
      <w:r>
        <w:rPr>
          <w:rFonts w:ascii="Arial" w:hAnsi="Arial" w:eastAsia="Arial" w:cs="Arial"/>
          <w:b/>
          <w:color w:val="5f5f5f"/>
          <w:sz w:val="30"/>
          <w:highlight w:val="none"/>
          <w:u w:val="none"/>
        </w:rPr>
      </w:r>
      <w:r>
        <w:rPr>
          <w:rFonts w:ascii="Arial" w:hAnsi="Arial" w:eastAsia="Arial" w:cs="Arial"/>
          <w:b/>
          <w:bCs/>
          <w:color w:val="5f5f5f"/>
          <w:sz w:val="30"/>
          <w:szCs w:val="30"/>
          <w:highlight w:val="none"/>
          <w:u w:val="none"/>
        </w:rPr>
      </w:r>
    </w:p>
    <w:p w14:paraId="4EFD6C00">
      <w:pPr>
        <w:pBdr>
          <w:top w:val="none" w:color="000000" w:sz="4" w:space="0"/>
          <w:left w:val="none" w:color="000000" w:sz="4" w:space="0"/>
          <w:bottom w:val="none" w:color="000000" w:sz="4" w:space="0"/>
          <w:right w:val="none" w:color="000000" w:sz="4" w:space="0"/>
        </w:pBdr>
        <w:spacing w:after="0" w:before="0" w:line="288" w:lineRule="auto"/>
        <w:ind w:right="0" w:firstLine="0" w:left="2880"/>
        <w:rPr>
          <w:rFonts w:ascii="Arial" w:hAnsi="Arial" w:eastAsia="Arial" w:cs="Arial"/>
          <w:b/>
          <w:bCs/>
          <w:color w:val="5f5f5f"/>
          <w:sz w:val="30"/>
          <w:szCs w:val="30"/>
          <w:highlight w:val="none"/>
          <w:u w:val="none"/>
        </w:rPr>
      </w:pPr>
      <w:r>
        <w:rPr>
          <w:rFonts w:ascii="Arial" w:hAnsi="Arial" w:eastAsia="Arial" w:cs="Arial"/>
          <w:b/>
          <w:color w:val="5f5f5f"/>
          <w:sz w:val="30"/>
          <w:u w:val="none"/>
        </w:rPr>
        <w:t xml:space="preserve">Especificación de requisitos de software</w:t>
      </w:r>
      <w:r>
        <w:rPr>
          <w:rFonts w:ascii="Arial" w:hAnsi="Arial" w:eastAsia="Arial" w:cs="Arial"/>
          <w:b/>
          <w:bCs/>
          <w:color w:val="5f5f5f"/>
          <w:sz w:val="30"/>
          <w:szCs w:val="30"/>
          <w:highlight w:val="none"/>
          <w:u w:val="none"/>
        </w:rPr>
      </w:r>
    </w:p>
    <w:p w14:paraId="0A0EA0DC">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198C13BA">
      <w:pPr>
        <w:pBdr>
          <w:top w:val="none" w:color="000000" w:sz="4" w:space="0"/>
          <w:left w:val="none" w:color="000000" w:sz="4" w:space="0"/>
          <w:bottom w:val="none" w:color="000000" w:sz="4" w:space="0"/>
          <w:right w:val="none" w:color="000000" w:sz="4" w:space="0"/>
        </w:pBdr>
        <w:spacing w:after="0" w:before="0" w:line="288" w:lineRule="auto"/>
        <w:ind w:right="0" w:firstLine="0" w:left="2880"/>
        <w:rPr/>
      </w:pPr>
      <w:r>
        <w:rPr>
          <w:rFonts w:ascii="Arial" w:hAnsi="Arial" w:eastAsia="Arial" w:cs="Arial"/>
          <w:b/>
          <w:color w:val="5f5f5f"/>
          <w:sz w:val="22"/>
          <w:u w:val="none"/>
        </w:rPr>
        <w:t xml:space="preserve">Proyecto: </w:t>
      </w:r>
      <w:r/>
    </w:p>
    <w:p w14:paraId="156F8F0D">
      <w:pPr>
        <w:pBdr>
          <w:top w:val="none" w:color="000000" w:sz="4" w:space="0"/>
          <w:left w:val="none" w:color="000000" w:sz="4" w:space="0"/>
          <w:bottom w:val="none" w:color="000000" w:sz="4" w:space="0"/>
          <w:right w:val="none" w:color="000000" w:sz="4" w:space="0"/>
        </w:pBdr>
        <w:spacing w:after="0" w:before="0" w:line="288" w:lineRule="auto"/>
        <w:ind w:right="0" w:hanging="283" w:left="2880"/>
        <w:rPr>
          <w:rFonts w:ascii="Arial" w:hAnsi="Arial" w:eastAsia="Arial" w:cs="Arial"/>
          <w:color w:val="241a61"/>
          <w:sz w:val="22"/>
          <w:szCs w:val="22"/>
          <w:highlight w:val="none"/>
          <w:u w:val="none"/>
        </w:rPr>
      </w:pPr>
      <w:r>
        <w:rPr>
          <w:rFonts w:ascii="Arial" w:hAnsi="Arial" w:eastAsia="Arial" w:cs="Arial"/>
          <w:color w:val="241a61"/>
          <w:sz w:val="22"/>
          <w:u w:val="none"/>
        </w:rPr>
        <w:t xml:space="preserve">Sistema de Gestión de la Liga Municipal de Futbol Amateur Morelia A.C. (SGLD) </w:t>
      </w:r>
      <w:r>
        <w:rPr>
          <w:sz w:val="24"/>
        </w:rPr>
      </w:r>
      <w:r>
        <w:rPr>
          <w:rFonts w:ascii="Arial" w:hAnsi="Arial" w:eastAsia="Arial" w:cs="Arial"/>
          <w:color w:val="241a61"/>
          <w:sz w:val="22"/>
          <w:szCs w:val="22"/>
          <w:highlight w:val="none"/>
          <w:u w:val="none"/>
        </w:rPr>
      </w:r>
    </w:p>
    <w:p w14:paraId="029468D4">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36C6C869">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197724ED">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3B4262DB">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728C8432">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14B05EC1">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417B7B62">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2C42B012">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76572A79">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73AC7BE3">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300BAF17">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09CE9DB2">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29EBA612">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sz w:val="24"/>
          <w:szCs w:val="24"/>
        </w:rPr>
      </w:r>
      <w:r>
        <w:rPr>
          <w:sz w:val="24"/>
          <w:szCs w:val="24"/>
        </w:rPr>
      </w:r>
      <w:r>
        <w:rPr>
          <w:sz w:val="24"/>
          <w:szCs w:val="24"/>
        </w:rPr>
      </w:r>
    </w:p>
    <w:p w14:paraId="4BFF6C50">
      <w:pPr>
        <w:pBdr>
          <w:top w:val="none" w:color="000000" w:sz="4" w:space="0"/>
          <w:left w:val="none" w:color="000000" w:sz="4" w:space="0"/>
          <w:bottom w:val="none" w:color="000000" w:sz="4" w:space="0"/>
          <w:right w:val="none" w:color="000000" w:sz="4" w:space="0"/>
        </w:pBdr>
        <w:spacing w:after="0" w:before="0" w:line="288" w:lineRule="auto"/>
        <w:ind w:right="0" w:hanging="283" w:left="2880"/>
        <w:rPr>
          <w:sz w:val="24"/>
          <w:szCs w:val="24"/>
        </w:rPr>
      </w:pPr>
      <w:r>
        <w:rPr>
          <w:rFonts w:ascii="Arial" w:hAnsi="Arial" w:eastAsia="Arial" w:cs="Arial"/>
          <w:color w:val="241a61"/>
          <w:sz w:val="22"/>
          <w:highlight w:val="none"/>
          <w:u w:val="none"/>
        </w:rPr>
      </w:r>
      <w:r>
        <w:rPr>
          <w:rFonts w:ascii="Arial" w:hAnsi="Arial" w:eastAsia="Arial" w:cs="Arial"/>
          <w:color w:val="241a61"/>
          <w:sz w:val="22"/>
          <w:highlight w:val="none"/>
          <w:u w:val="none"/>
        </w:rPr>
      </w:r>
      <w:r>
        <w:rPr>
          <w:sz w:val="24"/>
          <w:szCs w:val="24"/>
        </w:rPr>
      </w:r>
    </w:p>
    <w:p w14:paraId="234A535F">
      <w:pPr>
        <w:pBdr>
          <w:top w:val="none" w:color="000000" w:sz="4" w:space="0"/>
          <w:left w:val="none" w:color="000000" w:sz="4" w:space="0"/>
          <w:bottom w:val="none" w:color="000000" w:sz="4" w:space="0"/>
          <w:right w:val="none" w:color="000000" w:sz="4" w:space="0"/>
        </w:pBdr>
        <w:spacing/>
        <w:ind w:right="120" w:firstLine="0" w:left="120"/>
        <w:rPr/>
      </w:pPr>
      <w:r>
        <w:rPr>
          <w:sz w:val="24"/>
        </w:rPr>
      </w:r>
      <w:r/>
    </w:p>
    <w:tbl>
      <w:tblPr>
        <w:tblStyle w:val="73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0"/>
        <w:gridCol w:w="685"/>
        <w:gridCol w:w="2860"/>
      </w:tblGrid>
      <w:tr>
        <w:trPr>
          <w:trHeight w:val="0"/>
        </w:trPr>
        <w:tc>
          <w:tcPr>
            <w:tcBorders>
              <w:top w:val="single" w:color="292929" w:sz="4" w:space="0"/>
            </w:tcBorders>
            <w:tcMar>
              <w:left w:w="70" w:type="dxa"/>
              <w:top w:w="0" w:type="dxa"/>
              <w:right w:w="70" w:type="dxa"/>
              <w:bottom w:w="0" w:type="dxa"/>
            </w:tcMar>
            <w:tcW w:w="1990" w:type="dxa"/>
            <w:vAlign w:val="center"/>
          </w:tcPr>
          <w:p w14:paraId="44CCECB6">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
          </w:p>
        </w:tc>
        <w:tc>
          <w:tcPr>
            <w:tcBorders>
              <w:top w:val="single" w:color="292929" w:sz="4" w:space="0"/>
            </w:tcBorders>
            <w:tcMar>
              <w:left w:w="70" w:type="dxa"/>
              <w:top w:w="0" w:type="dxa"/>
              <w:right w:w="70" w:type="dxa"/>
              <w:bottom w:w="0" w:type="dxa"/>
            </w:tcMar>
            <w:tcW w:w="685" w:type="dxa"/>
            <w:vAlign w:val="center"/>
          </w:tcPr>
          <w:p w14:paraId="4DA52934">
            <w:pPr>
              <w:pBdr/>
              <w:spacing w:after="0" w:before="0" w:line="240" w:lineRule="auto"/>
              <w:ind/>
              <w:rPr/>
            </w:pPr>
            <w:r/>
            <w:r/>
          </w:p>
        </w:tc>
        <w:tc>
          <w:tcPr>
            <w:tcBorders>
              <w:top w:val="single" w:color="292929" w:sz="4" w:space="0"/>
            </w:tcBorders>
            <w:tcMar>
              <w:left w:w="70" w:type="dxa"/>
              <w:top w:w="0" w:type="dxa"/>
              <w:right w:w="70" w:type="dxa"/>
              <w:bottom w:w="0" w:type="dxa"/>
            </w:tcMar>
            <w:tcW w:w="2860" w:type="dxa"/>
            <w:vAlign w:val="top"/>
          </w:tcPr>
          <w:p w14:paraId="52BA0684">
            <w:pPr>
              <w:pBdr/>
              <w:spacing w:after="0" w:before="0" w:line="240" w:lineRule="auto"/>
              <w:ind/>
              <w:rPr/>
            </w:pPr>
            <w:r/>
            <w:r/>
          </w:p>
        </w:tc>
      </w:tr>
    </w:tbl>
    <w:p w14:paraId="3BFFB68D">
      <w:pPr>
        <w:pStyle w:val="919"/>
        <w:pBdr/>
        <w:spacing/>
        <w:ind/>
        <w:rPr/>
      </w:pPr>
      <w:r>
        <w:rPr>
          <w:sz w:val="24"/>
        </w:rPr>
      </w:r>
      <w:r>
        <w:rPr>
          <w:highlight w:val="none"/>
        </w:rPr>
      </w:r>
      <w:r/>
    </w:p>
    <w:p w14:paraId="79973307">
      <w:pPr>
        <w:pStyle w:val="919"/>
        <w:pBdr/>
        <w:spacing/>
        <w:ind/>
        <w:rPr>
          <w:highlight w:val="none"/>
        </w:rPr>
      </w:pPr>
      <w:r>
        <w:rPr>
          <w:highlight w:val="none"/>
        </w:rPr>
      </w:r>
      <w:r>
        <w:rPr>
          <w:highlight w:val="none"/>
        </w:rPr>
      </w:r>
      <w:r>
        <w:rPr>
          <w:highlight w:val="none"/>
        </w:rPr>
      </w:r>
    </w:p>
    <w:p>
      <w:pPr>
        <w:pStyle w:val="919"/>
        <w:pBdr/>
        <w:spacing/>
        <w:ind/>
        <w:rPr>
          <w:highlight w:val="none"/>
        </w:rPr>
      </w:pPr>
      <w:r>
        <w:t xml:space="preserve">Contenido</w:t>
      </w:r>
      <w:r>
        <w:rPr>
          <w:highlight w:val="none"/>
        </w:rPr>
      </w:r>
    </w:p>
    <w:p>
      <w:pPr>
        <w:pStyle w:val="924"/>
        <w:pBdr/>
        <w:spacing/>
        <w:ind/>
        <w:rPr/>
      </w:pPr>
      <w:r>
        <w:fldChar w:fldCharType="begin"/>
      </w:r>
      <w:r>
        <w:instrText xml:space="preserve"> TOC \o "1-3" \h \z \u </w:instrText>
      </w:r>
      <w:r>
        <w:fldChar w:fldCharType="separate"/>
      </w:r>
      <w:hyperlink w:tooltip="#_Toc100001" w:anchor="_Toc100001" w:history="1">
        <w:r>
          <w:t xml:space="preserve">1. Introducción</w:t>
        </w:r>
        <w:r>
          <w:tab/>
        </w:r>
        <w:r>
          <w:t xml:space="preserve">2</w:t>
        </w:r>
      </w:hyperlink>
      <w:r/>
      <w:r/>
    </w:p>
    <w:p>
      <w:pPr>
        <w:pStyle w:val="925"/>
        <w:pBdr/>
        <w:spacing/>
        <w:ind/>
        <w:rPr/>
      </w:pPr>
      <w:r/>
      <w:hyperlink w:tooltip="#_Toc100002" w:anchor="_Toc100002" w:history="1">
        <w:r>
          <w:t xml:space="preserve">1.1 Propósito</w:t>
        </w:r>
        <w:r>
          <w:tab/>
        </w:r>
        <w:r>
          <w:t xml:space="preserve">2</w:t>
        </w:r>
      </w:hyperlink>
      <w:r/>
      <w:r/>
    </w:p>
    <w:p>
      <w:pPr>
        <w:pStyle w:val="925"/>
        <w:pBdr/>
        <w:spacing/>
        <w:ind/>
        <w:rPr/>
      </w:pPr>
      <w:r/>
      <w:hyperlink w:tooltip="#_Toc100003" w:anchor="_Toc100003" w:history="1">
        <w:r>
          <w:t xml:space="preserve">1.2 Alcance</w:t>
        </w:r>
        <w:r>
          <w:tab/>
        </w:r>
        <w:r>
          <w:t xml:space="preserve">2</w:t>
        </w:r>
      </w:hyperlink>
      <w:r/>
      <w:r/>
    </w:p>
    <w:p>
      <w:pPr>
        <w:pStyle w:val="925"/>
        <w:pBdr/>
        <w:spacing/>
        <w:ind/>
        <w:rPr/>
      </w:pPr>
      <w:r/>
      <w:hyperlink w:tooltip="#_Toc100004" w:anchor="_Toc100004" w:history="1">
        <w:r>
          <w:t xml:space="preserve">1.3 Personal involucrado</w:t>
        </w:r>
        <w:r>
          <w:tab/>
        </w:r>
        <w:r>
          <w:t xml:space="preserve">4</w:t>
        </w:r>
      </w:hyperlink>
      <w:r/>
      <w:r/>
    </w:p>
    <w:p>
      <w:pPr>
        <w:pStyle w:val="925"/>
        <w:pBdr/>
        <w:spacing/>
        <w:ind/>
        <w:rPr/>
      </w:pPr>
      <w:r/>
      <w:hyperlink w:tooltip="#_Toc100005" w:anchor="_Toc100005" w:history="1">
        <w:r>
          <w:t xml:space="preserve">1.4 Definiciones, acrónimos y abreviaturas</w:t>
        </w:r>
        <w:r>
          <w:tab/>
        </w:r>
        <w:r>
          <w:t xml:space="preserve">5</w:t>
        </w:r>
      </w:hyperlink>
      <w:r/>
      <w:r/>
    </w:p>
    <w:p>
      <w:pPr>
        <w:pStyle w:val="925"/>
        <w:pBdr/>
        <w:spacing/>
        <w:ind/>
        <w:rPr/>
      </w:pPr>
      <w:r/>
      <w:hyperlink w:tooltip="#_Toc100006" w:anchor="_Toc100006" w:history="1">
        <w:r>
          <w:t xml:space="preserve">1.5 Referencias</w:t>
        </w:r>
        <w:r>
          <w:tab/>
        </w:r>
        <w:r>
          <w:t xml:space="preserve">7</w:t>
        </w:r>
      </w:hyperlink>
      <w:r/>
      <w:r/>
    </w:p>
    <w:p>
      <w:pPr>
        <w:pStyle w:val="924"/>
        <w:pBdr/>
        <w:spacing/>
        <w:ind/>
        <w:rPr/>
      </w:pPr>
      <w:r/>
      <w:hyperlink w:tooltip="#_Toc100007" w:anchor="_Toc100007" w:history="1">
        <w:r>
          <w:t xml:space="preserve">2. Descripción general</w:t>
        </w:r>
        <w:r>
          <w:tab/>
        </w:r>
        <w:r>
          <w:t xml:space="preserve">9</w:t>
        </w:r>
      </w:hyperlink>
      <w:r/>
      <w:r/>
    </w:p>
    <w:p>
      <w:pPr>
        <w:pStyle w:val="925"/>
        <w:pBdr/>
        <w:spacing/>
        <w:ind/>
        <w:rPr/>
      </w:pPr>
      <w:r/>
      <w:hyperlink w:tooltip="#_Toc100008" w:anchor="_Toc100008" w:history="1">
        <w:r>
          <w:t xml:space="preserve">2.1 Perspectiva del producto</w:t>
        </w:r>
        <w:r>
          <w:tab/>
        </w:r>
        <w:r>
          <w:t xml:space="preserve">9</w:t>
        </w:r>
      </w:hyperlink>
      <w:r/>
      <w:r/>
    </w:p>
    <w:p>
      <w:pPr>
        <w:pStyle w:val="925"/>
        <w:pBdr/>
        <w:spacing/>
        <w:ind/>
        <w:rPr/>
      </w:pPr>
      <w:r/>
      <w:hyperlink w:tooltip="#_Toc100009" w:anchor="_Toc100009" w:history="1">
        <w:r>
          <w:t xml:space="preserve">2.2 Funcionalidad del producto</w:t>
        </w:r>
        <w:r>
          <w:tab/>
        </w:r>
        <w:r>
          <w:t xml:space="preserve">9</w:t>
        </w:r>
      </w:hyperlink>
      <w:r/>
      <w:r/>
    </w:p>
    <w:p>
      <w:pPr>
        <w:pStyle w:val="925"/>
        <w:pBdr/>
        <w:spacing/>
        <w:ind/>
        <w:rPr/>
      </w:pPr>
      <w:r/>
      <w:hyperlink w:tooltip="#_Toc100010" w:anchor="_Toc100010" w:history="1">
        <w:r>
          <w:t xml:space="preserve">2.3 Características de los usuarios</w:t>
        </w:r>
        <w:r>
          <w:tab/>
        </w:r>
        <w:r>
          <w:t xml:space="preserve">10</w:t>
        </w:r>
      </w:hyperlink>
      <w:r/>
      <w:r/>
    </w:p>
    <w:p>
      <w:pPr>
        <w:pStyle w:val="925"/>
        <w:pBdr/>
        <w:spacing/>
        <w:ind/>
        <w:rPr/>
      </w:pPr>
      <w:r/>
      <w:hyperlink w:tooltip="#_Toc100011" w:anchor="_Toc100011" w:history="1">
        <w:r>
          <w:t xml:space="preserve">2.4 Restricciones</w:t>
        </w:r>
        <w:r>
          <w:tab/>
        </w:r>
        <w:r>
          <w:t xml:space="preserve">11</w:t>
        </w:r>
      </w:hyperlink>
      <w:r/>
      <w:r/>
    </w:p>
    <w:p>
      <w:pPr>
        <w:pStyle w:val="924"/>
        <w:pBdr/>
        <w:spacing/>
        <w:ind/>
        <w:rPr/>
      </w:pPr>
      <w:r/>
      <w:hyperlink w:tooltip="#_Toc100012" w:anchor="_Toc100012" w:history="1">
        <w:r>
          <w:t xml:space="preserve">3. Requisitos específicos</w:t>
        </w:r>
        <w:r>
          <w:tab/>
        </w:r>
        <w:r>
          <w:t xml:space="preserve">12</w:t>
        </w:r>
      </w:hyperlink>
      <w:r/>
      <w:r/>
    </w:p>
    <w:p>
      <w:pPr>
        <w:pStyle w:val="925"/>
        <w:pBdr/>
        <w:spacing/>
        <w:ind/>
        <w:rPr/>
      </w:pPr>
      <w:r/>
      <w:hyperlink w:tooltip="#_Toc100013" w:anchor="_Toc100013" w:history="1">
        <w:r>
          <w:t xml:space="preserve">3.1 Requisitos comunes de las interfaces</w:t>
        </w:r>
        <w:r>
          <w:tab/>
        </w:r>
        <w:r>
          <w:t xml:space="preserve">12</w:t>
        </w:r>
      </w:hyperlink>
      <w:r/>
      <w:r/>
    </w:p>
    <w:p>
      <w:pPr>
        <w:pStyle w:val="926"/>
        <w:pBdr/>
        <w:spacing/>
        <w:ind/>
        <w:rPr/>
      </w:pPr>
      <w:r/>
      <w:hyperlink w:tooltip="#_Toc100014" w:anchor="_Toc100014" w:history="1">
        <w:r>
          <w:t xml:space="preserve">3.1.1 Interfaces de usuario</w:t>
        </w:r>
        <w:r>
          <w:tab/>
        </w:r>
        <w:r>
          <w:t xml:space="preserve">12</w:t>
        </w:r>
      </w:hyperlink>
      <w:r/>
      <w:r/>
    </w:p>
    <w:p>
      <w:pPr>
        <w:pStyle w:val="926"/>
        <w:pBdr/>
        <w:spacing/>
        <w:ind/>
        <w:rPr/>
      </w:pPr>
      <w:r/>
      <w:hyperlink w:tooltip="#_Toc100015" w:anchor="_Toc100015" w:history="1">
        <w:r>
          <w:t xml:space="preserve">3.1.2 Interfaces de hardware</w:t>
        </w:r>
        <w:r>
          <w:tab/>
        </w:r>
        <w:r>
          <w:t xml:space="preserve">12</w:t>
        </w:r>
      </w:hyperlink>
      <w:r/>
      <w:r/>
    </w:p>
    <w:p>
      <w:pPr>
        <w:pStyle w:val="926"/>
        <w:pBdr/>
        <w:spacing/>
        <w:ind/>
        <w:rPr/>
      </w:pPr>
      <w:r/>
      <w:hyperlink w:tooltip="#_Toc100016" w:anchor="_Toc100016" w:history="1">
        <w:r>
          <w:t xml:space="preserve">3.1.3 Interfaces de software</w:t>
        </w:r>
        <w:r>
          <w:tab/>
        </w:r>
        <w:r>
          <w:t xml:space="preserve">13</w:t>
        </w:r>
      </w:hyperlink>
      <w:r/>
      <w:r/>
    </w:p>
    <w:p>
      <w:pPr>
        <w:pStyle w:val="926"/>
        <w:pBdr/>
        <w:spacing/>
        <w:ind/>
        <w:rPr/>
      </w:pPr>
      <w:r/>
      <w:hyperlink w:tooltip="#_Toc100017" w:anchor="_Toc100017" w:history="1">
        <w:r>
          <w:t xml:space="preserve">3.1.4 Interfaces de comunicación</w:t>
        </w:r>
        <w:r>
          <w:tab/>
        </w:r>
        <w:r>
          <w:t xml:space="preserve">13</w:t>
        </w:r>
      </w:hyperlink>
      <w:r/>
      <w:r/>
    </w:p>
    <w:p>
      <w:pPr>
        <w:pStyle w:val="925"/>
        <w:pBdr/>
        <w:spacing/>
        <w:ind/>
        <w:rPr/>
      </w:pPr>
      <w:r/>
      <w:hyperlink w:tooltip="#_Toc100018" w:anchor="_Toc100018" w:history="1">
        <w:r>
          <w:t xml:space="preserve">3.2 Requisitos funcionales</w:t>
        </w:r>
        <w:r>
          <w:tab/>
        </w:r>
        <w:r>
          <w:t xml:space="preserve">13</w:t>
        </w:r>
      </w:hyperlink>
      <w:r/>
      <w:r/>
    </w:p>
    <w:p>
      <w:pPr>
        <w:pStyle w:val="926"/>
        <w:pBdr/>
        <w:spacing/>
        <w:ind/>
        <w:rPr/>
      </w:pPr>
      <w:r/>
      <w:hyperlink w:tooltip="#_Toc100019" w:anchor="_Toc100019" w:history="1">
        <w:r>
          <w:t xml:space="preserve">3.2.1 Requisito funcional 1: Estructura deportiva, clubes y jugadores</w:t>
        </w:r>
        <w:r>
          <w:tab/>
        </w:r>
        <w:r>
          <w:t xml:space="preserve">13</w:t>
        </w:r>
      </w:hyperlink>
      <w:r/>
      <w:r/>
    </w:p>
    <w:p>
      <w:pPr>
        <w:pStyle w:val="926"/>
        <w:pBdr/>
        <w:spacing/>
        <w:ind/>
        <w:rPr/>
      </w:pPr>
      <w:r/>
      <w:hyperlink w:tooltip="#_Toc100024" w:anchor="_Toc100024" w:history="1">
        <w:r>
          <w:t xml:space="preserve">3.2.2 Requisito funcional 2: Canchas y programación</w:t>
        </w:r>
        <w:r>
          <w:tab/>
        </w:r>
        <w:r>
          <w:t xml:space="preserve">15</w:t>
        </w:r>
      </w:hyperlink>
      <w:r/>
      <w:r/>
    </w:p>
    <w:p>
      <w:pPr>
        <w:pStyle w:val="926"/>
        <w:pBdr/>
        <w:spacing/>
        <w:ind/>
        <w:rPr/>
      </w:pPr>
      <w:r/>
      <w:hyperlink w:tooltip="#_Toc100028" w:anchor="_Toc100028" w:history="1">
        <w:r>
          <w:t xml:space="preserve">3.2.3 Requisito funcional 3: Resultados, estadísticas y disciplina</w:t>
        </w:r>
        <w:r>
          <w:tab/>
        </w:r>
        <w:r>
          <w:t xml:space="preserve">16</w:t>
        </w:r>
      </w:hyperlink>
      <w:r/>
      <w:r/>
    </w:p>
    <w:p>
      <w:pPr>
        <w:pStyle w:val="926"/>
        <w:pBdr/>
        <w:spacing/>
        <w:ind/>
        <w:rPr/>
      </w:pPr>
      <w:r/>
      <w:hyperlink w:tooltip="#_Toc100032" w:anchor="_Toc100032" w:history="1">
        <w:r>
          <w:t xml:space="preserve">3.2.4 Requisito funcional 4: Fases finales, administración y portal</w:t>
        </w:r>
        <w:r>
          <w:tab/>
        </w:r>
        <w:r>
          <w:t xml:space="preserve">18</w:t>
        </w:r>
      </w:hyperlink>
      <w:r/>
      <w:r/>
    </w:p>
    <w:p>
      <w:pPr>
        <w:pStyle w:val="925"/>
        <w:pBdr/>
        <w:spacing/>
        <w:ind/>
        <w:rPr/>
      </w:pPr>
      <w:r/>
      <w:hyperlink w:tooltip="#_Toc100037" w:anchor="_Toc100037" w:history="1">
        <w:r>
          <w:t xml:space="preserve">3.3 Requisitos no funcionales</w:t>
        </w:r>
        <w:r>
          <w:tab/>
        </w:r>
        <w:r>
          <w:t xml:space="preserve">20</w:t>
        </w:r>
      </w:hyperlink>
      <w:r/>
      <w:r/>
    </w:p>
    <w:p>
      <w:pPr>
        <w:pStyle w:val="926"/>
        <w:pBdr/>
        <w:spacing/>
        <w:ind/>
        <w:rPr/>
      </w:pPr>
      <w:r/>
      <w:hyperlink w:tooltip="#_Toc200901" w:anchor="_Toc200901" w:history="1">
        <w:r>
          <w:t xml:space="preserve">3.3.1 Adecuación funcional</w:t>
        </w:r>
        <w:r>
          <w:tab/>
        </w:r>
        <w:r>
          <w:t xml:space="preserve">20</w:t>
        </w:r>
      </w:hyperlink>
      <w:r/>
      <w:r/>
    </w:p>
    <w:p>
      <w:pPr>
        <w:pStyle w:val="926"/>
        <w:pBdr/>
        <w:spacing/>
        <w:ind/>
        <w:rPr/>
      </w:pPr>
      <w:r/>
      <w:hyperlink w:tooltip="#_Toc200902" w:anchor="_Toc200902" w:history="1">
        <w:r>
          <w:t xml:space="preserve">3.3.2 Eficiencia de desempeño</w:t>
        </w:r>
        <w:r>
          <w:tab/>
        </w:r>
        <w:r>
          <w:t xml:space="preserve">21</w:t>
        </w:r>
      </w:hyperlink>
      <w:r/>
      <w:r/>
    </w:p>
    <w:p>
      <w:pPr>
        <w:pStyle w:val="926"/>
        <w:pBdr/>
        <w:spacing/>
        <w:ind/>
        <w:rPr/>
      </w:pPr>
      <w:r/>
      <w:hyperlink w:tooltip="#_Toc200903" w:anchor="_Toc200903" w:history="1">
        <w:r>
          <w:t xml:space="preserve">3.3.3 Compatibilidad</w:t>
        </w:r>
        <w:r>
          <w:tab/>
        </w:r>
        <w:r>
          <w:t xml:space="preserve">21</w:t>
        </w:r>
      </w:hyperlink>
      <w:r/>
      <w:r/>
    </w:p>
    <w:p>
      <w:pPr>
        <w:pStyle w:val="926"/>
        <w:pBdr/>
        <w:spacing/>
        <w:ind/>
        <w:rPr/>
      </w:pPr>
      <w:r/>
      <w:hyperlink w:tooltip="#_Toc200904" w:anchor="_Toc200904" w:history="1">
        <w:r>
          <w:t xml:space="preserve">3.3.4 Capacidad de interacción</w:t>
        </w:r>
        <w:r>
          <w:tab/>
        </w:r>
        <w:r>
          <w:t xml:space="preserve">22</w:t>
        </w:r>
      </w:hyperlink>
      <w:r/>
      <w:r/>
    </w:p>
    <w:p>
      <w:pPr>
        <w:pStyle w:val="926"/>
        <w:pBdr/>
        <w:spacing/>
        <w:ind/>
        <w:rPr/>
      </w:pPr>
      <w:r/>
      <w:hyperlink w:tooltip="#_Toc200905" w:anchor="_Toc200905" w:history="1">
        <w:r>
          <w:t xml:space="preserve">3.3.5 Fiabilidad</w:t>
        </w:r>
        <w:r>
          <w:tab/>
        </w:r>
        <w:r>
          <w:t xml:space="preserve">22</w:t>
        </w:r>
      </w:hyperlink>
      <w:r/>
      <w:r/>
    </w:p>
    <w:p>
      <w:pPr>
        <w:pStyle w:val="926"/>
        <w:pBdr/>
        <w:spacing/>
        <w:ind/>
        <w:rPr/>
      </w:pPr>
      <w:r/>
      <w:hyperlink w:tooltip="#_Toc200906" w:anchor="_Toc200906" w:history="1">
        <w:r>
          <w:t xml:space="preserve">3.3.6 Seguridad</w:t>
        </w:r>
        <w:r>
          <w:tab/>
        </w:r>
        <w:r>
          <w:t xml:space="preserve">23</w:t>
        </w:r>
      </w:hyperlink>
      <w:r/>
      <w:r/>
    </w:p>
    <w:p>
      <w:pPr>
        <w:pStyle w:val="926"/>
        <w:pBdr/>
        <w:spacing/>
        <w:ind/>
        <w:rPr/>
      </w:pPr>
      <w:r/>
      <w:hyperlink w:tooltip="#_Toc200907" w:anchor="_Toc200907" w:history="1">
        <w:r>
          <w:t xml:space="preserve">3.3.7 Mantenibilidad</w:t>
        </w:r>
        <w:r>
          <w:tab/>
        </w:r>
        <w:r>
          <w:t xml:space="preserve">24</w:t>
        </w:r>
      </w:hyperlink>
      <w:r/>
      <w:r/>
    </w:p>
    <w:p>
      <w:pPr>
        <w:pStyle w:val="926"/>
        <w:pBdr/>
        <w:spacing/>
        <w:ind/>
        <w:rPr/>
      </w:pPr>
      <w:r/>
      <w:hyperlink w:tooltip="#_Toc200908" w:anchor="_Toc200908" w:history="1">
        <w:r>
          <w:t xml:space="preserve">3.3.8 Flexibilidad</w:t>
        </w:r>
        <w:r>
          <w:tab/>
        </w:r>
        <w:r>
          <w:t xml:space="preserve">25</w:t>
        </w:r>
      </w:hyperlink>
      <w:r/>
      <w:r/>
    </w:p>
    <w:p>
      <w:pPr>
        <w:pStyle w:val="926"/>
        <w:pBdr/>
        <w:spacing/>
        <w:ind/>
        <w:rPr/>
      </w:pPr>
      <w:r/>
      <w:hyperlink w:tooltip="#_Toc200909" w:anchor="_Toc200909" w:history="1">
        <w:r>
          <w:t xml:space="preserve">3.3.9 Protección</w:t>
        </w:r>
        <w:r>
          <w:tab/>
        </w:r>
        <w:r>
          <w:t xml:space="preserve">25</w:t>
        </w:r>
      </w:hyperlink>
      <w:r/>
      <w:r/>
    </w:p>
    <w:p>
      <w:pPr>
        <w:pStyle w:val="925"/>
        <w:pBdr/>
        <w:spacing/>
        <w:ind/>
        <w:rPr/>
      </w:pPr>
      <w:r/>
      <w:hyperlink w:tooltip="#_Toc100042" w:anchor="_Toc100042" w:history="1">
        <w:r>
          <w:t xml:space="preserve">3.4 Otros requisitos</w:t>
        </w:r>
        <w:r>
          <w:tab/>
        </w:r>
        <w:r>
          <w:t xml:space="preserve">25</w:t>
        </w:r>
      </w:hyperlink>
      <w:r/>
      <w:r/>
    </w:p>
    <w:p>
      <w:pPr>
        <w:pStyle w:val="926"/>
        <w:pBdr/>
        <w:spacing/>
        <w:ind/>
        <w:rPr/>
      </w:pPr>
      <w:r/>
      <w:hyperlink w:tooltip="#_Toc100043" w:anchor="_Toc100043" w:history="1">
        <w:r>
          <w:t xml:space="preserve">3.4.1 Requisitos legales y de privacidad</w:t>
        </w:r>
        <w:r>
          <w:tab/>
        </w:r>
        <w:r>
          <w:t xml:space="preserve">25</w:t>
        </w:r>
      </w:hyperlink>
      <w:r/>
      <w:r/>
    </w:p>
    <w:p>
      <w:pPr>
        <w:pStyle w:val="924"/>
        <w:pBdr/>
        <w:spacing/>
        <w:ind/>
        <w:rPr/>
      </w:pPr>
      <w:r/>
      <w:hyperlink w:tooltip="#_Toc100044" w:anchor="_Toc100044" w:history="1">
        <w:r>
          <w:t xml:space="preserve">4. Modelado del sistema</w:t>
        </w:r>
        <w:r>
          <w:tab/>
        </w:r>
        <w:r>
          <w:t xml:space="preserve">26</w:t>
        </w:r>
      </w:hyperlink>
      <w:r/>
      <w:r/>
    </w:p>
    <w:p>
      <w:pPr>
        <w:pStyle w:val="925"/>
        <w:pBdr/>
        <w:spacing/>
        <w:ind/>
        <w:rPr/>
      </w:pPr>
      <w:r/>
      <w:hyperlink w:tooltip="#_Toc100045" w:anchor="_Toc100045" w:history="1">
        <w:r>
          <w:t xml:space="preserve">4.1 Diagrama BPMN</w:t>
        </w:r>
        <w:r>
          <w:tab/>
        </w:r>
        <w:r>
          <w:t xml:space="preserve">26</w:t>
        </w:r>
      </w:hyperlink>
      <w:r/>
      <w:r/>
    </w:p>
    <w:p>
      <w:pPr>
        <w:pStyle w:val="925"/>
        <w:pBdr/>
        <w:spacing/>
        <w:ind/>
        <w:rPr/>
      </w:pPr>
      <w:r/>
      <w:hyperlink w:tooltip="#_Toc100046" w:anchor="_Toc100046" w:history="1">
        <w:r>
          <w:t xml:space="preserve">4.2 Diseño de Interfaz</w:t>
        </w:r>
        <w:r>
          <w:tab/>
        </w:r>
        <w:r>
          <w:t xml:space="preserve">26</w:t>
        </w:r>
      </w:hyperlink>
      <w:r/>
      <w:r/>
    </w:p>
    <w:p>
      <w:pPr>
        <w:pStyle w:val="925"/>
        <w:pBdr/>
        <w:spacing/>
        <w:ind/>
        <w:rPr/>
      </w:pPr>
      <w:r/>
      <w:hyperlink w:tooltip="#_Toc100047" w:anchor="_Toc100047" w:history="1">
        <w:r>
          <w:t xml:space="preserve">4.3 Diseño de Base de Datos</w:t>
        </w:r>
        <w:r>
          <w:tab/>
        </w:r>
        <w:r>
          <w:t xml:space="preserve">26</w:t>
        </w:r>
      </w:hyperlink>
      <w:r/>
      <w:r/>
    </w:p>
    <w:p>
      <w:pPr>
        <w:pStyle w:val="925"/>
        <w:pBdr/>
        <w:spacing/>
        <w:ind/>
        <w:rPr/>
      </w:pPr>
      <w:r/>
      <w:hyperlink w:tooltip="#_Toc100048" w:anchor="_Toc100048" w:history="1">
        <w:r>
          <w:t xml:space="preserve">4.4 Diseño jerárquico</w:t>
        </w:r>
        <w:r>
          <w:tab/>
        </w:r>
        <w:r>
          <w:t xml:space="preserve">26</w:t>
        </w:r>
      </w:hyperlink>
      <w:r/>
      <w:r/>
    </w:p>
    <w:p>
      <w:pPr>
        <w:pStyle w:val="925"/>
        <w:pBdr/>
        <w:spacing/>
        <w:ind/>
        <w:rPr/>
      </w:pPr>
      <w:r/>
      <w:hyperlink w:tooltip="#_Toc100049" w:anchor="_Toc100049" w:history="1">
        <w:r>
          <w:t xml:space="preserve">4.5 Arquitectura</w:t>
        </w:r>
        <w:r>
          <w:tab/>
        </w:r>
        <w:r>
          <w:t xml:space="preserve">26</w:t>
        </w:r>
      </w:hyperlink>
      <w:r/>
      <w:r/>
    </w:p>
    <w:p>
      <w:pPr>
        <w:pStyle w:val="924"/>
        <w:pBdr/>
        <w:spacing/>
        <w:ind/>
        <w:rPr/>
      </w:pPr>
      <w:r/>
      <w:hyperlink w:tooltip="#_Toc100050" w:anchor="_Toc100050" w:history="1">
        <w:r>
          <w:t xml:space="preserve">Anexo A. Matriz de trazabilidad de requisitos funcionales</w:t>
        </w:r>
        <w:r>
          <w:tab/>
        </w:r>
        <w:r>
          <w:t xml:space="preserve">28</w:t>
        </w:r>
      </w:hyperlink>
      <w:r/>
      <w:r/>
    </w:p>
    <w:p>
      <w:pPr>
        <w:pStyle w:val="924"/>
        <w:pBdr/>
        <w:spacing/>
        <w:ind/>
        <w:rPr/>
      </w:pPr>
      <w:r/>
      <w:hyperlink w:tooltip="#_Toc100051" w:anchor="_Toc100051" w:history="1">
        <w:r>
          <w:t xml:space="preserve">Anexo B. Puntos por validar con la Liga</w:t>
        </w:r>
        <w:r>
          <w:tab/>
        </w:r>
        <w:r>
          <w:t xml:space="preserve">28</w:t>
        </w:r>
      </w:hyperlink>
      <w:r>
        <w:fldChar w:fldCharType="end"/>
      </w:r>
      <w:r/>
    </w:p>
    <w:p>
      <w:pPr>
        <w:pStyle w:val="915"/>
        <w:pageBreakBefore w:val="true"/>
        <w:pBdr/>
        <w:spacing/>
        <w:ind/>
        <w:rPr/>
      </w:pPr>
      <w:r/>
      <w:bookmarkStart w:id="1" w:name="_Toc100001"/>
      <w:r>
        <w:t xml:space="preserve">1. Introducción</w:t>
      </w:r>
      <w:bookmarkEnd w:id="1"/>
      <w:r/>
      <w:r/>
    </w:p>
    <w:p>
      <w:pPr>
        <w:pBdr/>
        <w:spacing/>
        <w:ind/>
        <w:rPr/>
      </w:pPr>
      <w:r>
        <w:t xml:space="preserve">Este documento es la Especificación de Requisitos de Software </w:t>
      </w:r>
      <w:r>
        <w:t xml:space="preserve">(ERS) del Sistema de Gestión para la Liga Municipal de Morelia (en adelante, «el Sistema»). Se elabora conforme a ISO/IEC/IEEE 29148:2018; IEEE Std 830-1998 se usa solo como antecedente de la plantilla de referencia.</w:t>
      </w:r>
      <w:r/>
    </w:p>
    <w:p>
      <w:pPr>
        <w:pBdr/>
        <w:spacing/>
        <w:ind/>
        <w:rPr/>
      </w:pPr>
      <w:r>
        <w:t xml:space="preserve">Las fuentes de información se listan en 1.5; cuando hace falta, se indica el tipo de información: </w:t>
      </w:r>
      <w:r>
        <w:rPr>
          <w:b/>
          <w:bCs/>
        </w:rPr>
        <w:t xml:space="preserve">hecho</w:t>
      </w:r>
      <w:r>
        <w:t xml:space="preserve"> (dato observado o informado), </w:t>
      </w:r>
      <w:r>
        <w:rPr>
          <w:b/>
          <w:bCs/>
        </w:rPr>
        <w:t xml:space="preserve">norma</w:t>
      </w:r>
      <w:r>
        <w:t xml:space="preserve"> (disposición de un documento normativo) o </w:t>
      </w:r>
      <w:r>
        <w:rPr>
          <w:b/>
          <w:bCs/>
        </w:rPr>
        <w:t xml:space="preserve">propuesta</w:t>
      </w:r>
      <w:r>
        <w:t xml:space="preserve"> (recomendación del análisis).</w:t>
      </w:r>
      <w:r/>
    </w:p>
    <w:p>
      <w:pPr>
        <w:pStyle w:val="916"/>
        <w:pBdr/>
        <w:spacing/>
        <w:ind/>
        <w:rPr/>
      </w:pPr>
      <w:r/>
      <w:bookmarkStart w:id="2" w:name="_Toc100002"/>
      <w:r>
        <w:t xml:space="preserve">1.1 Propósito</w:t>
      </w:r>
      <w:bookmarkEnd w:id="2"/>
      <w:r/>
      <w:r/>
    </w:p>
    <w:p>
      <w:pPr>
        <w:pBdr/>
        <w:spacing/>
        <w:ind/>
        <w:rPr/>
      </w:pPr>
      <w:r>
        <w:t xml:space="preserve">Este ERS define de f</w:t>
      </w:r>
      <w:r>
        <w:t xml:space="preserve">orma verificable qué debe hacer el Sistema y qué queda fuera de su alcance. Es la base para el diseño, la construcción, las pruebas y el mantenimiento, y mantiene la trazabilidad entre las necesidades de la Liga, sus documentos normativos y los requisitos.</w:t>
      </w:r>
      <w:r/>
    </w:p>
    <w:p>
      <w:pPr>
        <w:pBdr/>
        <w:spacing/>
        <w:ind/>
        <w:rPr/>
      </w:pPr>
      <w:r>
        <w:t xml:space="preserve">El Sistema reemplazará el manejo manual de la información deportiva y administrativa de la Liga, que hoy se lleva en papel, en hojas de cálculo de Excel exportadas a imágenes y en p</w:t>
      </w:r>
      <w:r>
        <w:t xml:space="preserve">ublicaciones de Facebook. Concentrará en una aplicación web la gestión de clubes, equipos, jugadores, programación, resultados, tablas, disciplina y aportaciones económicas, y publicará la información oficial en un portal de consulta pública.</w:t>
      </w:r>
      <w:r/>
    </w:p>
    <w:p>
      <w:pPr>
        <w:pBdr/>
        <w:spacing/>
        <w:ind/>
        <w:rPr/>
      </w:pPr>
      <w:r>
        <w:t xml:space="preserve">Sus lectores son el equ</w:t>
      </w:r>
      <w:r>
        <w:t xml:space="preserve">ipo de desarrollo y pruebas, el revisor académico del proyecto, los directivos de la Liga como fuente de validación de la información y quienes mantengan el Sistema en el futuro. El documento no requiere aprobación formal de la Liga.</w:t>
      </w:r>
      <w:r/>
    </w:p>
    <w:p>
      <w:pPr>
        <w:pStyle w:val="916"/>
        <w:pBdr/>
        <w:spacing/>
        <w:ind/>
        <w:rPr/>
      </w:pPr>
      <w:r/>
      <w:bookmarkStart w:id="3" w:name="_Toc100003"/>
      <w:r>
        <w:t xml:space="preserve">1.2 Alcance</w:t>
      </w:r>
      <w:bookmarkEnd w:id="3"/>
      <w:r/>
      <w:r/>
    </w:p>
    <w:p>
      <w:pPr>
        <w:pBdr/>
        <w:spacing/>
        <w:ind/>
        <w:rPr/>
      </w:pPr>
      <w:r>
        <w:t xml:space="preserve">El producto es el Sistema de Gestión para la Liga Municipal de Morelia</w:t>
      </w:r>
      <w:r>
        <w:t xml:space="preserve">, para la Liga Municipal de Fútbol Amateur de Morelia, Asociación Civil (también conocida como Liga Municipal de Futbol Amateur Morelia A.C.). Es un producto nuevo: no reemplaza otro sistema, sino procesos manuales. Será una apli</w:t>
      </w:r>
      <w:r>
        <w:t xml:space="preserve">cación web que depende totalmente de la conexión a Internet. Tendrán cuenta propia los integrantes de la Liga, los clubes (presidentes y delegados), los árbitros y los jugadores; el público consultará la información sin cuenta.</w:t>
      </w:r>
      <w:r/>
    </w:p>
    <w:p>
      <w:pPr>
        <w:pBdr/>
        <w:spacing/>
        <w:ind/>
        <w:rPr>
          <w:b/>
          <w:bCs/>
          <w:highlight w:val="none"/>
        </w:rPr>
      </w:pPr>
      <w:r>
        <w:rPr>
          <w:b/>
          <w:bCs/>
          <w:color w:val="241a61"/>
        </w:rPr>
        <w:t xml:space="preserve">Situación actual. </w:t>
      </w:r>
      <w:r>
        <w:t xml:space="preserve">Todo se lleva a mano, incluida la programación. Elaborar la programación toma algunas horas y publicarla otras tantas. Cada partido se documenta en una cédula de papel que viaja de la cancha al colegio de árbitros y </w:t>
      </w:r>
      <w:r>
        <w:t xml:space="preserve">de ahí a las oficinas de la Liga los lunes o martes, donde se captura en Excel y se dictaminan las suspensiones; el boletín de castigados se publica en Facebook. La programación se difunde como imagen o PDF en portales locales. </w:t>
      </w:r>
      <w:r>
        <w:rPr>
          <w:b/>
          <w:bCs/>
        </w:rPr>
        <w:t xml:space="preserve">Hecho.</w:t>
      </w:r>
      <w:r>
        <w:rPr>
          <w:b/>
          <w:bCs/>
          <w:highlight w:val="none"/>
        </w:rPr>
      </w:r>
      <w:r>
        <w:rPr>
          <w:b/>
          <w:bCs/>
          <w:highlight w:val="none"/>
        </w:rPr>
      </w:r>
    </w:p>
    <w:p w14:paraId="6DAD9751">
      <w:pPr>
        <w:pBdr/>
        <w:spacing/>
        <w:ind/>
        <w:rPr/>
      </w:pPr>
      <w:r/>
      <w:r/>
    </w:p>
    <w:p w14:paraId="611E5F50">
      <w:pPr>
        <w:pBdr/>
        <w:spacing/>
        <w:ind/>
        <w:rPr/>
      </w:pPr>
      <w:r/>
      <w:r/>
    </w:p>
    <w:p w14:paraId="026A98FE">
      <w:pPr>
        <w:pBdr/>
        <w:spacing/>
        <w:ind/>
        <w:rPr/>
      </w:pPr>
      <w:r/>
      <w:r/>
    </w:p>
    <w:p w14:paraId="027ADA80">
      <w:pPr>
        <w:pBdr/>
        <w:spacing/>
        <w:ind/>
        <w:rPr/>
      </w:pPr>
      <w:r/>
      <w:r/>
    </w:p>
    <w:p w14:paraId="3EF07F73">
      <w:pPr>
        <w:pBdr/>
        <w:spacing/>
        <w:ind/>
        <w:rPr/>
      </w:pPr>
      <w:r/>
      <w:r/>
    </w:p>
    <w:p w14:paraId="37D7E60D">
      <w:pPr>
        <w:pBdr/>
        <w:spacing/>
        <w:ind/>
        <w:rPr/>
      </w:pPr>
      <w:r/>
      <w:r/>
    </w:p>
    <w:p w14:paraId="481FF06E">
      <w:pPr>
        <w:pBdr/>
        <w:spacing/>
        <w:ind/>
        <w:rPr/>
      </w:pPr>
      <w:r/>
      <w:r/>
    </w:p>
    <w:p w14:paraId="1B7BC637">
      <w:pPr>
        <w:pBdr/>
        <w:spacing/>
        <w:ind/>
        <w:rPr/>
      </w:pPr>
      <w:r>
        <w:rPr>
          <w:b/>
          <w:bCs/>
          <w:highlight w:val="none"/>
        </w:rPr>
      </w:r>
      <w:r>
        <w:rPr>
          <w:b/>
          <w:bCs/>
          <w:highlight w:val="none"/>
        </w:rPr>
      </w:r>
      <w:r/>
    </w:p>
    <w:p>
      <w:pPr>
        <w:pBdr/>
        <w:spacing/>
        <w:ind/>
        <w:rPr/>
      </w:pPr>
      <w:r>
        <w:t xml:space="preserve">La Tabla 1 resume los problemas actuales y el objetivo del Sistema para cada uno.</w:t>
      </w:r>
      <w:r/>
    </w:p>
    <w:p>
      <w:pPr>
        <w:pStyle w:val="923"/>
        <w:keepNext w:val="true"/>
        <w:pBdr/>
        <w:spacing/>
        <w:ind/>
        <w:rPr/>
      </w:pPr>
      <w:r>
        <w:rPr>
          <w:b/>
          <w:bCs/>
          <w:color w:val="241a61"/>
          <w:sz w:val="18"/>
          <w:szCs w:val="18"/>
        </w:rPr>
        <w:t xml:space="preserve">Tabla 1. </w:t>
      </w:r>
      <w:r>
        <w:rPr>
          <w:sz w:val="18"/>
          <w:szCs w:val="18"/>
        </w:rPr>
        <w:t xml:space="preserve">Problemas actuales y objetivos del Sistema.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50"/>
        <w:gridCol w:w="3900"/>
        <w:gridCol w:w="4654"/>
      </w:tblGrid>
      <w:tr>
        <w:trPr>
          <w:cantSplit/>
          <w:tblHeader/>
        </w:trPr>
        <w:tc>
          <w:tcPr>
            <w:shd w:val="clear" w:color="auto" w:fill="241a61"/>
            <w:tcBorders/>
            <w:tcW w:w="850" w:type="dxa"/>
          </w:tcPr>
          <w:p>
            <w:pPr>
              <w:pStyle w:val="922"/>
              <w:pBdr/>
              <w:spacing/>
              <w:ind/>
              <w:rPr/>
            </w:pPr>
            <w:r>
              <w:rPr>
                <w:b/>
                <w:bCs/>
                <w:color w:val="ffffff"/>
              </w:rPr>
              <w:t xml:space="preserve">ID</w:t>
            </w:r>
            <w:r/>
          </w:p>
        </w:tc>
        <w:tc>
          <w:tcPr>
            <w:shd w:val="clear" w:color="auto" w:fill="241a61"/>
            <w:tcBorders/>
            <w:tcW w:w="3900" w:type="dxa"/>
          </w:tcPr>
          <w:p>
            <w:pPr>
              <w:pStyle w:val="922"/>
              <w:pBdr/>
              <w:spacing/>
              <w:ind/>
              <w:rPr/>
            </w:pPr>
            <w:r>
              <w:rPr>
                <w:b/>
                <w:bCs/>
                <w:color w:val="ffffff"/>
              </w:rPr>
              <w:t xml:space="preserve">Problema actual (hecho)</w:t>
            </w:r>
            <w:r/>
          </w:p>
        </w:tc>
        <w:tc>
          <w:tcPr>
            <w:shd w:val="clear" w:color="auto" w:fill="241a61"/>
            <w:tcBorders/>
            <w:tcW w:w="4654" w:type="dxa"/>
          </w:tcPr>
          <w:p>
            <w:pPr>
              <w:pStyle w:val="922"/>
              <w:pBdr/>
              <w:spacing/>
              <w:ind/>
              <w:rPr/>
            </w:pPr>
            <w:r>
              <w:rPr>
                <w:b/>
                <w:bCs/>
                <w:color w:val="ffffff"/>
              </w:rPr>
              <w:t xml:space="preserve">Objetivo del Sistema (propuesta)</w:t>
            </w:r>
            <w:r/>
          </w:p>
        </w:tc>
      </w:tr>
      <w:tr>
        <w:trPr>
          <w:cantSplit/>
        </w:trPr>
        <w:tc>
          <w:tcPr>
            <w:tcBorders/>
            <w:tcW w:w="850" w:type="dxa"/>
          </w:tcPr>
          <w:p>
            <w:pPr>
              <w:pStyle w:val="922"/>
              <w:pBdr/>
              <w:spacing/>
              <w:ind/>
              <w:rPr/>
            </w:pPr>
            <w:r>
              <w:t xml:space="preserve">OBJ-01</w:t>
            </w:r>
            <w:r/>
          </w:p>
        </w:tc>
        <w:tc>
          <w:tcPr>
            <w:tcBorders/>
            <w:tcW w:w="3900" w:type="dxa"/>
          </w:tcPr>
          <w:p>
            <w:pPr>
              <w:pStyle w:val="922"/>
              <w:pBdr/>
              <w:spacing/>
              <w:ind/>
              <w:rPr/>
            </w:pPr>
            <w:r>
              <w:t xml:space="preserve">Toda la operación es manual: programación, resultados, tablas y sanciones.</w:t>
            </w:r>
            <w:r/>
          </w:p>
        </w:tc>
        <w:tc>
          <w:tcPr>
            <w:tcBorders/>
            <w:tcW w:w="4654" w:type="dxa"/>
          </w:tcPr>
          <w:p>
            <w:pPr>
              <w:pStyle w:val="922"/>
              <w:pBdr/>
              <w:spacing/>
              <w:ind/>
              <w:rPr/>
            </w:pPr>
            <w:r>
              <w:t xml:space="preserve">Centralizar en un solo sistema clubes, equipos, jugadores, programación, resultados, sanciones y pagos.</w:t>
            </w:r>
            <w:r/>
          </w:p>
        </w:tc>
      </w:tr>
      <w:tr>
        <w:trPr>
          <w:cantSplit/>
        </w:trPr>
        <w:tc>
          <w:tcPr>
            <w:tcBorders/>
            <w:tcW w:w="850" w:type="dxa"/>
          </w:tcPr>
          <w:p>
            <w:pPr>
              <w:pStyle w:val="922"/>
              <w:pBdr/>
              <w:spacing/>
              <w:ind/>
              <w:rPr/>
            </w:pPr>
            <w:r>
              <w:t xml:space="preserve">OBJ-02</w:t>
            </w:r>
            <w:r/>
          </w:p>
        </w:tc>
        <w:tc>
          <w:tcPr>
            <w:tcBorders/>
            <w:tcW w:w="3900" w:type="dxa"/>
          </w:tcPr>
          <w:p>
            <w:pPr>
              <w:pStyle w:val="922"/>
              <w:pBdr/>
              <w:spacing/>
              <w:ind/>
              <w:rPr/>
            </w:pPr>
            <w:r>
              <w:t xml:space="preserve">Elaborar y publicar la programación toma varias horas.</w:t>
            </w:r>
            <w:r/>
          </w:p>
        </w:tc>
        <w:tc>
          <w:tcPr>
            <w:tcBorders/>
            <w:tcW w:w="4654" w:type="dxa"/>
          </w:tcPr>
          <w:p>
            <w:pPr>
              <w:pStyle w:val="922"/>
              <w:pBdr/>
              <w:spacing/>
              <w:ind/>
              <w:rPr/>
            </w:pPr>
            <w:r>
              <w:t xml:space="preserve">Reducir ese tiempo con programación asistida, detección de conflictos y publicación directa en el portal.</w:t>
            </w:r>
            <w:r/>
          </w:p>
        </w:tc>
      </w:tr>
      <w:tr>
        <w:trPr>
          <w:cantSplit/>
        </w:trPr>
        <w:tc>
          <w:tcPr>
            <w:tcBorders/>
            <w:tcW w:w="850" w:type="dxa"/>
          </w:tcPr>
          <w:p>
            <w:pPr>
              <w:pStyle w:val="922"/>
              <w:pBdr/>
              <w:spacing/>
              <w:ind/>
              <w:rPr/>
            </w:pPr>
            <w:r>
              <w:t xml:space="preserve">OBJ-03</w:t>
            </w:r>
            <w:r/>
          </w:p>
        </w:tc>
        <w:tc>
          <w:tcPr>
            <w:tcBorders/>
            <w:tcW w:w="3900" w:type="dxa"/>
          </w:tcPr>
          <w:p>
            <w:pPr>
              <w:pStyle w:val="922"/>
              <w:pBdr/>
              <w:spacing/>
              <w:ind/>
              <w:rPr/>
            </w:pPr>
            <w:r>
              <w:t xml:space="preserve">Los datos de cada partido se escriben dos veces: en la cédula de papel y en Excel.</w:t>
            </w:r>
            <w:r/>
          </w:p>
        </w:tc>
        <w:tc>
          <w:tcPr>
            <w:tcBorders/>
            <w:tcW w:w="4654" w:type="dxa"/>
          </w:tcPr>
          <w:p>
            <w:pPr>
              <w:pStyle w:val="922"/>
              <w:pBdr/>
              <w:spacing/>
              <w:ind/>
              <w:rPr/>
            </w:pPr>
            <w:r>
              <w:t xml:space="preserve">Capturar una sola vez resultados e incidencias y calcular automáticamente tablas y estadísticas.</w:t>
            </w:r>
            <w:r/>
          </w:p>
        </w:tc>
      </w:tr>
      <w:tr>
        <w:trPr>
          <w:cantSplit/>
        </w:trPr>
        <w:tc>
          <w:tcPr>
            <w:tcBorders/>
            <w:tcW w:w="850" w:type="dxa"/>
          </w:tcPr>
          <w:p>
            <w:pPr>
              <w:pStyle w:val="922"/>
              <w:pBdr/>
              <w:spacing/>
              <w:ind/>
              <w:rPr/>
            </w:pPr>
            <w:r>
              <w:t xml:space="preserve">OBJ-04</w:t>
            </w:r>
            <w:r/>
          </w:p>
        </w:tc>
        <w:tc>
          <w:tcPr>
            <w:tcBorders/>
            <w:tcW w:w="3900" w:type="dxa"/>
          </w:tcPr>
          <w:p>
            <w:pPr>
              <w:pStyle w:val="922"/>
              <w:pBdr/>
              <w:spacing/>
              <w:ind/>
              <w:rPr/>
            </w:pPr>
            <w:r>
              <w:t xml:space="preserve">Las cédulas llegan a la Liga de 1 a 3 días después del partido, lo que retrasa tablas y castigados.</w:t>
            </w:r>
            <w:r/>
          </w:p>
        </w:tc>
        <w:tc>
          <w:tcPr>
            <w:tcBorders/>
            <w:tcW w:w="4654" w:type="dxa"/>
          </w:tcPr>
          <w:p>
            <w:pPr>
              <w:pStyle w:val="922"/>
              <w:pBdr/>
              <w:spacing/>
              <w:ind/>
              <w:rPr/>
            </w:pPr>
            <w:r>
              <w:t xml:space="preserve">Acortar el tiempo entre el partido y la publicación del boletín de castigados. </w:t>
            </w:r>
            <w:r/>
          </w:p>
        </w:tc>
      </w:tr>
      <w:tr>
        <w:trPr>
          <w:cantSplit/>
        </w:trPr>
        <w:tc>
          <w:tcPr>
            <w:tcBorders/>
            <w:tcW w:w="850" w:type="dxa"/>
          </w:tcPr>
          <w:p>
            <w:pPr>
              <w:pStyle w:val="922"/>
              <w:pBdr/>
              <w:spacing/>
              <w:ind/>
              <w:rPr/>
            </w:pPr>
            <w:r>
              <w:t xml:space="preserve">OBJ-05</w:t>
            </w:r>
            <w:r/>
          </w:p>
        </w:tc>
        <w:tc>
          <w:tcPr>
            <w:tcBorders/>
            <w:tcW w:w="3900" w:type="dxa"/>
          </w:tcPr>
          <w:p>
            <w:pPr>
              <w:pStyle w:val="922"/>
              <w:pBdr/>
              <w:spacing/>
              <w:ind/>
              <w:rPr/>
            </w:pPr>
            <w:r>
              <w:t xml:space="preserve">La información oficial solo existe como imágenes o PDF en Facebook y portales de terceros.</w:t>
            </w:r>
            <w:r/>
          </w:p>
        </w:tc>
        <w:tc>
          <w:tcPr>
            <w:tcBorders/>
            <w:tcW w:w="4654" w:type="dxa"/>
          </w:tcPr>
          <w:p>
            <w:pPr>
              <w:pStyle w:val="922"/>
              <w:pBdr/>
              <w:spacing/>
              <w:ind/>
              <w:rPr/>
            </w:pPr>
            <w:r>
              <w:t xml:space="preserve">Publicar toda la información oficial en un portal web consultable sin cuenta, y conservar el historial de cada temporada.</w:t>
            </w:r>
            <w:r/>
          </w:p>
        </w:tc>
      </w:tr>
    </w:tbl>
    <w:p>
      <w:pPr>
        <w:pBdr/>
        <w:spacing w:after="60" w:before="0"/>
        <w:ind/>
        <w:rPr/>
      </w:pPr>
      <w:r/>
      <w:r/>
    </w:p>
    <w:p>
      <w:pPr>
        <w:pBdr/>
        <w:spacing w:after="60" w:before="0"/>
        <w:ind/>
        <w:rPr/>
      </w:pPr>
      <w:r/>
      <w:r/>
    </w:p>
    <w:p>
      <w:pPr>
        <w:pBdr/>
        <w:spacing/>
        <w:ind/>
        <w:rPr/>
      </w:pPr>
      <w:r>
        <w:rPr>
          <w:b/>
          <w:bCs/>
          <w:color w:val="241a61"/>
        </w:rPr>
        <w:t xml:space="preserve">Fuera del alcance. </w:t>
      </w:r>
      <w:r>
        <w:t xml:space="preserve">No forman parte de esta versión:</w:t>
      </w:r>
      <w:r/>
    </w:p>
    <w:p>
      <w:pPr>
        <w:pStyle w:val="920"/>
        <w:numPr>
          <w:ilvl w:val="0"/>
          <w:numId w:val="1"/>
        </w:numPr>
        <w:pBdr/>
        <w:spacing/>
        <w:ind/>
        <w:rPr/>
      </w:pPr>
      <w:r>
        <w:t xml:space="preserve">Aplicación móvil instalable: el Sistema es solo web.</w:t>
      </w:r>
      <w:r/>
    </w:p>
    <w:p>
      <w:pPr>
        <w:pStyle w:val="920"/>
        <w:numPr>
          <w:ilvl w:val="0"/>
          <w:numId w:val="1"/>
        </w:numPr>
        <w:pBdr/>
        <w:spacing/>
        <w:ind/>
        <w:rPr/>
      </w:pPr>
      <w:r>
        <w:t xml:space="preserve">Operación sin conexión: el Sistema requiere Internet.</w:t>
      </w:r>
      <w:r/>
    </w:p>
    <w:p>
      <w:pPr>
        <w:pStyle w:val="920"/>
        <w:numPr>
          <w:ilvl w:val="0"/>
          <w:numId w:val="1"/>
        </w:numPr>
        <w:pBdr/>
        <w:spacing/>
        <w:ind/>
        <w:rPr/>
      </w:pPr>
      <w:r>
        <w:t xml:space="preserve">Migración de datos de temporadas anteriores: no prevista.</w:t>
      </w:r>
      <w:r/>
    </w:p>
    <w:p>
      <w:pPr>
        <w:pStyle w:val="920"/>
        <w:numPr>
          <w:ilvl w:val="0"/>
          <w:numId w:val="1"/>
        </w:numPr>
        <w:pBdr/>
        <w:spacing/>
        <w:ind/>
        <w:rPr/>
      </w:pPr>
      <w:r>
        <w:t xml:space="preserve">Integraciones distintas de correo (WhatsApp, SMS, mapas, API pública, autenticación externa, CSV/Excel): no incluidas.</w:t>
      </w:r>
      <w:r/>
    </w:p>
    <w:p>
      <w:pPr>
        <w:pStyle w:val="920"/>
        <w:numPr>
          <w:ilvl w:val="0"/>
          <w:numId w:val="1"/>
        </w:numPr>
        <w:pBdr/>
        <w:spacing/>
        <w:ind/>
        <w:rPr/>
      </w:pPr>
      <w:r>
        <w:t xml:space="preserve">Intercambio electrónico con entidades externas (IMCUFIDE, colegios de árbitros, UMSNH, sindicato del Ayuntamiento, portales de noticias): sigue por los medios actuales; el Sistema solo genera exportables (AF-12). </w:t>
      </w:r>
      <w:r>
        <w:rPr>
          <w:b/>
          <w:bCs/>
        </w:rPr>
        <w:t xml:space="preserve">Propuesta.</w:t>
      </w:r>
      <w:r/>
    </w:p>
    <w:p>
      <w:pPr>
        <w:pStyle w:val="920"/>
        <w:numPr>
          <w:ilvl w:val="0"/>
          <w:numId w:val="1"/>
        </w:numPr>
        <w:pBdr/>
        <w:spacing/>
        <w:ind/>
        <w:rPr/>
      </w:pPr>
      <w:r>
        <w:t xml:space="preserve">Trámites legales y notariales de la asociación civil. </w:t>
      </w:r>
      <w:r>
        <w:rPr>
          <w:b/>
          <w:bCs/>
        </w:rPr>
        <w:t xml:space="preserve">Propuesta.</w:t>
      </w:r>
      <w:r/>
    </w:p>
    <w:p>
      <w:pPr>
        <w:pStyle w:val="920"/>
        <w:numPr>
          <w:ilvl w:val="0"/>
          <w:numId w:val="1"/>
        </w:numPr>
        <w:pBdr/>
        <w:spacing/>
        <w:ind/>
        <w:rPr/>
      </w:pPr>
      <w:r>
        <w:t xml:space="preserve">Cobro en línea: los pagos se siguen haciendo en las oficinas de la Liga y el Sistema solo los registra. </w:t>
      </w:r>
      <w:r>
        <w:rPr>
          <w:b/>
          <w:bCs/>
        </w:rPr>
        <w:t xml:space="preserve">Propuesta.</w:t>
      </w:r>
      <w:r/>
    </w:p>
    <w:p>
      <w:pPr>
        <w:pBdr/>
        <w:spacing/>
        <w:ind/>
        <w:rPr/>
      </w:pPr>
      <w:r>
        <w:rPr>
          <w:b/>
          <w:bCs/>
          <w:color w:val="241a61"/>
        </w:rPr>
        <w:t xml:space="preserve">Restricciones y condiciones. </w:t>
      </w:r>
      <w:r/>
    </w:p>
    <w:p>
      <w:pPr>
        <w:pStyle w:val="920"/>
        <w:numPr>
          <w:ilvl w:val="0"/>
          <w:numId w:val="1"/>
        </w:numPr>
        <w:pBdr/>
        <w:spacing/>
        <w:ind/>
        <w:rPr/>
      </w:pPr>
      <w:r>
        <w:t xml:space="preserve">Durante el desarrollo, el Sistema se alojará sin costo en equipos del propio equipo de desarrollo; el hospedaje de producción se definirá cuando se planee su puesta en marcha.</w:t>
      </w:r>
      <w:r/>
    </w:p>
    <w:p>
      <w:pPr>
        <w:pStyle w:val="920"/>
        <w:numPr>
          <w:ilvl w:val="0"/>
          <w:numId w:val="1"/>
        </w:numPr>
        <w:pBdr/>
        <w:spacing/>
        <w:ind/>
        <w:rPr/>
      </w:pPr>
      <w:r>
        <w:t xml:space="preserve">La Liga trata datos personales, incluidos los de menores de edad, por lo que aplica la LFPDPPP.</w:t>
      </w:r>
      <w:r/>
    </w:p>
    <w:p>
      <w:pPr>
        <w:pStyle w:val="920"/>
        <w:numPr>
          <w:ilvl w:val="0"/>
          <w:numId w:val="1"/>
        </w:numPr>
        <w:pBdr/>
        <w:spacing/>
        <w:ind/>
        <w:rPr/>
      </w:pPr>
      <w:r>
        <w:t xml:space="preserve">Las reglas cambian cada temporada (categorías, cuotas, ascensos y descensos) y deben poder actualizarse sin modificar el software. </w:t>
      </w:r>
      <w:r>
        <w:rPr>
          <w:b/>
          <w:bCs/>
        </w:rPr>
        <w:t xml:space="preserve">Propuesta</w:t>
      </w:r>
      <w:r>
        <w:t xml:space="preserve">.</w:t>
      </w:r>
      <w:r/>
    </w:p>
    <w:p>
      <w:pPr>
        <w:pStyle w:val="920"/>
        <w:numPr>
          <w:ilvl w:val="0"/>
          <w:numId w:val="1"/>
        </w:numPr>
        <w:pBdr/>
        <w:spacing/>
        <w:ind/>
        <w:rPr/>
      </w:pPr>
      <w:r>
        <w:t xml:space="preserve">El r</w:t>
      </w:r>
      <w:r>
        <w:t xml:space="preserve">eglamento interno de la Liga no está disponible. Como referencia se usan las Reglas de Juego de la IFAB y el Reglamento de Sanciones del Sector Amateur de la FMF; las convocatorias de la Liga prevalecen sobre ellos.</w:t>
      </w:r>
      <w:r/>
    </w:p>
    <w:p>
      <w:pPr>
        <w:pStyle w:val="916"/>
        <w:pBdr/>
        <w:spacing/>
        <w:ind/>
        <w:rPr/>
      </w:pPr>
      <w:r/>
      <w:bookmarkStart w:id="4" w:name="_Toc100004"/>
      <w:r>
        <w:t xml:space="preserve">1.3 Personal involucrado</w:t>
      </w:r>
      <w:bookmarkEnd w:id="4"/>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700"/>
        <w:gridCol w:w="1400"/>
        <w:gridCol w:w="1500"/>
        <w:gridCol w:w="2000"/>
        <w:gridCol w:w="1604"/>
        <w:gridCol w:w="1200"/>
      </w:tblGrid>
      <w:tr>
        <w:trPr>
          <w:cantSplit/>
          <w:tblHeader/>
        </w:trPr>
        <w:tc>
          <w:tcPr>
            <w:shd w:val="clear" w:color="auto" w:fill="241a61"/>
            <w:tcBorders/>
            <w:tcW w:w="1700" w:type="dxa"/>
          </w:tcPr>
          <w:p>
            <w:pPr>
              <w:pStyle w:val="922"/>
              <w:pBdr/>
              <w:spacing/>
              <w:ind/>
              <w:rPr/>
            </w:pPr>
            <w:r>
              <w:rPr>
                <w:b/>
                <w:bCs/>
                <w:color w:val="ffffff"/>
              </w:rPr>
              <w:t xml:space="preserve">Nombre</w:t>
            </w:r>
            <w:r/>
          </w:p>
        </w:tc>
        <w:tc>
          <w:tcPr>
            <w:shd w:val="clear" w:color="auto" w:fill="241a61"/>
            <w:tcBorders/>
            <w:tcW w:w="1400" w:type="dxa"/>
          </w:tcPr>
          <w:p>
            <w:pPr>
              <w:pStyle w:val="922"/>
              <w:pBdr/>
              <w:spacing/>
              <w:ind/>
              <w:rPr/>
            </w:pPr>
            <w:r>
              <w:rPr>
                <w:b/>
                <w:bCs/>
                <w:color w:val="ffffff"/>
              </w:rPr>
              <w:t xml:space="preserve">Rol</w:t>
            </w:r>
            <w:r/>
          </w:p>
        </w:tc>
        <w:tc>
          <w:tcPr>
            <w:shd w:val="clear" w:color="auto" w:fill="241a61"/>
            <w:tcBorders/>
            <w:tcW w:w="1500" w:type="dxa"/>
          </w:tcPr>
          <w:p>
            <w:pPr>
              <w:pStyle w:val="922"/>
              <w:pBdr/>
              <w:spacing/>
              <w:ind/>
              <w:rPr/>
            </w:pPr>
            <w:r>
              <w:rPr>
                <w:b/>
                <w:bCs/>
                <w:color w:val="ffffff"/>
              </w:rPr>
              <w:t xml:space="preserve">Categoría profesional</w:t>
            </w:r>
            <w:r/>
          </w:p>
        </w:tc>
        <w:tc>
          <w:tcPr>
            <w:shd w:val="clear" w:color="auto" w:fill="241a61"/>
            <w:tcBorders/>
            <w:tcW w:w="2000" w:type="dxa"/>
          </w:tcPr>
          <w:p>
            <w:pPr>
              <w:pStyle w:val="922"/>
              <w:pBdr/>
              <w:spacing/>
              <w:ind/>
              <w:rPr/>
            </w:pPr>
            <w:r>
              <w:rPr>
                <w:b/>
                <w:bCs/>
                <w:color w:val="ffffff"/>
              </w:rPr>
              <w:t xml:space="preserve">Responsabilidades</w:t>
            </w:r>
            <w:r/>
          </w:p>
        </w:tc>
        <w:tc>
          <w:tcPr>
            <w:shd w:val="clear" w:color="auto" w:fill="241a61"/>
            <w:tcBorders/>
            <w:tcW w:w="1604" w:type="dxa"/>
          </w:tcPr>
          <w:p>
            <w:pPr>
              <w:pStyle w:val="922"/>
              <w:pBdr/>
              <w:spacing/>
              <w:ind/>
              <w:rPr/>
            </w:pPr>
            <w:r>
              <w:rPr>
                <w:b/>
                <w:bCs/>
                <w:color w:val="ffffff"/>
              </w:rPr>
              <w:t xml:space="preserve">Información de contacto</w:t>
            </w:r>
            <w:r/>
          </w:p>
        </w:tc>
        <w:tc>
          <w:tcPr>
            <w:shd w:val="clear" w:color="auto" w:fill="241a61"/>
            <w:tcBorders/>
            <w:tcW w:w="1200" w:type="dxa"/>
          </w:tcPr>
          <w:p>
            <w:pPr>
              <w:pStyle w:val="922"/>
              <w:pBdr/>
              <w:spacing/>
              <w:ind/>
              <w:rPr/>
            </w:pPr>
            <w:r>
              <w:rPr>
                <w:b/>
                <w:bCs/>
                <w:color w:val="ffffff"/>
              </w:rPr>
              <w:t xml:space="preserve">Aprobación</w:t>
            </w:r>
            <w:r/>
          </w:p>
        </w:tc>
      </w:tr>
      <w:tr>
        <w:trPr>
          <w:cantSplit/>
        </w:trPr>
        <w:tc>
          <w:tcPr>
            <w:tcBorders/>
            <w:tcW w:w="1700" w:type="dxa"/>
          </w:tcPr>
          <w:p>
            <w:pPr>
              <w:pStyle w:val="922"/>
              <w:pBdr/>
              <w:spacing/>
              <w:ind/>
              <w:rPr>
                <w:highlight w:val="none"/>
                <w:lang w:val="en-US"/>
              </w:rPr>
            </w:pPr>
            <w:r>
              <w:rPr>
                <w:lang w:val="en-US"/>
              </w:rPr>
              <w:t xml:space="preserve">Rafael Piedra Sanchez</w:t>
            </w:r>
            <w:r>
              <w:rPr>
                <w:highlight w:val="none"/>
                <w:lang w:val="en-US"/>
              </w:rPr>
            </w:r>
            <w:r>
              <w:rPr>
                <w:highlight w:val="none"/>
                <w:lang w:val="en-US"/>
              </w:rPr>
            </w:r>
          </w:p>
        </w:tc>
        <w:tc>
          <w:tcPr>
            <w:tcBorders/>
            <w:tcW w:w="1400" w:type="dxa"/>
          </w:tcPr>
          <w:p>
            <w:pPr>
              <w:pStyle w:val="922"/>
              <w:pBdr/>
              <w:spacing/>
              <w:ind/>
              <w:rPr/>
            </w:pPr>
            <w:r>
              <w:rPr>
                <w:lang w:val="en-US"/>
              </w:rPr>
              <w:t xml:space="preserve">Desarrollador</w:t>
            </w:r>
            <w:r/>
          </w:p>
        </w:tc>
        <w:tc>
          <w:tcPr>
            <w:tcBorders/>
            <w:tcW w:w="1500" w:type="dxa"/>
          </w:tcPr>
          <w:p>
            <w:pPr>
              <w:pStyle w:val="922"/>
              <w:pBdr/>
              <w:spacing/>
              <w:ind/>
              <w:rPr/>
            </w:pPr>
            <w:r>
              <w:rPr>
                <w:lang w:val="en-US"/>
              </w:rPr>
              <w:t xml:space="preserve">Ing. Sistemas computacionales
</w:t>
            </w:r>
            <w:r/>
          </w:p>
        </w:tc>
        <w:tc>
          <w:tcPr>
            <w:tcBorders/>
            <w:tcW w:w="2000" w:type="dxa"/>
          </w:tcPr>
          <w:p>
            <w:pPr>
              <w:pStyle w:val="922"/>
              <w:pBdr/>
              <w:spacing/>
              <w:ind/>
              <w:rPr/>
            </w:pPr>
            <w:r>
              <w:rPr>
                <w:lang w:val="en-US"/>
              </w:rPr>
              <w:t xml:space="preserve">Programaci</w:t>
            </w:r>
            <w:r>
              <w:rPr>
                <w:lang w:val="en-US"/>
              </w:rPr>
              <w:t xml:space="preserve">ó</w:t>
            </w:r>
            <w:r>
              <w:rPr>
                <w:lang w:val="es-ES"/>
              </w:rPr>
              <w:t xml:space="preserve">n y codificaci</w:t>
            </w:r>
            <w:r>
              <w:rPr>
                <w:lang w:val="es-ES"/>
              </w:rPr>
              <w:t xml:space="preserve">ón del sistema</w:t>
            </w:r>
            <w:r>
              <w:rPr>
                <w:lang w:val="en-US"/>
              </w:rPr>
              <w:t xml:space="preserve">  </w:t>
            </w:r>
            <w:r/>
          </w:p>
        </w:tc>
        <w:tc>
          <w:tcPr>
            <w:tcBorders/>
            <w:tcW w:w="1604" w:type="dxa"/>
          </w:tcPr>
          <w:p>
            <w:pPr>
              <w:pStyle w:val="922"/>
              <w:pBdr/>
              <w:spacing/>
              <w:ind/>
              <w:rPr/>
            </w:pPr>
            <w:r>
              <w:rPr>
                <w:lang w:val="es-ES"/>
              </w:rPr>
              <w:t xml:space="preserve">4432358226</w:t>
            </w:r>
            <w:r/>
          </w:p>
        </w:tc>
        <w:tc>
          <w:tcPr>
            <w:tcBorders/>
            <w:tcW w:w="1200" w:type="dxa"/>
          </w:tcPr>
          <w:p>
            <w:pPr>
              <w:pStyle w:val="922"/>
              <w:pBdr/>
              <w:spacing/>
              <w:ind/>
              <w:rPr/>
            </w:pPr>
            <w:r>
              <w:rPr>
                <w:lang w:val="es-ES"/>
              </w:rPr>
              <w:t xml:space="preserve">Si</w:t>
            </w:r>
            <w:r/>
          </w:p>
        </w:tc>
      </w:tr>
      <w:tr>
        <w:trPr>
          <w:cantSplit/>
        </w:trPr>
        <w:tc>
          <w:tcPr>
            <w:tcBorders/>
            <w:tcW w:w="1700" w:type="dxa"/>
          </w:tcPr>
          <w:p>
            <w:pPr>
              <w:pStyle w:val="922"/>
              <w:pBdr/>
              <w:spacing/>
              <w:ind/>
              <w:rPr/>
            </w:pPr>
            <w:r>
              <w:rPr>
                <w:lang w:val="en-US"/>
              </w:rPr>
              <w:t xml:space="preserve">Jose Gael Cruz Aviles</w:t>
            </w:r>
            <w:r/>
          </w:p>
        </w:tc>
        <w:tc>
          <w:tcPr>
            <w:tcBorders/>
            <w:tcW w:w="1400" w:type="dxa"/>
          </w:tcPr>
          <w:p w14:paraId="11C5E144">
            <w:pPr>
              <w:pStyle w:val="922"/>
              <w:pBdr/>
              <w:spacing/>
              <w:ind/>
              <w:rPr/>
            </w:pPr>
            <w:r>
              <w:rPr>
                <w:lang w:val="en-US"/>
              </w:rPr>
              <w:t xml:space="preserve">Desarrollador</w:t>
            </w:r>
            <w:r/>
          </w:p>
          <w:p>
            <w:pPr>
              <w:pStyle w:val="922"/>
              <w:pBdr/>
              <w:spacing/>
              <w:ind/>
              <w:rPr/>
            </w:pPr>
            <w:r/>
            <w:r/>
          </w:p>
        </w:tc>
        <w:tc>
          <w:tcPr>
            <w:tcBorders/>
            <w:tcW w:w="1500" w:type="dxa"/>
          </w:tcPr>
          <w:p>
            <w:pPr>
              <w:pStyle w:val="922"/>
              <w:pBdr/>
              <w:spacing/>
              <w:ind/>
              <w:rPr/>
            </w:pPr>
            <w:r>
              <w:rPr>
                <w:lang w:val="en-US"/>
              </w:rPr>
            </w:r>
            <w:r>
              <w:rPr>
                <w:lang w:val="en-US"/>
              </w:rPr>
              <w:t xml:space="preserve">Ing. Sistemas computacionales</w:t>
            </w:r>
            <w:r>
              <w:rPr>
                <w:lang w:val="en-US"/>
              </w:rPr>
            </w:r>
            <w:r/>
          </w:p>
        </w:tc>
        <w:tc>
          <w:tcPr>
            <w:tcBorders/>
            <w:tcW w:w="2000" w:type="dxa"/>
          </w:tcPr>
          <w:p w14:paraId="1DDBC635">
            <w:pPr>
              <w:pStyle w:val="922"/>
              <w:pBdr/>
              <w:spacing/>
              <w:ind/>
              <w:rPr/>
            </w:pPr>
            <w:r>
              <w:rPr>
                <w:lang w:val="en-US"/>
              </w:rPr>
              <w:t xml:space="preserve">Programaci</w:t>
            </w:r>
            <w:r>
              <w:rPr>
                <w:lang w:val="en-US"/>
              </w:rPr>
              <w:t xml:space="preserve">ó</w:t>
            </w:r>
            <w:r>
              <w:rPr>
                <w:lang w:val="es-ES"/>
              </w:rPr>
              <w:t xml:space="preserve">n y codificaci</w:t>
            </w:r>
            <w:r>
              <w:rPr>
                <w:lang w:val="es-ES"/>
              </w:rPr>
              <w:t xml:space="preserve">ón del sistema</w:t>
            </w:r>
            <w:r>
              <w:rPr>
                <w:lang w:val="en-US"/>
              </w:rPr>
              <w:t xml:space="preserve">  </w:t>
            </w:r>
            <w:r/>
          </w:p>
          <w:p>
            <w:pPr>
              <w:pStyle w:val="922"/>
              <w:pBdr/>
              <w:spacing/>
              <w:ind/>
              <w:rPr/>
            </w:pPr>
            <w:r/>
            <w:r/>
          </w:p>
        </w:tc>
        <w:tc>
          <w:tcPr>
            <w:tcBorders/>
            <w:tcW w:w="1604" w:type="dxa"/>
          </w:tcPr>
          <w:p>
            <w:pPr>
              <w:pStyle w:val="922"/>
              <w:pBdr/>
              <w:spacing/>
              <w:ind/>
              <w:rPr/>
            </w:pPr>
            <w:r>
              <w:rPr>
                <w:lang w:val="es-ES"/>
              </w:rPr>
              <w:t xml:space="preserve">4439309285</w:t>
            </w:r>
            <w:r/>
          </w:p>
        </w:tc>
        <w:tc>
          <w:tcPr>
            <w:tcBorders/>
            <w:tcW w:w="1200" w:type="dxa"/>
          </w:tcPr>
          <w:p>
            <w:pPr>
              <w:pStyle w:val="922"/>
              <w:pBdr/>
              <w:spacing/>
              <w:ind/>
              <w:rPr/>
            </w:pPr>
            <w:r>
              <w:rPr>
                <w:lang w:val="es-ES"/>
              </w:rPr>
              <w:t xml:space="preserve">Si</w:t>
            </w:r>
            <w:r/>
          </w:p>
        </w:tc>
      </w:tr>
      <w:tr>
        <w:trPr>
          <w:cantSplit/>
        </w:trPr>
        <w:tc>
          <w:tcPr>
            <w:tcBorders/>
            <w:tcW w:w="1700" w:type="dxa"/>
          </w:tcPr>
          <w:p>
            <w:pPr>
              <w:pStyle w:val="922"/>
              <w:pBdr/>
              <w:spacing/>
              <w:ind/>
              <w:rPr/>
            </w:pPr>
            <w:r>
              <w:rPr>
                <w:lang w:val="en-US"/>
              </w:rPr>
              <w:t xml:space="preserve">Jose Luis Medina Ramirez</w:t>
            </w:r>
            <w:r/>
          </w:p>
        </w:tc>
        <w:tc>
          <w:tcPr>
            <w:tcBorders/>
            <w:tcW w:w="1400" w:type="dxa"/>
          </w:tcPr>
          <w:p w14:paraId="11C5E144">
            <w:pPr>
              <w:pStyle w:val="922"/>
              <w:pBdr/>
              <w:spacing/>
              <w:ind/>
              <w:rPr/>
            </w:pPr>
            <w:r>
              <w:rPr>
                <w:lang w:val="en-US"/>
              </w:rPr>
              <w:t xml:space="preserve">Desarrollador/ Product Owner</w:t>
            </w:r>
            <w:r/>
          </w:p>
          <w:p>
            <w:pPr>
              <w:pStyle w:val="922"/>
              <w:pBdr/>
              <w:spacing/>
              <w:ind/>
              <w:rPr/>
            </w:pPr>
            <w:r/>
            <w:r/>
          </w:p>
        </w:tc>
        <w:tc>
          <w:tcPr>
            <w:tcBorders/>
            <w:tcW w:w="1500" w:type="dxa"/>
          </w:tcPr>
          <w:p>
            <w:pPr>
              <w:pStyle w:val="922"/>
              <w:pBdr/>
              <w:spacing/>
              <w:ind/>
              <w:rPr/>
            </w:pPr>
            <w:r>
              <w:rPr>
                <w:lang w:val="en-US"/>
              </w:rPr>
            </w:r>
            <w:r>
              <w:rPr>
                <w:lang w:val="en-US"/>
              </w:rPr>
              <w:t xml:space="preserve">Ing. Sistemas computacionales</w:t>
            </w:r>
            <w:r>
              <w:rPr>
                <w:lang w:val="en-US"/>
              </w:rPr>
            </w:r>
            <w:r/>
          </w:p>
        </w:tc>
        <w:tc>
          <w:tcPr>
            <w:tcBorders/>
            <w:tcW w:w="2000" w:type="dxa"/>
          </w:tcPr>
          <w:p>
            <w:pPr>
              <w:pStyle w:val="922"/>
              <w:pBdr/>
              <w:spacing/>
              <w:ind/>
              <w:rPr/>
            </w:pPr>
            <w:r>
              <w:rPr>
                <w:lang w:val="es-ES"/>
              </w:rPr>
              <w:t xml:space="preserve">An</w:t>
            </w:r>
            <w:r>
              <w:rPr>
                <w:lang w:val="es-ES"/>
              </w:rPr>
              <w:t xml:space="preserve">á</w:t>
            </w:r>
            <w:r>
              <w:rPr>
                <w:lang w:val="es-ES"/>
              </w:rPr>
              <w:t xml:space="preserve">l</w:t>
            </w:r>
            <w:r>
              <w:rPr>
                <w:lang w:val="es-ES"/>
              </w:rPr>
              <w:t xml:space="preserve">isis de informaci</w:t>
            </w:r>
            <w:r>
              <w:rPr>
                <w:lang w:val="es-ES"/>
              </w:rPr>
              <w:t xml:space="preserve">ón y requerimientos/desarrollador</w:t>
            </w:r>
            <w:r>
              <w:rPr>
                <w:lang w:val="es-ES"/>
              </w:rPr>
              <w:t xml:space="preserve"> </w:t>
            </w:r>
            <w:r>
              <w:rPr>
                <w:lang w:val="es-ES"/>
              </w:rPr>
            </w:r>
            <w:r/>
          </w:p>
        </w:tc>
        <w:tc>
          <w:tcPr>
            <w:tcBorders/>
            <w:tcW w:w="1604" w:type="dxa"/>
          </w:tcPr>
          <w:p>
            <w:pPr>
              <w:pStyle w:val="922"/>
              <w:pBdr/>
              <w:spacing/>
              <w:ind/>
              <w:rPr/>
            </w:pPr>
            <w:r>
              <w:rPr>
                <w:lang w:val="es-ES"/>
              </w:rPr>
              <w:t xml:space="preserve">4432267319</w:t>
            </w:r>
            <w:r/>
          </w:p>
        </w:tc>
        <w:tc>
          <w:tcPr>
            <w:tcBorders/>
            <w:tcW w:w="1200" w:type="dxa"/>
          </w:tcPr>
          <w:p>
            <w:pPr>
              <w:pStyle w:val="922"/>
              <w:pBdr/>
              <w:spacing/>
              <w:ind/>
              <w:rPr/>
            </w:pPr>
            <w:r>
              <w:rPr>
                <w:lang w:val="es-ES"/>
              </w:rPr>
              <w:t xml:space="preserve">Si</w:t>
            </w:r>
            <w:r/>
          </w:p>
        </w:tc>
      </w:tr>
      <w:tr>
        <w:trPr>
          <w:cantSplit/>
        </w:trPr>
        <w:tc>
          <w:tcPr>
            <w:tcBorders/>
            <w:tcW w:w="1700" w:type="dxa"/>
          </w:tcPr>
          <w:p>
            <w:pPr>
              <w:pStyle w:val="922"/>
              <w:pBdr/>
              <w:spacing/>
              <w:ind/>
              <w:rPr/>
            </w:pPr>
            <w:r>
              <w:rPr>
                <w:lang w:val="en-US"/>
              </w:rPr>
              <w:t xml:space="preserve">Carlos Daniel Gaona Gomez</w:t>
            </w:r>
            <w:r/>
          </w:p>
        </w:tc>
        <w:tc>
          <w:tcPr>
            <w:tcBorders/>
            <w:tcW w:w="1400" w:type="dxa"/>
          </w:tcPr>
          <w:p w14:paraId="11C5E144">
            <w:pPr>
              <w:pStyle w:val="922"/>
              <w:pBdr/>
              <w:spacing/>
              <w:ind/>
              <w:rPr/>
            </w:pPr>
            <w:r>
              <w:rPr>
                <w:lang w:val="en-US"/>
              </w:rPr>
              <w:t xml:space="preserve">Desarrollador/Scrum Master</w:t>
            </w:r>
            <w:r/>
          </w:p>
          <w:p>
            <w:pPr>
              <w:pStyle w:val="922"/>
              <w:pBdr/>
              <w:spacing/>
              <w:ind/>
              <w:rPr/>
            </w:pPr>
            <w:r/>
            <w:r/>
          </w:p>
        </w:tc>
        <w:tc>
          <w:tcPr>
            <w:tcBorders/>
            <w:tcW w:w="1500" w:type="dxa"/>
          </w:tcPr>
          <w:p>
            <w:pPr>
              <w:pStyle w:val="922"/>
              <w:pBdr/>
              <w:spacing/>
              <w:ind/>
              <w:rPr/>
            </w:pPr>
            <w:r>
              <w:rPr>
                <w:lang w:val="en-US"/>
              </w:rPr>
            </w:r>
            <w:r>
              <w:rPr>
                <w:lang w:val="en-US"/>
              </w:rPr>
              <w:t xml:space="preserve">Ing. Sistemas computacionales</w:t>
            </w:r>
            <w:r>
              <w:rPr>
                <w:lang w:val="en-US"/>
              </w:rPr>
            </w:r>
            <w:r/>
          </w:p>
        </w:tc>
        <w:tc>
          <w:tcPr>
            <w:tcBorders/>
            <w:tcW w:w="2000" w:type="dxa"/>
          </w:tcPr>
          <w:p w14:paraId="476F7955">
            <w:pPr>
              <w:pStyle w:val="922"/>
              <w:pBdr/>
              <w:spacing/>
              <w:ind/>
              <w:rPr/>
            </w:pPr>
            <w:r>
              <w:rPr>
                <w:lang w:val="es-ES"/>
              </w:rPr>
              <w:t xml:space="preserve">An</w:t>
            </w:r>
            <w:r>
              <w:rPr>
                <w:lang w:val="es-ES"/>
              </w:rPr>
              <w:t xml:space="preserve">á</w:t>
            </w:r>
            <w:r>
              <w:rPr>
                <w:lang w:val="es-ES"/>
              </w:rPr>
              <w:t xml:space="preserve">l</w:t>
            </w:r>
            <w:r>
              <w:rPr>
                <w:lang w:val="es-ES"/>
              </w:rPr>
              <w:t xml:space="preserve">isis de informaci</w:t>
            </w:r>
            <w:r>
              <w:rPr>
                <w:lang w:val="es-ES"/>
              </w:rPr>
              <w:t xml:space="preserve">ón y requerimientos/ desarrollador</w:t>
            </w:r>
            <w:r>
              <w:rPr>
                <w:lang w:val="es-ES"/>
              </w:rPr>
              <w:t xml:space="preserve"> </w:t>
            </w:r>
            <w:r/>
          </w:p>
          <w:p>
            <w:pPr>
              <w:pStyle w:val="922"/>
              <w:pBdr/>
              <w:spacing/>
              <w:ind/>
              <w:rPr/>
            </w:pPr>
            <w:r/>
            <w:r/>
          </w:p>
        </w:tc>
        <w:tc>
          <w:tcPr>
            <w:tcBorders/>
            <w:tcW w:w="1604" w:type="dxa"/>
          </w:tcPr>
          <w:p>
            <w:pPr>
              <w:pStyle w:val="922"/>
              <w:pBdr/>
              <w:spacing/>
              <w:ind/>
              <w:rPr/>
            </w:pPr>
            <w:r>
              <w:rPr>
                <w:lang w:val="es-ES"/>
              </w:rPr>
              <w:t xml:space="preserve">4434658350</w:t>
            </w:r>
            <w:r/>
          </w:p>
        </w:tc>
        <w:tc>
          <w:tcPr>
            <w:tcBorders/>
            <w:tcW w:w="1200" w:type="dxa"/>
          </w:tcPr>
          <w:p>
            <w:pPr>
              <w:pStyle w:val="922"/>
              <w:pBdr/>
              <w:spacing/>
              <w:ind/>
              <w:rPr/>
            </w:pPr>
            <w:r>
              <w:rPr>
                <w:lang w:val="es-ES"/>
              </w:rPr>
              <w:t xml:space="preserve">Si</w:t>
            </w:r>
            <w:r/>
          </w:p>
        </w:tc>
      </w:tr>
    </w:tbl>
    <w:p w14:paraId="69DF845B">
      <w:pPr>
        <w:pBdr/>
        <w:spacing w:after="60" w:before="0"/>
        <w:ind/>
        <w:rPr/>
      </w:pPr>
      <w:r/>
      <w:r/>
    </w:p>
    <w:p>
      <w:pPr>
        <w:pBdr/>
        <w:spacing w:after="60" w:before="0"/>
        <w:ind/>
        <w:rPr/>
      </w:pPr>
      <w:r/>
      <w:r/>
    </w:p>
    <w:p>
      <w:pPr>
        <w:pStyle w:val="916"/>
        <w:pBdr/>
        <w:spacing/>
        <w:ind/>
        <w:rPr/>
      </w:pPr>
      <w:r/>
      <w:bookmarkStart w:id="5" w:name="_Toc100005"/>
      <w:r>
        <w:t xml:space="preserve">1.4 Definiciones, acrónimos y abreviaturas</w:t>
      </w:r>
      <w:bookmarkEnd w:id="5"/>
      <w:r/>
      <w:r/>
    </w:p>
    <w:p>
      <w:pPr>
        <w:pBdr/>
        <w:spacing/>
        <w:ind/>
        <w:rPr/>
      </w:pPr>
      <w:r>
        <w:t xml:space="preserve">La Liga no tiene un glosario oficial. Las definiciones provienen de sus convocatorias, de la programación oficial, del levantamiento de información y de los reglamentos de referencia.</w:t>
      </w:r>
      <w:r/>
    </w:p>
    <w:p>
      <w:pPr>
        <w:pStyle w:val="923"/>
        <w:keepNext w:val="true"/>
        <w:pBdr/>
        <w:spacing/>
        <w:ind/>
        <w:rPr/>
      </w:pPr>
      <w:r>
        <w:rPr>
          <w:b/>
          <w:bCs/>
          <w:color w:val="241a61"/>
          <w:sz w:val="18"/>
          <w:szCs w:val="18"/>
        </w:rPr>
        <w:t xml:space="preserve">Tabla 3. </w:t>
      </w:r>
      <w:r>
        <w:rPr>
          <w:sz w:val="18"/>
          <w:szCs w:val="18"/>
        </w:rPr>
        <w:t xml:space="preserve">Términos del dominio.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100"/>
        <w:gridCol w:w="7304"/>
      </w:tblGrid>
      <w:tr>
        <w:trPr>
          <w:cantSplit/>
          <w:tblHeader/>
        </w:trPr>
        <w:tc>
          <w:tcPr>
            <w:shd w:val="clear" w:color="auto" w:fill="241a61"/>
            <w:tcBorders/>
            <w:tcW w:w="2100" w:type="dxa"/>
          </w:tcPr>
          <w:p>
            <w:pPr>
              <w:pStyle w:val="922"/>
              <w:pBdr/>
              <w:spacing/>
              <w:ind/>
              <w:rPr/>
            </w:pPr>
            <w:r>
              <w:rPr>
                <w:b/>
                <w:bCs/>
                <w:color w:val="ffffff"/>
              </w:rPr>
              <w:t xml:space="preserve">Término</w:t>
            </w:r>
            <w:r/>
          </w:p>
        </w:tc>
        <w:tc>
          <w:tcPr>
            <w:shd w:val="clear" w:color="auto" w:fill="241a61"/>
            <w:tcBorders/>
            <w:tcW w:w="7304" w:type="dxa"/>
          </w:tcPr>
          <w:p>
            <w:pPr>
              <w:pStyle w:val="922"/>
              <w:pBdr/>
              <w:spacing/>
              <w:ind/>
              <w:rPr/>
            </w:pPr>
            <w:r>
              <w:rPr>
                <w:b/>
                <w:bCs/>
                <w:color w:val="ffffff"/>
              </w:rPr>
              <w:t xml:space="preserve">Definición</w:t>
            </w:r>
            <w:r/>
          </w:p>
        </w:tc>
      </w:tr>
      <w:tr>
        <w:trPr>
          <w:cantSplit/>
        </w:trPr>
        <w:tc>
          <w:tcPr>
            <w:tcBorders/>
            <w:tcW w:w="2100" w:type="dxa"/>
          </w:tcPr>
          <w:p>
            <w:pPr>
              <w:pStyle w:val="922"/>
              <w:pBdr/>
              <w:spacing/>
              <w:ind/>
              <w:rPr/>
            </w:pPr>
            <w:r>
              <w:rPr>
                <w:b/>
                <w:bCs/>
              </w:rPr>
              <w:t xml:space="preserve">Liga</w:t>
            </w:r>
            <w:r/>
          </w:p>
        </w:tc>
        <w:tc>
          <w:tcPr>
            <w:tcBorders/>
            <w:tcW w:w="7304" w:type="dxa"/>
          </w:tcPr>
          <w:p>
            <w:pPr>
              <w:pStyle w:val="922"/>
              <w:pBdr/>
              <w:spacing/>
              <w:ind/>
              <w:rPr/>
            </w:pPr>
            <w:r>
              <w:t xml:space="preserve">Liga Municipal de Fútbol Amateur de Morelia, A.C.; cliente del Sistema.</w:t>
            </w:r>
            <w:r/>
          </w:p>
        </w:tc>
      </w:tr>
      <w:tr>
        <w:trPr>
          <w:cantSplit/>
        </w:trPr>
        <w:tc>
          <w:tcPr>
            <w:tcBorders/>
            <w:tcW w:w="2100" w:type="dxa"/>
          </w:tcPr>
          <w:p>
            <w:pPr>
              <w:pStyle w:val="922"/>
              <w:pBdr/>
              <w:spacing/>
              <w:ind/>
              <w:rPr/>
            </w:pPr>
            <w:r>
              <w:rPr>
                <w:b/>
                <w:bCs/>
              </w:rPr>
              <w:t xml:space="preserve">Consejo Directivo / Comité Ejecutivo</w:t>
            </w:r>
            <w:r/>
          </w:p>
        </w:tc>
        <w:tc>
          <w:tcPr>
            <w:tcBorders/>
            <w:tcW w:w="7304" w:type="dxa"/>
          </w:tcPr>
          <w:p>
            <w:pPr>
              <w:pStyle w:val="922"/>
              <w:pBdr/>
              <w:spacing/>
              <w:ind/>
              <w:rPr/>
            </w:pPr>
            <w:r>
              <w:t xml:space="preserve">Órganos de gobierno de la Liga. El Consejo Directivo emite las convocatorias; el Comité Ejecutivo resuelve los casos no previstos (en la rama infantil, el «Comité Directivo»).</w:t>
            </w:r>
            <w:r/>
          </w:p>
        </w:tc>
      </w:tr>
      <w:tr>
        <w:trPr>
          <w:cantSplit/>
        </w:trPr>
        <w:tc>
          <w:tcPr>
            <w:tcBorders/>
            <w:tcW w:w="2100" w:type="dxa"/>
          </w:tcPr>
          <w:p>
            <w:pPr>
              <w:pStyle w:val="922"/>
              <w:pBdr/>
              <w:spacing/>
              <w:ind/>
              <w:rPr/>
            </w:pPr>
            <w:r>
              <w:rPr>
                <w:b/>
                <w:bCs/>
              </w:rPr>
              <w:t xml:space="preserve">Mesa directiva</w:t>
            </w:r>
            <w:r/>
          </w:p>
        </w:tc>
        <w:tc>
          <w:tcPr>
            <w:tcBorders/>
            <w:tcW w:w="7304" w:type="dxa"/>
          </w:tcPr>
          <w:p>
            <w:pPr>
              <w:pStyle w:val="922"/>
              <w:pBdr/>
              <w:spacing/>
              <w:ind/>
              <w:rPr/>
            </w:pPr>
            <w:r>
              <w:t xml:space="preserve">Dirigencia de la Liga: define el formato del campeonato, reprograma partidos y resuelve recursos.</w:t>
            </w:r>
            <w:r/>
          </w:p>
        </w:tc>
      </w:tr>
      <w:tr>
        <w:trPr>
          <w:cantSplit/>
        </w:trPr>
        <w:tc>
          <w:tcPr>
            <w:tcBorders/>
            <w:tcW w:w="2100" w:type="dxa"/>
          </w:tcPr>
          <w:p>
            <w:pPr>
              <w:pStyle w:val="922"/>
              <w:pBdr/>
              <w:spacing/>
              <w:ind/>
              <w:rPr/>
            </w:pPr>
            <w:r>
              <w:rPr>
                <w:b/>
                <w:bCs/>
              </w:rPr>
              <w:t xml:space="preserve">Comisión Disciplinaria (Tribunal de Penas)</w:t>
            </w:r>
            <w:r/>
          </w:p>
        </w:tc>
        <w:tc>
          <w:tcPr>
            <w:tcBorders/>
            <w:tcW w:w="7304" w:type="dxa"/>
          </w:tcPr>
          <w:p>
            <w:pPr>
              <w:pStyle w:val="922"/>
              <w:pBdr/>
              <w:spacing/>
              <w:ind/>
              <w:rPr/>
            </w:pPr>
            <w:r>
              <w:t xml:space="preserve">Órgano que revisa las cédulas, dictamina suspensiones, resuelve inconformidades y emite el boletín de castigados.</w:t>
            </w:r>
            <w:r/>
          </w:p>
        </w:tc>
      </w:tr>
      <w:tr>
        <w:trPr>
          <w:cantSplit/>
        </w:trPr>
        <w:tc>
          <w:tcPr>
            <w:tcBorders/>
            <w:tcW w:w="2100" w:type="dxa"/>
          </w:tcPr>
          <w:p>
            <w:pPr>
              <w:pStyle w:val="922"/>
              <w:pBdr/>
              <w:spacing/>
              <w:ind/>
              <w:rPr/>
            </w:pPr>
            <w:r>
              <w:rPr>
                <w:b/>
                <w:bCs/>
              </w:rPr>
              <w:t xml:space="preserve">Club</w:t>
            </w:r>
            <w:r/>
          </w:p>
        </w:tc>
        <w:tc>
          <w:tcPr>
            <w:tcBorders/>
            <w:tcW w:w="7304" w:type="dxa"/>
          </w:tcPr>
          <w:p>
            <w:pPr>
              <w:pStyle w:val="922"/>
              <w:pBdr/>
              <w:spacing/>
              <w:ind/>
              <w:rPr/>
            </w:pPr>
            <w:r>
              <w:t xml:space="preserve">Entidad afiliada que puede inscribir equipos en varias categorías.</w:t>
            </w:r>
            <w:r/>
          </w:p>
        </w:tc>
      </w:tr>
      <w:tr>
        <w:trPr>
          <w:cantSplit/>
        </w:trPr>
        <w:tc>
          <w:tcPr>
            <w:tcBorders/>
            <w:tcW w:w="2100" w:type="dxa"/>
          </w:tcPr>
          <w:p>
            <w:pPr>
              <w:pStyle w:val="922"/>
              <w:pBdr/>
              <w:spacing/>
              <w:ind/>
              <w:rPr/>
            </w:pPr>
            <w:r>
              <w:rPr>
                <w:b/>
                <w:bCs/>
              </w:rPr>
              <w:t xml:space="preserve">Presidente del club</w:t>
            </w:r>
            <w:r/>
          </w:p>
        </w:tc>
        <w:tc>
          <w:tcPr>
            <w:tcBorders/>
            <w:tcW w:w="7304" w:type="dxa"/>
          </w:tcPr>
          <w:p>
            <w:pPr>
              <w:pStyle w:val="922"/>
              <w:pBdr/>
              <w:spacing/>
              <w:ind/>
              <w:rPr/>
            </w:pPr>
            <w:r>
              <w:t xml:space="preserve">Máxima autoridad legal del club; asiste a las asambleas de presidentes.</w:t>
            </w:r>
            <w:r/>
          </w:p>
        </w:tc>
      </w:tr>
      <w:tr>
        <w:trPr>
          <w:cantSplit/>
        </w:trPr>
        <w:tc>
          <w:tcPr>
            <w:tcBorders/>
            <w:tcW w:w="2100" w:type="dxa"/>
          </w:tcPr>
          <w:p>
            <w:pPr>
              <w:pStyle w:val="922"/>
              <w:pBdr/>
              <w:spacing/>
              <w:ind/>
              <w:rPr/>
            </w:pPr>
            <w:r>
              <w:rPr>
                <w:b/>
                <w:bCs/>
              </w:rPr>
              <w:t xml:space="preserve">Delegado</w:t>
            </w:r>
            <w:r/>
          </w:p>
        </w:tc>
        <w:tc>
          <w:tcPr>
            <w:tcBorders/>
            <w:tcW w:w="7304" w:type="dxa"/>
          </w:tcPr>
          <w:p>
            <w:pPr>
              <w:pStyle w:val="922"/>
              <w:pBdr/>
              <w:spacing/>
              <w:ind/>
              <w:rPr/>
            </w:pPr>
            <w:r>
              <w:t xml:space="preserve">Vínculo operativo entre el club y la Liga: asiste a las reuniones semanales, paga arbitrajes, recoge credenciales y notifica sanciones.</w:t>
            </w:r>
            <w:r/>
          </w:p>
        </w:tc>
      </w:tr>
      <w:tr>
        <w:trPr>
          <w:cantSplit/>
        </w:trPr>
        <w:tc>
          <w:tcPr>
            <w:tcBorders/>
            <w:tcW w:w="2100" w:type="dxa"/>
          </w:tcPr>
          <w:p>
            <w:pPr>
              <w:pStyle w:val="922"/>
              <w:pBdr/>
              <w:spacing/>
              <w:ind/>
              <w:rPr/>
            </w:pPr>
            <w:r>
              <w:rPr>
                <w:b/>
                <w:bCs/>
              </w:rPr>
              <w:t xml:space="preserve">Fuerza / franquicia</w:t>
            </w:r>
            <w:r/>
          </w:p>
        </w:tc>
        <w:tc>
          <w:tcPr>
            <w:tcBorders/>
            <w:tcW w:w="7304" w:type="dxa"/>
          </w:tcPr>
          <w:p>
            <w:pPr>
              <w:pStyle w:val="922"/>
              <w:pBdr/>
              <w:spacing/>
              <w:ind/>
              <w:rPr/>
            </w:pPr>
            <w:r>
              <w:t xml:space="preserve">Fuerza: categoría inscrita por un club. Franquicia: derecho del club a participar en ella.</w:t>
            </w:r>
            <w:r/>
          </w:p>
        </w:tc>
      </w:tr>
      <w:tr>
        <w:trPr>
          <w:cantSplit/>
        </w:trPr>
        <w:tc>
          <w:tcPr>
            <w:tcBorders/>
            <w:tcW w:w="2100" w:type="dxa"/>
          </w:tcPr>
          <w:p>
            <w:pPr>
              <w:pStyle w:val="922"/>
              <w:pBdr/>
              <w:spacing/>
              <w:ind/>
              <w:rPr/>
            </w:pPr>
            <w:r>
              <w:rPr>
                <w:b/>
                <w:bCs/>
              </w:rPr>
              <w:t xml:space="preserve">Temporada</w:t>
            </w:r>
            <w:r/>
          </w:p>
        </w:tc>
        <w:tc>
          <w:tcPr>
            <w:tcBorders/>
            <w:tcW w:w="7304" w:type="dxa"/>
          </w:tcPr>
          <w:p>
            <w:pPr>
              <w:pStyle w:val="922"/>
              <w:pBdr/>
              <w:spacing/>
              <w:ind/>
              <w:rPr/>
            </w:pPr>
            <w:r>
              <w:t xml:space="preserve">Ciclo anual de competencia (por ejemplo, 2026–2027); la oficial incluye torneo de liga, liguilla, campeón de campeones y goleo.</w:t>
            </w:r>
            <w:r/>
          </w:p>
        </w:tc>
      </w:tr>
      <w:tr>
        <w:trPr>
          <w:cantSplit/>
        </w:trPr>
        <w:tc>
          <w:tcPr>
            <w:tcBorders/>
            <w:tcW w:w="2100" w:type="dxa"/>
          </w:tcPr>
          <w:p>
            <w:pPr>
              <w:pStyle w:val="922"/>
              <w:pBdr/>
              <w:spacing/>
              <w:ind/>
              <w:rPr/>
            </w:pPr>
            <w:r>
              <w:rPr>
                <w:b/>
                <w:bCs/>
              </w:rPr>
              <w:t xml:space="preserve">Convocatoria</w:t>
            </w:r>
            <w:r/>
          </w:p>
        </w:tc>
        <w:tc>
          <w:tcPr>
            <w:tcBorders/>
            <w:tcW w:w="7304" w:type="dxa"/>
          </w:tcPr>
          <w:p>
            <w:pPr>
              <w:pStyle w:val="922"/>
              <w:pBdr/>
              <w:spacing/>
              <w:ind/>
              <w:rPr/>
            </w:pPr>
            <w:r>
              <w:t xml:space="preserve">Documento normativo anual de cada rama: fechas, categorías, requisitos, cuotas, ascensos, descensos y premios.</w:t>
            </w:r>
            <w:r/>
          </w:p>
        </w:tc>
      </w:tr>
      <w:tr>
        <w:trPr>
          <w:cantSplit/>
        </w:trPr>
        <w:tc>
          <w:tcPr>
            <w:tcBorders/>
            <w:tcW w:w="2100" w:type="dxa"/>
          </w:tcPr>
          <w:p>
            <w:pPr>
              <w:pStyle w:val="922"/>
              <w:pBdr/>
              <w:spacing/>
              <w:ind/>
              <w:rPr/>
            </w:pPr>
            <w:r>
              <w:rPr>
                <w:b/>
                <w:bCs/>
              </w:rPr>
              <w:t xml:space="preserve">Torneo de Liga</w:t>
            </w:r>
            <w:r/>
          </w:p>
        </w:tc>
        <w:tc>
          <w:tcPr>
            <w:tcBorders/>
            <w:tcW w:w="7304" w:type="dxa"/>
          </w:tcPr>
          <w:p>
            <w:pPr>
              <w:pStyle w:val="922"/>
              <w:pBdr/>
              <w:spacing/>
              <w:ind/>
              <w:rPr/>
            </w:pPr>
            <w:r>
              <w:t xml:space="preserve">Competencia de la temporada, todos contra todos, por puntos acumulados.</w:t>
            </w:r>
            <w:r/>
          </w:p>
        </w:tc>
      </w:tr>
      <w:tr>
        <w:trPr>
          <w:cantSplit/>
        </w:trPr>
        <w:tc>
          <w:tcPr>
            <w:tcBorders/>
            <w:tcW w:w="2100" w:type="dxa"/>
          </w:tcPr>
          <w:p>
            <w:pPr>
              <w:pStyle w:val="922"/>
              <w:pBdr/>
              <w:spacing/>
              <w:ind/>
              <w:rPr/>
            </w:pPr>
            <w:r>
              <w:rPr>
                <w:b/>
                <w:bCs/>
              </w:rPr>
              <w:t xml:space="preserve">Torneo de Copa</w:t>
            </w:r>
            <w:r/>
          </w:p>
        </w:tc>
        <w:tc>
          <w:tcPr>
            <w:tcBorders/>
            <w:tcW w:w="7304" w:type="dxa"/>
          </w:tcPr>
          <w:p>
            <w:pPr>
              <w:pStyle w:val="922"/>
              <w:pBdr/>
              <w:spacing/>
              <w:ind/>
              <w:rPr/>
            </w:pPr>
            <w:r>
              <w:t xml:space="preserve">Certamen complementario simultáneo a la temporada regular.</w:t>
            </w:r>
            <w:r/>
          </w:p>
        </w:tc>
      </w:tr>
      <w:tr>
        <w:trPr>
          <w:cantSplit/>
        </w:trPr>
        <w:tc>
          <w:tcPr>
            <w:tcBorders/>
            <w:tcW w:w="2100" w:type="dxa"/>
          </w:tcPr>
          <w:p>
            <w:pPr>
              <w:pStyle w:val="922"/>
              <w:pBdr/>
              <w:spacing/>
              <w:ind/>
              <w:rPr/>
            </w:pPr>
            <w:r>
              <w:rPr>
                <w:b/>
                <w:bCs/>
              </w:rPr>
              <w:t xml:space="preserve">Liguilla</w:t>
            </w:r>
            <w:r/>
          </w:p>
        </w:tc>
        <w:tc>
          <w:tcPr>
            <w:tcBorders/>
            <w:tcW w:w="7304" w:type="dxa"/>
          </w:tcPr>
          <w:p>
            <w:pPr>
              <w:pStyle w:val="922"/>
              <w:pBdr/>
              <w:spacing/>
              <w:ind/>
              <w:rPr/>
            </w:pPr>
            <w:r>
              <w:t xml:space="preserve">Fase final: califican los 8 primeros de cada grupo (1.° vs. 8.°, 2.° vs. 7.°, 3.° vs. 6.°, 4.° vs. 5.°) hasta la final.</w:t>
            </w:r>
            <w:r/>
          </w:p>
        </w:tc>
      </w:tr>
      <w:tr>
        <w:trPr>
          <w:cantSplit/>
        </w:trPr>
        <w:tc>
          <w:tcPr>
            <w:tcBorders/>
            <w:tcW w:w="2100" w:type="dxa"/>
          </w:tcPr>
          <w:p>
            <w:pPr>
              <w:pStyle w:val="922"/>
              <w:pBdr/>
              <w:spacing/>
              <w:ind/>
              <w:rPr/>
            </w:pPr>
            <w:r>
              <w:rPr>
                <w:b/>
                <w:bCs/>
              </w:rPr>
              <w:t xml:space="preserve">Campeón alterno</w:t>
            </w:r>
            <w:r/>
          </w:p>
        </w:tc>
        <w:tc>
          <w:tcPr>
            <w:tcBorders/>
            <w:tcW w:w="7304" w:type="dxa"/>
          </w:tcPr>
          <w:p>
            <w:pPr>
              <w:pStyle w:val="922"/>
              <w:pBdr/>
              <w:spacing/>
              <w:ind/>
              <w:rPr/>
            </w:pPr>
            <w:r>
              <w:t xml:space="preserve">Campeón de la liguilla secundaria o de consolación, que juegan los equipos de media tabla (por ejemplo, del 9.° al 16.° lugar).</w:t>
            </w:r>
            <w:r/>
          </w:p>
        </w:tc>
      </w:tr>
      <w:tr>
        <w:trPr>
          <w:cantSplit/>
        </w:trPr>
        <w:tc>
          <w:tcPr>
            <w:tcBorders/>
            <w:tcW w:w="2100" w:type="dxa"/>
          </w:tcPr>
          <w:p>
            <w:pPr>
              <w:pStyle w:val="922"/>
              <w:pBdr/>
              <w:spacing/>
              <w:ind/>
              <w:rPr/>
            </w:pPr>
            <w:r>
              <w:rPr>
                <w:b/>
                <w:bCs/>
              </w:rPr>
              <w:t xml:space="preserve">Campeón de Campeones</w:t>
            </w:r>
            <w:r/>
          </w:p>
        </w:tc>
        <w:tc>
          <w:tcPr>
            <w:tcBorders/>
            <w:tcW w:w="7304" w:type="dxa"/>
          </w:tcPr>
          <w:p>
            <w:pPr>
              <w:pStyle w:val="922"/>
              <w:pBdr/>
              <w:spacing/>
              <w:ind/>
              <w:rPr/>
            </w:pPr>
            <w:r>
              <w:t xml:space="preserve">Partido final entre el campeón de liga y el campeón de liguilla.</w:t>
            </w:r>
            <w:r/>
          </w:p>
        </w:tc>
      </w:tr>
      <w:tr>
        <w:trPr>
          <w:cantSplit/>
        </w:trPr>
        <w:tc>
          <w:tcPr>
            <w:tcBorders/>
            <w:tcW w:w="2100" w:type="dxa"/>
          </w:tcPr>
          <w:p>
            <w:pPr>
              <w:pStyle w:val="922"/>
              <w:pBdr/>
              <w:spacing/>
              <w:ind/>
              <w:rPr/>
            </w:pPr>
            <w:r>
              <w:rPr>
                <w:b/>
                <w:bCs/>
              </w:rPr>
              <w:t xml:space="preserve">Rama / categoría / grupo</w:t>
            </w:r>
            <w:r/>
          </w:p>
        </w:tc>
        <w:tc>
          <w:tcPr>
            <w:tcBorders/>
            <w:tcW w:w="7304" w:type="dxa"/>
          </w:tcPr>
          <w:p>
            <w:pPr>
              <w:pStyle w:val="922"/>
              <w:pBdr/>
              <w:spacing/>
              <w:ind/>
              <w:rPr/>
            </w:pPr>
            <w:r>
              <w:t xml:space="preserve">Rama: libre, veteranos, femenil o infantil. Categoría: división por nivel o año de nacimiento (Tabla 4). Grupo: subdivisión de una categoría.</w:t>
            </w:r>
            <w:r/>
          </w:p>
        </w:tc>
      </w:tr>
      <w:tr>
        <w:trPr>
          <w:cantSplit/>
        </w:trPr>
        <w:tc>
          <w:tcPr>
            <w:tcBorders/>
            <w:tcW w:w="2100" w:type="dxa"/>
          </w:tcPr>
          <w:p>
            <w:pPr>
              <w:pStyle w:val="922"/>
              <w:pBdr/>
              <w:spacing/>
              <w:ind/>
              <w:rPr/>
            </w:pPr>
            <w:r>
              <w:rPr>
                <w:b/>
                <w:bCs/>
              </w:rPr>
              <w:t xml:space="preserve">Ascenso / descenso</w:t>
            </w:r>
            <w:r/>
          </w:p>
        </w:tc>
        <w:tc>
          <w:tcPr>
            <w:tcBorders/>
            <w:tcW w:w="7304" w:type="dxa"/>
          </w:tcPr>
          <w:p>
            <w:pPr>
              <w:pStyle w:val="922"/>
              <w:pBdr/>
              <w:spacing/>
              <w:ind/>
              <w:rPr/>
            </w:pPr>
            <w:r>
              <w:t xml:space="preserve">Paso de un equipo a la categoría superior (campeón y subcampeón de liguilla) o inferior (últimos lugares de cada grupo).</w:t>
            </w:r>
            <w:r/>
          </w:p>
        </w:tc>
      </w:tr>
      <w:tr>
        <w:trPr>
          <w:cantSplit/>
        </w:trPr>
        <w:tc>
          <w:tcPr>
            <w:tcBorders/>
            <w:tcW w:w="2100" w:type="dxa"/>
          </w:tcPr>
          <w:p>
            <w:pPr>
              <w:pStyle w:val="922"/>
              <w:pBdr/>
              <w:spacing/>
              <w:ind/>
              <w:rPr/>
            </w:pPr>
            <w:r>
              <w:rPr>
                <w:b/>
                <w:bCs/>
              </w:rPr>
              <w:t xml:space="preserve">Jornada / fecha</w:t>
            </w:r>
            <w:r/>
          </w:p>
        </w:tc>
        <w:tc>
          <w:tcPr>
            <w:tcBorders/>
            <w:tcW w:w="7304" w:type="dxa"/>
          </w:tcPr>
          <w:p>
            <w:pPr>
              <w:pStyle w:val="922"/>
              <w:pBdr/>
              <w:spacing/>
              <w:ind/>
              <w:rPr/>
            </w:pPr>
            <w:r>
              <w:t xml:space="preserve">Jornada: número de ronda del torneo. Fecha: día exacto en que se juega un partido.</w:t>
            </w:r>
            <w:r/>
          </w:p>
        </w:tc>
      </w:tr>
      <w:tr>
        <w:trPr>
          <w:cantSplit/>
        </w:trPr>
        <w:tc>
          <w:tcPr>
            <w:tcBorders/>
            <w:tcW w:w="2100" w:type="dxa"/>
          </w:tcPr>
          <w:p>
            <w:pPr>
              <w:pStyle w:val="922"/>
              <w:pBdr/>
              <w:spacing/>
              <w:ind/>
              <w:rPr/>
            </w:pPr>
            <w:r>
              <w:rPr>
                <w:b/>
                <w:bCs/>
              </w:rPr>
              <w:t xml:space="preserve">Programación oficial</w:t>
            </w:r>
            <w:r/>
          </w:p>
        </w:tc>
        <w:tc>
          <w:tcPr>
            <w:tcBorders/>
            <w:tcW w:w="7304" w:type="dxa"/>
          </w:tcPr>
          <w:p>
            <w:pPr>
              <w:pStyle w:val="922"/>
              <w:pBdr/>
              <w:spacing/>
              <w:ind/>
              <w:rPr/>
            </w:pPr>
            <w:r>
              <w:t xml:space="preserve">Publicación por día, categoría y jornada con número de partido, equipos, cancha, horario y árbitro; incluye descansos y resultados por default.</w:t>
            </w:r>
            <w:r/>
          </w:p>
        </w:tc>
      </w:tr>
      <w:tr>
        <w:trPr>
          <w:cantSplit/>
        </w:trPr>
        <w:tc>
          <w:tcPr>
            <w:tcBorders/>
            <w:tcW w:w="2100" w:type="dxa"/>
          </w:tcPr>
          <w:p>
            <w:pPr>
              <w:pStyle w:val="922"/>
              <w:pBdr/>
              <w:spacing/>
              <w:ind/>
              <w:rPr/>
            </w:pPr>
            <w:r>
              <w:rPr>
                <w:b/>
                <w:bCs/>
              </w:rPr>
              <w:t xml:space="preserve">Resultado por default</w:t>
            </w:r>
            <w:r/>
          </w:p>
        </w:tc>
        <w:tc>
          <w:tcPr>
            <w:tcBorders/>
            <w:tcW w:w="7304" w:type="dxa"/>
          </w:tcPr>
          <w:p>
            <w:pPr>
              <w:pStyle w:val="922"/>
              <w:pBdr/>
              <w:spacing/>
              <w:ind/>
              <w:rPr/>
            </w:pPr>
            <w:r>
              <w:t xml:space="preserve">Victoria sin disputar el partido, por ejemplo por incomparecencia del rival; el ganador recibe los tres puntos y paga su arbitraje.</w:t>
            </w:r>
            <w:r/>
          </w:p>
        </w:tc>
      </w:tr>
      <w:tr>
        <w:trPr>
          <w:cantSplit/>
        </w:trPr>
        <w:tc>
          <w:tcPr>
            <w:tcBorders/>
            <w:tcW w:w="2100" w:type="dxa"/>
          </w:tcPr>
          <w:p>
            <w:pPr>
              <w:pStyle w:val="922"/>
              <w:pBdr/>
              <w:spacing/>
              <w:ind/>
              <w:rPr/>
            </w:pPr>
            <w:r>
              <w:rPr>
                <w:b/>
                <w:bCs/>
              </w:rPr>
              <w:t xml:space="preserve">«Ya terminó» / «Descansa»</w:t>
            </w:r>
            <w:r/>
          </w:p>
        </w:tc>
        <w:tc>
          <w:tcPr>
            <w:tcBorders/>
            <w:tcW w:w="7304" w:type="dxa"/>
          </w:tcPr>
          <w:p>
            <w:pPr>
              <w:pStyle w:val="922"/>
              <w:pBdr/>
              <w:spacing/>
              <w:ind/>
              <w:rPr/>
            </w:pPr>
            <w:r>
              <w:t xml:space="preserve">El partido ya se jugó y finalizó / el equipo no juega en esa jornada.</w:t>
            </w:r>
            <w:r/>
          </w:p>
        </w:tc>
      </w:tr>
      <w:tr>
        <w:trPr>
          <w:cantSplit/>
        </w:trPr>
        <w:tc>
          <w:tcPr>
            <w:tcBorders/>
            <w:tcW w:w="2100" w:type="dxa"/>
          </w:tcPr>
          <w:p>
            <w:pPr>
              <w:pStyle w:val="922"/>
              <w:pBdr/>
              <w:spacing/>
              <w:ind/>
              <w:rPr/>
            </w:pPr>
            <w:r>
              <w:rPr>
                <w:b/>
                <w:bCs/>
              </w:rPr>
              <w:t xml:space="preserve">U.D.C.</w:t>
            </w:r>
            <w:r/>
          </w:p>
        </w:tc>
        <w:tc>
          <w:tcPr>
            <w:tcBorders/>
            <w:tcW w:w="7304" w:type="dxa"/>
          </w:tcPr>
          <w:p>
            <w:pPr>
              <w:pStyle w:val="922"/>
              <w:pBdr/>
              <w:spacing/>
              <w:ind/>
              <w:rPr/>
            </w:pPr>
            <w:r>
              <w:t xml:space="preserve">Unidad Deportiva Cuauhtémoc, sede principal, con 40 canchas.</w:t>
            </w:r>
            <w:r/>
          </w:p>
        </w:tc>
      </w:tr>
      <w:tr>
        <w:trPr>
          <w:cantSplit/>
        </w:trPr>
        <w:tc>
          <w:tcPr>
            <w:tcBorders/>
            <w:tcW w:w="2100" w:type="dxa"/>
          </w:tcPr>
          <w:p>
            <w:pPr>
              <w:pStyle w:val="922"/>
              <w:pBdr/>
              <w:spacing/>
              <w:ind/>
              <w:rPr/>
            </w:pPr>
            <w:r>
              <w:rPr>
                <w:b/>
                <w:bCs/>
              </w:rPr>
              <w:t xml:space="preserve">Árbitro y colegio de árbitros</w:t>
            </w:r>
            <w:r/>
          </w:p>
        </w:tc>
        <w:tc>
          <w:tcPr>
            <w:tcBorders/>
            <w:tcW w:w="7304" w:type="dxa"/>
          </w:tcPr>
          <w:p>
            <w:pPr>
              <w:pStyle w:val="922"/>
              <w:pBdr/>
              <w:spacing/>
              <w:ind/>
              <w:rPr/>
            </w:pPr>
            <w:r>
              <w:t xml:space="preserve">La Liga contrata colegios de arbitraje independientes que proveen a los árbitros.</w:t>
            </w:r>
            <w:r/>
          </w:p>
        </w:tc>
      </w:tr>
      <w:tr>
        <w:trPr>
          <w:cantSplit/>
        </w:trPr>
        <w:tc>
          <w:tcPr>
            <w:tcBorders/>
            <w:tcW w:w="2100" w:type="dxa"/>
          </w:tcPr>
          <w:p>
            <w:pPr>
              <w:pStyle w:val="922"/>
              <w:pBdr/>
              <w:spacing/>
              <w:ind/>
              <w:rPr/>
            </w:pPr>
            <w:r>
              <w:rPr>
                <w:b/>
                <w:bCs/>
              </w:rPr>
              <w:t xml:space="preserve">Cédula arbitral</w:t>
            </w:r>
            <w:r/>
          </w:p>
        </w:tc>
        <w:tc>
          <w:tcPr>
            <w:tcBorders/>
            <w:tcW w:w="7304" w:type="dxa"/>
          </w:tcPr>
          <w:p>
            <w:pPr>
              <w:pStyle w:val="922"/>
              <w:pBdr/>
              <w:spacing/>
              <w:ind/>
              <w:rPr/>
            </w:pPr>
            <w:r>
              <w:t xml:space="preserve">Formato donde se registran alineaciones (nombre, número y credencial), goles, tarjetas, motivos de expulsión y observaciones; la firman árbitro y capitanes.</w:t>
            </w:r>
            <w:r/>
          </w:p>
        </w:tc>
      </w:tr>
      <w:tr>
        <w:trPr>
          <w:cantSplit/>
        </w:trPr>
        <w:tc>
          <w:tcPr>
            <w:tcBorders/>
            <w:tcW w:w="2100" w:type="dxa"/>
          </w:tcPr>
          <w:p>
            <w:pPr>
              <w:pStyle w:val="922"/>
              <w:pBdr/>
              <w:spacing/>
              <w:ind/>
              <w:rPr/>
            </w:pPr>
            <w:r>
              <w:rPr>
                <w:b/>
                <w:bCs/>
              </w:rPr>
              <w:t xml:space="preserve">Credencial y registro de jugador</w:t>
            </w:r>
            <w:r/>
          </w:p>
        </w:tc>
        <w:tc>
          <w:tcPr>
            <w:tcBorders/>
            <w:tcW w:w="7304" w:type="dxa"/>
          </w:tcPr>
          <w:p>
            <w:pPr>
              <w:pStyle w:val="922"/>
              <w:pBdr/>
              <w:spacing/>
              <w:ind/>
              <w:rPr/>
            </w:pPr>
            <w:r>
              <w:t xml:space="preserve">Registro: inscripción del jugador en una categoría para la temporada ($40.00). Credencial: identificación oficial que coteja el árbitro.</w:t>
            </w:r>
            <w:r/>
          </w:p>
        </w:tc>
      </w:tr>
      <w:tr>
        <w:trPr>
          <w:cantSplit/>
        </w:trPr>
        <w:tc>
          <w:tcPr>
            <w:tcBorders/>
            <w:tcW w:w="2100" w:type="dxa"/>
          </w:tcPr>
          <w:p>
            <w:pPr>
              <w:pStyle w:val="922"/>
              <w:pBdr/>
              <w:spacing/>
              <w:ind/>
              <w:rPr/>
            </w:pPr>
            <w:r>
              <w:rPr>
                <w:b/>
                <w:bCs/>
              </w:rPr>
              <w:t xml:space="preserve">Incidencia / suspensión</w:t>
            </w:r>
            <w:r/>
          </w:p>
        </w:tc>
        <w:tc>
          <w:tcPr>
            <w:tcBorders/>
            <w:tcW w:w="7304" w:type="dxa"/>
          </w:tcPr>
          <w:p>
            <w:pPr>
              <w:pStyle w:val="922"/>
              <w:pBdr/>
              <w:spacing/>
              <w:ind/>
              <w:rPr/>
            </w:pPr>
            <w:r>
              <w:t xml:space="preserve">Incidencia: gol, tarjeta u observación en la cédula. Suspensión: partidos que un jugador no puede jugar por sanción.</w:t>
            </w:r>
            <w:r/>
          </w:p>
        </w:tc>
      </w:tr>
      <w:tr>
        <w:trPr>
          <w:cantSplit/>
        </w:trPr>
        <w:tc>
          <w:tcPr>
            <w:tcBorders/>
            <w:tcW w:w="2100" w:type="dxa"/>
          </w:tcPr>
          <w:p>
            <w:pPr>
              <w:pStyle w:val="922"/>
              <w:pBdr/>
              <w:spacing/>
              <w:ind/>
              <w:rPr/>
            </w:pPr>
            <w:r>
              <w:rPr>
                <w:b/>
                <w:bCs/>
              </w:rPr>
              <w:t xml:space="preserve">Boletín de castigados</w:t>
            </w:r>
            <w:r/>
          </w:p>
        </w:tc>
        <w:tc>
          <w:tcPr>
            <w:tcBorders/>
            <w:tcW w:w="7304" w:type="dxa"/>
          </w:tcPr>
          <w:p>
            <w:pPr>
              <w:pStyle w:val="922"/>
              <w:pBdr/>
              <w:spacing/>
              <w:ind/>
              <w:rPr/>
            </w:pPr>
            <w:r>
              <w:t xml:space="preserve">Lista oficial semanal de jugadores suspendidos.</w:t>
            </w:r>
            <w:r/>
          </w:p>
        </w:tc>
      </w:tr>
      <w:tr>
        <w:trPr>
          <w:cantSplit/>
        </w:trPr>
        <w:tc>
          <w:tcPr>
            <w:tcBorders/>
            <w:tcW w:w="2100" w:type="dxa"/>
          </w:tcPr>
          <w:p>
            <w:pPr>
              <w:pStyle w:val="922"/>
              <w:pBdr/>
              <w:spacing/>
              <w:ind/>
              <w:rPr/>
            </w:pPr>
            <w:r>
              <w:rPr>
                <w:b/>
                <w:bCs/>
              </w:rPr>
              <w:t xml:space="preserve">Inconformidad</w:t>
            </w:r>
            <w:r/>
          </w:p>
        </w:tc>
        <w:tc>
          <w:tcPr>
            <w:tcBorders/>
            <w:tcW w:w="7304" w:type="dxa"/>
          </w:tcPr>
          <w:p>
            <w:pPr>
              <w:pStyle w:val="922"/>
              <w:pBdr/>
              <w:spacing/>
              <w:ind/>
              <w:rPr/>
            </w:pPr>
            <w:r>
              <w:t xml:space="preserve">Queja formal inicial que presenta un delegado o capitán, por escrito y con fianza, ante la Comisión Disciplinaria por un reporte arbitral, una alineación indebida o un resultado.</w:t>
            </w:r>
            <w:r/>
          </w:p>
        </w:tc>
      </w:tr>
      <w:tr>
        <w:trPr>
          <w:cantSplit/>
        </w:trPr>
        <w:tc>
          <w:tcPr>
            <w:tcBorders/>
            <w:tcW w:w="2100" w:type="dxa"/>
          </w:tcPr>
          <w:p>
            <w:pPr>
              <w:pStyle w:val="922"/>
              <w:pBdr/>
              <w:spacing/>
              <w:ind/>
              <w:rPr/>
            </w:pPr>
            <w:r>
              <w:rPr>
                <w:b/>
                <w:bCs/>
              </w:rPr>
              <w:t xml:space="preserve">Recurso (apelación o revisión)</w:t>
            </w:r>
            <w:r/>
          </w:p>
        </w:tc>
        <w:tc>
          <w:tcPr>
            <w:tcBorders/>
            <w:tcW w:w="7304" w:type="dxa"/>
          </w:tcPr>
          <w:p>
            <w:pPr>
              <w:pStyle w:val="922"/>
              <w:pBdr/>
              <w:spacing/>
              <w:ind/>
              <w:rPr/>
            </w:pPr>
            <w:r>
              <w:t xml:space="preserve">Segunda instancia: si la Comisión Disciplinaria falla en contra, el equipo recurre ante la Mesa Directiva o la Asamblea de Presidentes.</w:t>
            </w:r>
            <w:r/>
          </w:p>
        </w:tc>
      </w:tr>
      <w:tr>
        <w:trPr>
          <w:cantSplit/>
        </w:trPr>
        <w:tc>
          <w:tcPr>
            <w:tcBorders/>
            <w:tcW w:w="2100" w:type="dxa"/>
          </w:tcPr>
          <w:p>
            <w:pPr>
              <w:pStyle w:val="922"/>
              <w:pBdr/>
              <w:spacing/>
              <w:ind/>
              <w:rPr/>
            </w:pPr>
            <w:r>
              <w:rPr>
                <w:b/>
                <w:bCs/>
              </w:rPr>
              <w:t xml:space="preserve">Aportaciones</w:t>
            </w:r>
            <w:r/>
          </w:p>
        </w:tc>
        <w:tc>
          <w:tcPr>
            <w:tcBorders/>
            <w:tcW w:w="7304" w:type="dxa"/>
          </w:tcPr>
          <w:p>
            <w:pPr>
              <w:pStyle w:val="922"/>
              <w:pBdr/>
              <w:spacing/>
              <w:ind/>
              <w:rPr/>
            </w:pPr>
            <w:r>
              <w:t xml:space="preserve">Pagos de los clubes a la Liga: inscripción por categoría, registros, arbitraje semanal ($125.00 por categoría), mantenimiento de canchas, trofeos y cal.</w:t>
            </w:r>
            <w:r/>
          </w:p>
        </w:tc>
      </w:tr>
      <w:tr>
        <w:trPr>
          <w:cantSplit/>
        </w:trPr>
        <w:tc>
          <w:tcPr>
            <w:tcBorders/>
            <w:tcW w:w="2100" w:type="dxa"/>
          </w:tcPr>
          <w:p>
            <w:pPr>
              <w:pStyle w:val="922"/>
              <w:pBdr/>
              <w:spacing/>
              <w:ind/>
              <w:rPr/>
            </w:pPr>
            <w:r>
              <w:rPr>
                <w:b/>
                <w:bCs/>
              </w:rPr>
              <w:t xml:space="preserve">Usuario con cuenta / usuario público</w:t>
            </w:r>
            <w:r/>
          </w:p>
        </w:tc>
        <w:tc>
          <w:tcPr>
            <w:tcBorders/>
            <w:tcW w:w="7304" w:type="dxa"/>
          </w:tcPr>
          <w:p>
            <w:pPr>
              <w:pStyle w:val="922"/>
              <w:pBdr/>
              <w:spacing/>
              <w:ind/>
              <w:rPr/>
            </w:pPr>
            <w:r>
              <w:t xml:space="preserve">Usuario con cuenta: integrante de la Liga, club, árbitro o jugador. Usuario público: consulta sin cuenta.</w:t>
            </w:r>
            <w:r/>
          </w:p>
        </w:tc>
      </w:tr>
      <w:tr>
        <w:trPr>
          <w:cantSplit/>
        </w:trPr>
        <w:tc>
          <w:tcPr>
            <w:tcBorders/>
            <w:tcW w:w="2100" w:type="dxa"/>
          </w:tcPr>
          <w:p>
            <w:pPr>
              <w:pStyle w:val="922"/>
              <w:pBdr/>
              <w:spacing/>
              <w:ind/>
              <w:rPr/>
            </w:pPr>
            <w:r>
              <w:rPr>
                <w:b/>
                <w:bCs/>
              </w:rPr>
              <w:t xml:space="preserve">Equipo</w:t>
            </w:r>
            <w:r/>
          </w:p>
        </w:tc>
        <w:tc>
          <w:tcPr>
            <w:tcBorders/>
            <w:tcW w:w="7304" w:type="dxa"/>
          </w:tcPr>
          <w:p>
            <w:pPr>
              <w:pStyle w:val="922"/>
              <w:pBdr/>
              <w:spacing/>
              <w:ind/>
              <w:rPr/>
            </w:pPr>
            <w:r>
              <w:t xml:space="preserve">Representación deportiva de un club en una categoría y grupo durante una temporada.</w:t>
            </w:r>
            <w:r/>
          </w:p>
        </w:tc>
      </w:tr>
      <w:tr>
        <w:trPr>
          <w:cantSplit/>
        </w:trPr>
        <w:tc>
          <w:tcPr>
            <w:tcBorders/>
            <w:tcW w:w="2100" w:type="dxa"/>
          </w:tcPr>
          <w:p>
            <w:pPr>
              <w:pStyle w:val="922"/>
              <w:pBdr/>
              <w:spacing/>
              <w:ind/>
              <w:rPr/>
            </w:pPr>
            <w:r>
              <w:rPr>
                <w:b/>
                <w:bCs/>
              </w:rPr>
              <w:t xml:space="preserve">Plantilla (roster)</w:t>
            </w:r>
            <w:r/>
          </w:p>
        </w:tc>
        <w:tc>
          <w:tcPr>
            <w:tcBorders/>
            <w:tcW w:w="7304" w:type="dxa"/>
          </w:tcPr>
          <w:p>
            <w:pPr>
              <w:pStyle w:val="922"/>
              <w:pBdr/>
              <w:spacing/>
              <w:ind/>
              <w:rPr/>
            </w:pPr>
            <w:r>
              <w:t xml:space="preserve">Relación de jugadores habilitados para un equipo.</w:t>
            </w:r>
            <w:r/>
          </w:p>
        </w:tc>
      </w:tr>
      <w:tr>
        <w:trPr>
          <w:cantSplit/>
        </w:trPr>
        <w:tc>
          <w:tcPr>
            <w:tcBorders/>
            <w:tcW w:w="2100" w:type="dxa"/>
          </w:tcPr>
          <w:p>
            <w:pPr>
              <w:pStyle w:val="922"/>
              <w:pBdr/>
              <w:spacing/>
              <w:ind/>
              <w:rPr/>
            </w:pPr>
            <w:r>
              <w:rPr>
                <w:b/>
                <w:bCs/>
              </w:rPr>
              <w:t xml:space="preserve">Sanción</w:t>
            </w:r>
            <w:r/>
          </w:p>
        </w:tc>
        <w:tc>
          <w:tcPr>
            <w:tcBorders/>
            <w:tcW w:w="7304" w:type="dxa"/>
          </w:tcPr>
          <w:p>
            <w:pPr>
              <w:pStyle w:val="922"/>
              <w:pBdr/>
              <w:spacing/>
              <w:ind/>
              <w:rPr/>
            </w:pPr>
            <w:r>
              <w:t xml:space="preserve">Medida disciplinaria derivada de una infracción.</w:t>
            </w:r>
            <w:r/>
          </w:p>
        </w:tc>
      </w:tr>
      <w:tr>
        <w:trPr>
          <w:cantSplit/>
        </w:trPr>
        <w:tc>
          <w:tcPr>
            <w:tcBorders/>
            <w:tcW w:w="2100" w:type="dxa"/>
          </w:tcPr>
          <w:p>
            <w:pPr>
              <w:pStyle w:val="922"/>
              <w:pBdr/>
              <w:spacing/>
              <w:ind/>
              <w:rPr/>
            </w:pPr>
            <w:r>
              <w:rPr>
                <w:b/>
                <w:bCs/>
              </w:rPr>
              <w:t xml:space="preserve">Fixture</w:t>
            </w:r>
            <w:r/>
          </w:p>
        </w:tc>
        <w:tc>
          <w:tcPr>
            <w:tcBorders/>
            <w:tcW w:w="7304" w:type="dxa"/>
          </w:tcPr>
          <w:p>
            <w:pPr>
              <w:pStyle w:val="922"/>
              <w:pBdr/>
              <w:spacing/>
              <w:ind/>
              <w:rPr/>
            </w:pPr>
            <w:r>
              <w:t xml:space="preserve">Programación de enfrentamientos, fechas, horarios y canchas.</w:t>
            </w:r>
            <w:r/>
          </w:p>
        </w:tc>
      </w:tr>
      <w:tr>
        <w:trPr>
          <w:cantSplit/>
        </w:trPr>
        <w:tc>
          <w:tcPr>
            <w:tcBorders/>
            <w:tcW w:w="2100" w:type="dxa"/>
          </w:tcPr>
          <w:p>
            <w:pPr>
              <w:pStyle w:val="922"/>
              <w:pBdr/>
              <w:spacing/>
              <w:ind/>
              <w:rPr/>
            </w:pPr>
            <w:r>
              <w:rPr>
                <w:b/>
                <w:bCs/>
              </w:rPr>
              <w:t xml:space="preserve">Comisión Arbitral</w:t>
            </w:r>
            <w:r/>
          </w:p>
        </w:tc>
        <w:tc>
          <w:tcPr>
            <w:tcBorders/>
            <w:tcW w:w="7304" w:type="dxa"/>
          </w:tcPr>
          <w:p>
            <w:pPr>
              <w:pStyle w:val="922"/>
              <w:pBdr/>
              <w:spacing/>
              <w:ind/>
              <w:rPr/>
            </w:pPr>
            <w:r>
              <w:t xml:space="preserve">Área que administra el padrón de árbitros de los colegios contratados y asigna árbitros a los partidos programados. Su existencia formal en la Liga está por validar.</w:t>
            </w:r>
            <w:r/>
          </w:p>
        </w:tc>
      </w:tr>
    </w:tbl>
    <w:p>
      <w:pPr>
        <w:pBdr/>
        <w:spacing w:after="60" w:before="0"/>
        <w:ind/>
        <w:rPr/>
      </w:pPr>
      <w:r/>
      <w:r/>
    </w:p>
    <w:p>
      <w:pPr>
        <w:pStyle w:val="923"/>
        <w:keepNext w:val="true"/>
        <w:pBdr/>
        <w:spacing/>
        <w:ind/>
        <w:rPr/>
      </w:pPr>
      <w:r>
        <w:rPr>
          <w:b/>
          <w:bCs/>
          <w:color w:val="241a61"/>
          <w:sz w:val="18"/>
          <w:szCs w:val="18"/>
        </w:rPr>
        <w:t xml:space="preserve">Tabla 4. </w:t>
      </w:r>
      <w:r>
        <w:rPr>
          <w:sz w:val="18"/>
          <w:szCs w:val="18"/>
        </w:rPr>
        <w:t xml:space="preserve">Categorías de la temporada 2026–2027.</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00"/>
        <w:gridCol w:w="5404"/>
        <w:gridCol w:w="2500"/>
      </w:tblGrid>
      <w:tr>
        <w:trPr>
          <w:cantSplit/>
          <w:tblHeader/>
        </w:trPr>
        <w:tc>
          <w:tcPr>
            <w:shd w:val="clear" w:color="auto" w:fill="241a61"/>
            <w:tcBorders/>
            <w:tcW w:w="1500" w:type="dxa"/>
          </w:tcPr>
          <w:p>
            <w:pPr>
              <w:pStyle w:val="922"/>
              <w:pBdr/>
              <w:spacing/>
              <w:ind/>
              <w:rPr/>
            </w:pPr>
            <w:r>
              <w:rPr>
                <w:b/>
                <w:bCs/>
                <w:color w:val="ffffff"/>
              </w:rPr>
              <w:t xml:space="preserve">Rama</w:t>
            </w:r>
            <w:r/>
          </w:p>
        </w:tc>
        <w:tc>
          <w:tcPr>
            <w:shd w:val="clear" w:color="auto" w:fill="241a61"/>
            <w:tcBorders/>
            <w:tcW w:w="5404" w:type="dxa"/>
          </w:tcPr>
          <w:p>
            <w:pPr>
              <w:pStyle w:val="922"/>
              <w:pBdr/>
              <w:spacing/>
              <w:ind/>
              <w:rPr/>
            </w:pPr>
            <w:r>
              <w:rPr>
                <w:b/>
                <w:bCs/>
                <w:color w:val="ffffff"/>
              </w:rPr>
              <w:t xml:space="preserve">Categorías</w:t>
            </w:r>
            <w:r/>
          </w:p>
        </w:tc>
        <w:tc>
          <w:tcPr>
            <w:shd w:val="clear" w:color="auto" w:fill="241a61"/>
            <w:tcBorders/>
            <w:tcW w:w="2500" w:type="dxa"/>
          </w:tcPr>
          <w:p>
            <w:pPr>
              <w:pStyle w:val="922"/>
              <w:pBdr/>
              <w:spacing/>
              <w:ind/>
              <w:rPr/>
            </w:pPr>
            <w:r>
              <w:rPr>
                <w:b/>
                <w:bCs/>
                <w:color w:val="ffffff"/>
              </w:rPr>
              <w:t xml:space="preserve">Criterio de edad</w:t>
            </w:r>
            <w:r/>
          </w:p>
        </w:tc>
      </w:tr>
      <w:tr>
        <w:trPr>
          <w:cantSplit/>
        </w:trPr>
        <w:tc>
          <w:tcPr>
            <w:tcBorders/>
            <w:tcW w:w="1500" w:type="dxa"/>
          </w:tcPr>
          <w:p>
            <w:pPr>
              <w:pStyle w:val="922"/>
              <w:pBdr/>
              <w:spacing/>
              <w:ind/>
              <w:rPr/>
            </w:pPr>
            <w:r>
              <w:rPr>
                <w:b/>
                <w:bCs/>
              </w:rPr>
              <w:t xml:space="preserve">Libre</w:t>
            </w:r>
            <w:r/>
          </w:p>
        </w:tc>
        <w:tc>
          <w:tcPr>
            <w:tcBorders/>
            <w:tcW w:w="5404" w:type="dxa"/>
          </w:tcPr>
          <w:p>
            <w:pPr>
              <w:pStyle w:val="922"/>
              <w:pBdr/>
              <w:spacing/>
              <w:ind/>
              <w:rPr/>
            </w:pPr>
            <w:r>
              <w:t xml:space="preserve">Primera Especial, Primera Fuerza, Reserva, Intermedia, Segunda Fuerza, Tercera Fuerza, Cuarta Fuerza Domingo, Cuarta Sábado, Juvenil.</w:t>
            </w:r>
            <w:r/>
          </w:p>
        </w:tc>
        <w:tc>
          <w:tcPr>
            <w:tcBorders/>
            <w:tcW w:w="2500" w:type="dxa"/>
          </w:tcPr>
          <w:p>
            <w:pPr>
              <w:pStyle w:val="922"/>
              <w:pBdr/>
              <w:spacing/>
              <w:ind/>
              <w:rPr/>
            </w:pPr>
            <w:r>
              <w:t xml:space="preserve">Mayores de 18 años; Juvenil: 2009–2010.</w:t>
            </w:r>
            <w:r/>
          </w:p>
        </w:tc>
      </w:tr>
      <w:tr>
        <w:trPr>
          <w:cantSplit/>
        </w:trPr>
        <w:tc>
          <w:tcPr>
            <w:tcBorders/>
            <w:tcW w:w="1500" w:type="dxa"/>
          </w:tcPr>
          <w:p>
            <w:pPr>
              <w:pStyle w:val="922"/>
              <w:pBdr/>
              <w:spacing/>
              <w:ind/>
              <w:rPr/>
            </w:pPr>
            <w:r>
              <w:rPr>
                <w:b/>
                <w:bCs/>
              </w:rPr>
              <w:t xml:space="preserve">Veteranos</w:t>
            </w:r>
            <w:r/>
          </w:p>
        </w:tc>
        <w:tc>
          <w:tcPr>
            <w:tcBorders/>
            <w:tcW w:w="5404" w:type="dxa"/>
          </w:tcPr>
          <w:p>
            <w:pPr>
              <w:pStyle w:val="922"/>
              <w:pBdr/>
              <w:spacing/>
              <w:ind/>
              <w:rPr/>
            </w:pPr>
            <w:r>
              <w:t xml:space="preserve">Veteranos Libre (1990 o antes), Veteranos Especiales (1984), Masters (1978), Premier (1972), Diamante (1967), Dorado (1963), Platino (1959).</w:t>
            </w:r>
            <w:r/>
          </w:p>
        </w:tc>
        <w:tc>
          <w:tcPr>
            <w:tcBorders/>
            <w:tcW w:w="2500" w:type="dxa"/>
          </w:tcPr>
          <w:p>
            <w:pPr>
              <w:pStyle w:val="922"/>
              <w:pBdr/>
              <w:spacing/>
              <w:ind/>
              <w:rPr/>
            </w:pPr>
            <w:r>
              <w:t xml:space="preserve">Año de nacimiento indicado o anterior.</w:t>
            </w:r>
            <w:r/>
          </w:p>
        </w:tc>
      </w:tr>
      <w:tr>
        <w:trPr>
          <w:cantSplit/>
        </w:trPr>
        <w:tc>
          <w:tcPr>
            <w:tcBorders/>
            <w:tcW w:w="1500" w:type="dxa"/>
          </w:tcPr>
          <w:p>
            <w:pPr>
              <w:pStyle w:val="922"/>
              <w:pBdr/>
              <w:spacing/>
              <w:ind/>
              <w:rPr/>
            </w:pPr>
            <w:r>
              <w:rPr>
                <w:b/>
                <w:bCs/>
              </w:rPr>
              <w:t xml:space="preserve">Infantil</w:t>
            </w:r>
            <w:r/>
          </w:p>
        </w:tc>
        <w:tc>
          <w:tcPr>
            <w:tcBorders/>
            <w:tcW w:w="5404" w:type="dxa"/>
          </w:tcPr>
          <w:p>
            <w:pPr>
              <w:pStyle w:val="922"/>
              <w:pBdr/>
              <w:spacing/>
              <w:ind/>
              <w:rPr/>
            </w:pPr>
            <w:r>
              <w:t xml:space="preserve">Miniponys Especiales (2021 o menores), Miniponys (2019–2020), Ponys (2017–2018), Pre infantil (2015–2016), Infantil (2013–2014), Pre juvenil (2011–2012), Juvenil (2009–2010).</w:t>
            </w:r>
            <w:r/>
          </w:p>
        </w:tc>
        <w:tc>
          <w:tcPr>
            <w:tcBorders/>
            <w:tcW w:w="2500" w:type="dxa"/>
          </w:tcPr>
          <w:p>
            <w:pPr>
              <w:pStyle w:val="922"/>
              <w:pBdr/>
              <w:spacing/>
              <w:ind/>
              <w:rPr/>
            </w:pPr>
            <w:r>
              <w:t xml:space="preserve">Año de nacimiento indicado.</w:t>
            </w:r>
            <w:r/>
          </w:p>
        </w:tc>
      </w:tr>
      <w:tr>
        <w:trPr>
          <w:cantSplit/>
        </w:trPr>
        <w:tc>
          <w:tcPr>
            <w:tcBorders/>
            <w:tcW w:w="1500" w:type="dxa"/>
          </w:tcPr>
          <w:p>
            <w:pPr>
              <w:pStyle w:val="922"/>
              <w:pBdr/>
              <w:spacing/>
              <w:ind/>
              <w:rPr/>
            </w:pPr>
            <w:r>
              <w:rPr>
                <w:b/>
                <w:bCs/>
              </w:rPr>
              <w:t xml:space="preserve">Femenil</w:t>
            </w:r>
            <w:r/>
          </w:p>
        </w:tc>
        <w:tc>
          <w:tcPr>
            <w:tcBorders/>
            <w:tcW w:w="5404" w:type="dxa"/>
          </w:tcPr>
          <w:p>
            <w:pPr>
              <w:pStyle w:val="922"/>
              <w:pBdr/>
              <w:spacing/>
              <w:ind/>
              <w:rPr/>
            </w:pPr>
            <w:r>
              <w:t xml:space="preserve">Femenil Libre; Femenil 2012 o menores.</w:t>
            </w:r>
            <w:r/>
          </w:p>
        </w:tc>
        <w:tc>
          <w:tcPr>
            <w:tcBorders/>
            <w:tcW w:w="2500" w:type="dxa"/>
          </w:tcPr>
          <w:p>
            <w:pPr>
              <w:pStyle w:val="922"/>
              <w:pBdr/>
              <w:spacing/>
              <w:ind/>
              <w:rPr/>
            </w:pPr>
            <w:r>
              <w:t xml:space="preserve">Según la convocatoria.</w:t>
            </w:r>
            <w:r/>
          </w:p>
        </w:tc>
      </w:tr>
    </w:tbl>
    <w:p w14:paraId="253BBB12">
      <w:pPr>
        <w:pStyle w:val="923"/>
        <w:keepNext w:val="true"/>
        <w:pBdr/>
        <w:spacing/>
        <w:ind/>
        <w:jc w:val="left"/>
        <w:rPr>
          <w:sz w:val="18"/>
          <w:szCs w:val="18"/>
          <w:highlight w:val="none"/>
        </w:rPr>
      </w:pPr>
      <w:r>
        <w:rPr>
          <w:sz w:val="18"/>
          <w:szCs w:val="18"/>
          <w:highlight w:val="none"/>
        </w:rPr>
      </w:r>
      <w:r>
        <w:rPr>
          <w:sz w:val="18"/>
          <w:szCs w:val="18"/>
          <w:highlight w:val="none"/>
        </w:rPr>
      </w:r>
      <w:r>
        <w:rPr>
          <w:sz w:val="18"/>
          <w:szCs w:val="18"/>
          <w:highlight w:val="none"/>
        </w:rPr>
      </w:r>
    </w:p>
    <w:p>
      <w:pPr>
        <w:pStyle w:val="923"/>
        <w:keepNext w:val="true"/>
        <w:pBdr/>
        <w:spacing/>
        <w:ind/>
        <w:rPr>
          <w:sz w:val="18"/>
          <w:szCs w:val="18"/>
          <w:highlight w:val="none"/>
        </w:rPr>
      </w:pPr>
      <w:r>
        <w:rPr>
          <w:b/>
          <w:bCs/>
          <w:color w:val="241a61"/>
          <w:sz w:val="18"/>
          <w:szCs w:val="18"/>
        </w:rPr>
        <w:t xml:space="preserve">Tabla 5. </w:t>
      </w:r>
      <w:r>
        <w:rPr>
          <w:sz w:val="18"/>
          <w:szCs w:val="18"/>
        </w:rPr>
        <w:t xml:space="preserve">Acrónimos y abreviaturas.</w:t>
      </w:r>
      <w:r>
        <w:rPr>
          <w:sz w:val="18"/>
          <w:szCs w:val="18"/>
          <w:highlight w:val="none"/>
        </w:rP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00"/>
        <w:gridCol w:w="7904"/>
      </w:tblGrid>
      <w:tr>
        <w:trPr>
          <w:cantSplit/>
          <w:tblHeader/>
        </w:trPr>
        <w:tc>
          <w:tcPr>
            <w:shd w:val="clear" w:color="auto" w:fill="241a61"/>
            <w:tcBorders/>
            <w:tcW w:w="1500" w:type="dxa"/>
          </w:tcPr>
          <w:p>
            <w:pPr>
              <w:pStyle w:val="922"/>
              <w:pBdr/>
              <w:spacing/>
              <w:ind/>
              <w:rPr/>
            </w:pPr>
            <w:r>
              <w:rPr>
                <w:b/>
                <w:bCs/>
                <w:color w:val="ffffff"/>
              </w:rPr>
              <w:t xml:space="preserve">Sigla</w:t>
            </w:r>
            <w:r/>
          </w:p>
        </w:tc>
        <w:tc>
          <w:tcPr>
            <w:shd w:val="clear" w:color="auto" w:fill="241a61"/>
            <w:tcBorders/>
            <w:tcW w:w="7904" w:type="dxa"/>
          </w:tcPr>
          <w:p>
            <w:pPr>
              <w:pStyle w:val="922"/>
              <w:pBdr/>
              <w:spacing/>
              <w:ind/>
              <w:rPr/>
            </w:pPr>
            <w:r>
              <w:rPr>
                <w:b/>
                <w:bCs/>
                <w:color w:val="ffffff"/>
              </w:rPr>
              <w:t xml:space="preserve">Significado</w:t>
            </w:r>
            <w:r/>
          </w:p>
        </w:tc>
      </w:tr>
      <w:tr>
        <w:trPr>
          <w:cantSplit/>
        </w:trPr>
        <w:tc>
          <w:tcPr>
            <w:tcBorders/>
            <w:tcW w:w="1500" w:type="dxa"/>
          </w:tcPr>
          <w:p>
            <w:pPr>
              <w:pStyle w:val="922"/>
              <w:pBdr/>
              <w:spacing/>
              <w:ind/>
              <w:rPr/>
            </w:pPr>
            <w:r>
              <w:rPr>
                <w:b/>
                <w:bCs/>
              </w:rPr>
              <w:t xml:space="preserve">A.C.</w:t>
            </w:r>
            <w:r/>
          </w:p>
        </w:tc>
        <w:tc>
          <w:tcPr>
            <w:tcBorders/>
            <w:tcW w:w="7904" w:type="dxa"/>
          </w:tcPr>
          <w:p>
            <w:pPr>
              <w:pStyle w:val="922"/>
              <w:pBdr/>
              <w:spacing/>
              <w:ind/>
              <w:rPr/>
            </w:pPr>
            <w:r>
              <w:t xml:space="preserve">Asociación Civil.</w:t>
            </w:r>
            <w:r/>
          </w:p>
        </w:tc>
      </w:tr>
      <w:tr>
        <w:trPr>
          <w:cantSplit/>
        </w:trPr>
        <w:tc>
          <w:tcPr>
            <w:tcBorders/>
            <w:tcW w:w="1500" w:type="dxa"/>
          </w:tcPr>
          <w:p>
            <w:pPr>
              <w:pStyle w:val="922"/>
              <w:pBdr/>
              <w:spacing/>
              <w:ind/>
              <w:rPr/>
            </w:pPr>
            <w:r>
              <w:rPr>
                <w:b/>
                <w:bCs/>
              </w:rPr>
              <w:t xml:space="preserve">AF</w:t>
            </w:r>
            <w:r/>
          </w:p>
        </w:tc>
        <w:tc>
          <w:tcPr>
            <w:tcBorders/>
            <w:tcW w:w="7904" w:type="dxa"/>
          </w:tcPr>
          <w:p>
            <w:pPr>
              <w:pStyle w:val="922"/>
              <w:pBdr/>
              <w:spacing/>
              <w:ind/>
              <w:rPr/>
            </w:pPr>
            <w:r>
              <w:t xml:space="preserve">Área funcional (convención de este ERS).</w:t>
            </w:r>
            <w:r/>
          </w:p>
        </w:tc>
      </w:tr>
      <w:tr>
        <w:trPr>
          <w:cantSplit/>
        </w:trPr>
        <w:tc>
          <w:tcPr>
            <w:tcBorders/>
            <w:tcW w:w="1500" w:type="dxa"/>
          </w:tcPr>
          <w:p>
            <w:pPr>
              <w:pStyle w:val="922"/>
              <w:pBdr/>
              <w:spacing/>
              <w:ind/>
              <w:rPr/>
            </w:pPr>
            <w:r>
              <w:rPr>
                <w:b/>
                <w:bCs/>
              </w:rPr>
              <w:t xml:space="preserve">CURP / INE</w:t>
            </w:r>
            <w:r/>
          </w:p>
        </w:tc>
        <w:tc>
          <w:tcPr>
            <w:tcBorders/>
            <w:tcW w:w="7904" w:type="dxa"/>
          </w:tcPr>
          <w:p>
            <w:pPr>
              <w:pStyle w:val="922"/>
              <w:pBdr/>
              <w:spacing/>
              <w:ind/>
              <w:rPr/>
            </w:pPr>
            <w:r>
              <w:t xml:space="preserve">Clave Única de Registro de Población / Instituto Nacional Electoral (credencial usada como identificación).</w:t>
            </w:r>
            <w:r/>
          </w:p>
        </w:tc>
      </w:tr>
      <w:tr>
        <w:trPr>
          <w:cantSplit/>
        </w:trPr>
        <w:tc>
          <w:tcPr>
            <w:tcBorders/>
            <w:tcW w:w="1500" w:type="dxa"/>
          </w:tcPr>
          <w:p>
            <w:pPr>
              <w:pStyle w:val="922"/>
              <w:pBdr/>
              <w:spacing/>
              <w:ind/>
              <w:rPr/>
            </w:pPr>
            <w:r>
              <w:rPr>
                <w:b/>
                <w:bCs/>
              </w:rPr>
              <w:t xml:space="preserve">ERS (SRS)</w:t>
            </w:r>
            <w:r/>
          </w:p>
        </w:tc>
        <w:tc>
          <w:tcPr>
            <w:tcBorders/>
            <w:tcW w:w="7904" w:type="dxa"/>
          </w:tcPr>
          <w:p>
            <w:pPr>
              <w:pStyle w:val="922"/>
              <w:pBdr/>
              <w:spacing/>
              <w:ind/>
              <w:rPr/>
            </w:pPr>
            <w:r>
              <w:t xml:space="preserve">Especificación de Requisitos de Software (Software Requirements Specification).</w:t>
            </w:r>
            <w:r/>
          </w:p>
        </w:tc>
      </w:tr>
      <w:tr>
        <w:trPr>
          <w:cantSplit/>
        </w:trPr>
        <w:tc>
          <w:tcPr>
            <w:tcBorders/>
            <w:tcW w:w="1500" w:type="dxa"/>
          </w:tcPr>
          <w:p>
            <w:pPr>
              <w:pStyle w:val="922"/>
              <w:pBdr/>
              <w:spacing/>
              <w:ind/>
              <w:rPr/>
            </w:pPr>
            <w:r>
              <w:rPr>
                <w:b/>
                <w:bCs/>
              </w:rPr>
              <w:t xml:space="preserve">FMF / IFAB</w:t>
            </w:r>
            <w:r/>
          </w:p>
        </w:tc>
        <w:tc>
          <w:tcPr>
            <w:tcBorders/>
            <w:tcW w:w="7904" w:type="dxa"/>
          </w:tcPr>
          <w:p>
            <w:pPr>
              <w:pStyle w:val="922"/>
              <w:pBdr/>
              <w:spacing/>
              <w:ind/>
              <w:rPr/>
            </w:pPr>
            <w:r>
              <w:t xml:space="preserve">Federación Mexicana de Futbol Asociación / International Football Association Board.</w:t>
            </w:r>
            <w:r/>
          </w:p>
        </w:tc>
      </w:tr>
      <w:tr>
        <w:trPr>
          <w:cantSplit/>
        </w:trPr>
        <w:tc>
          <w:tcPr>
            <w:tcBorders/>
            <w:tcW w:w="1500" w:type="dxa"/>
          </w:tcPr>
          <w:p>
            <w:pPr>
              <w:pStyle w:val="922"/>
              <w:pBdr/>
              <w:spacing/>
              <w:ind/>
              <w:rPr/>
            </w:pPr>
            <w:r>
              <w:rPr>
                <w:b/>
                <w:bCs/>
              </w:rPr>
              <w:t xml:space="preserve">IMCUFIDE</w:t>
            </w:r>
            <w:r/>
          </w:p>
        </w:tc>
        <w:tc>
          <w:tcPr>
            <w:tcBorders/>
            <w:tcW w:w="7904" w:type="dxa"/>
          </w:tcPr>
          <w:p>
            <w:pPr>
              <w:pStyle w:val="922"/>
              <w:pBdr/>
              <w:spacing/>
              <w:ind/>
              <w:rPr/>
            </w:pPr>
            <w:r>
              <w:t xml:space="preserve">Instituto Municipal de Cultura Física y Deporte de Morelia (llamado «IMDE» en el levantamiento).</w:t>
            </w:r>
            <w:r/>
          </w:p>
        </w:tc>
      </w:tr>
      <w:tr>
        <w:trPr>
          <w:cantSplit/>
        </w:trPr>
        <w:tc>
          <w:tcPr>
            <w:tcBorders/>
            <w:tcW w:w="1500" w:type="dxa"/>
          </w:tcPr>
          <w:p>
            <w:pPr>
              <w:pStyle w:val="922"/>
              <w:pBdr/>
              <w:spacing/>
              <w:ind/>
              <w:rPr/>
            </w:pPr>
            <w:r>
              <w:rPr>
                <w:b/>
                <w:bCs/>
              </w:rPr>
              <w:t xml:space="preserve">ISO / IEC / IEEE</w:t>
            </w:r>
            <w:r/>
          </w:p>
        </w:tc>
        <w:tc>
          <w:tcPr>
            <w:tcBorders/>
            <w:tcW w:w="7904" w:type="dxa"/>
          </w:tcPr>
          <w:p>
            <w:pPr>
              <w:pStyle w:val="922"/>
              <w:pBdr/>
              <w:spacing/>
              <w:ind/>
              <w:rPr/>
            </w:pPr>
            <w:r>
              <w:t xml:space="preserve">Organismos de normalización que emiten las normas técnicas citadas.</w:t>
            </w:r>
            <w:r/>
          </w:p>
        </w:tc>
      </w:tr>
      <w:tr>
        <w:trPr>
          <w:cantSplit/>
        </w:trPr>
        <w:tc>
          <w:tcPr>
            <w:tcBorders/>
            <w:tcW w:w="1500" w:type="dxa"/>
          </w:tcPr>
          <w:p>
            <w:pPr>
              <w:pStyle w:val="922"/>
              <w:pBdr/>
              <w:spacing/>
              <w:ind/>
              <w:rPr/>
            </w:pPr>
            <w:r>
              <w:rPr>
                <w:b/>
                <w:bCs/>
              </w:rPr>
              <w:t xml:space="preserve">LFPDPPP</w:t>
            </w:r>
            <w:r/>
          </w:p>
        </w:tc>
        <w:tc>
          <w:tcPr>
            <w:tcBorders/>
            <w:tcW w:w="7904" w:type="dxa"/>
          </w:tcPr>
          <w:p>
            <w:pPr>
              <w:pStyle w:val="922"/>
              <w:pBdr/>
              <w:spacing/>
              <w:ind/>
              <w:rPr/>
            </w:pPr>
            <w:r>
              <w:t xml:space="preserve">Ley Federal de Protección de Datos Personales en Posesión de los Particulares.</w:t>
            </w:r>
            <w:r/>
          </w:p>
        </w:tc>
      </w:tr>
      <w:tr>
        <w:trPr>
          <w:cantSplit/>
        </w:trPr>
        <w:tc>
          <w:tcPr>
            <w:tcBorders/>
            <w:tcW w:w="1500" w:type="dxa"/>
          </w:tcPr>
          <w:p>
            <w:pPr>
              <w:pStyle w:val="922"/>
              <w:pBdr/>
              <w:spacing/>
              <w:ind/>
              <w:rPr/>
            </w:pPr>
            <w:r>
              <w:rPr>
                <w:b/>
                <w:bCs/>
              </w:rPr>
              <w:t xml:space="preserve">MoSCoW</w:t>
            </w:r>
            <w:r/>
          </w:p>
        </w:tc>
        <w:tc>
          <w:tcPr>
            <w:tcBorders/>
            <w:tcW w:w="7904" w:type="dxa"/>
          </w:tcPr>
          <w:p>
            <w:pPr>
              <w:pStyle w:val="922"/>
              <w:pBdr/>
              <w:spacing/>
              <w:ind/>
              <w:rPr/>
            </w:pPr>
            <w:r>
              <w:t xml:space="preserve">Técnica de priorización: Must (debe), Should (debería), Could (podría), Won't (no en esta versión).</w:t>
            </w:r>
            <w:r/>
          </w:p>
        </w:tc>
      </w:tr>
      <w:tr>
        <w:trPr>
          <w:cantSplit/>
        </w:trPr>
        <w:tc>
          <w:tcPr>
            <w:tcBorders/>
            <w:tcW w:w="1500" w:type="dxa"/>
          </w:tcPr>
          <w:p>
            <w:pPr>
              <w:pStyle w:val="922"/>
              <w:pBdr/>
              <w:spacing/>
              <w:ind/>
              <w:rPr/>
            </w:pPr>
            <w:r>
              <w:rPr>
                <w:b/>
                <w:bCs/>
              </w:rPr>
              <w:t xml:space="preserve">PJ, PG, PE, PP</w:t>
            </w:r>
            <w:r/>
          </w:p>
        </w:tc>
        <w:tc>
          <w:tcPr>
            <w:tcBorders/>
            <w:tcW w:w="7904" w:type="dxa"/>
          </w:tcPr>
          <w:p>
            <w:pPr>
              <w:pStyle w:val="922"/>
              <w:pBdr/>
              <w:spacing/>
              <w:ind/>
              <w:rPr/>
            </w:pPr>
            <w:r>
              <w:t xml:space="preserve">Partidos jugados, ganados, empatados y perdidos.</w:t>
            </w:r>
            <w:r/>
          </w:p>
        </w:tc>
      </w:tr>
      <w:tr>
        <w:trPr>
          <w:cantSplit/>
        </w:trPr>
        <w:tc>
          <w:tcPr>
            <w:tcBorders/>
            <w:tcW w:w="1500" w:type="dxa"/>
          </w:tcPr>
          <w:p>
            <w:pPr>
              <w:pStyle w:val="922"/>
              <w:pBdr/>
              <w:spacing/>
              <w:ind/>
              <w:rPr/>
            </w:pPr>
            <w:r>
              <w:rPr>
                <w:b/>
                <w:bCs/>
              </w:rPr>
              <w:t xml:space="preserve">GF, GC, DG, Pts.</w:t>
            </w:r>
            <w:r/>
          </w:p>
        </w:tc>
        <w:tc>
          <w:tcPr>
            <w:tcBorders/>
            <w:tcW w:w="7904" w:type="dxa"/>
          </w:tcPr>
          <w:p>
            <w:pPr>
              <w:pStyle w:val="922"/>
              <w:pBdr/>
              <w:spacing/>
              <w:ind/>
              <w:rPr/>
            </w:pPr>
            <w:r>
              <w:t xml:space="preserve">Goles a favor, goles en contra, diferencia de goles y puntos.</w:t>
            </w:r>
            <w:r/>
          </w:p>
        </w:tc>
      </w:tr>
      <w:tr>
        <w:trPr>
          <w:cantSplit/>
        </w:trPr>
        <w:tc>
          <w:tcPr>
            <w:tcBorders/>
            <w:tcW w:w="1500" w:type="dxa"/>
          </w:tcPr>
          <w:p>
            <w:pPr>
              <w:pStyle w:val="922"/>
              <w:pBdr/>
              <w:spacing/>
              <w:ind/>
              <w:rPr/>
            </w:pPr>
            <w:r>
              <w:rPr>
                <w:b/>
                <w:bCs/>
              </w:rPr>
              <w:t xml:space="preserve">PPP</w:t>
            </w:r>
            <w:r/>
          </w:p>
        </w:tc>
        <w:tc>
          <w:tcPr>
            <w:tcBorders/>
            <w:tcW w:w="7904" w:type="dxa"/>
          </w:tcPr>
          <w:p>
            <w:pPr>
              <w:pStyle w:val="922"/>
              <w:pBdr/>
              <w:spacing/>
              <w:ind/>
              <w:rPr/>
            </w:pPr>
            <w:r>
              <w:t xml:space="preserve">Promedio de puntos por partido: puntos acumulados entre partidos jugados; mide la efectividad cuando hay jornadas pendientes.</w:t>
            </w:r>
            <w:r/>
          </w:p>
        </w:tc>
      </w:tr>
      <w:tr>
        <w:trPr>
          <w:cantSplit/>
        </w:trPr>
        <w:tc>
          <w:tcPr>
            <w:tcBorders/>
            <w:tcW w:w="1500" w:type="dxa"/>
          </w:tcPr>
          <w:p>
            <w:pPr>
              <w:pStyle w:val="922"/>
              <w:pBdr/>
              <w:spacing/>
              <w:ind/>
              <w:rPr/>
            </w:pPr>
            <w:r>
              <w:rPr>
                <w:b/>
                <w:bCs/>
              </w:rPr>
              <w:t xml:space="preserve">RBAC</w:t>
            </w:r>
            <w:r/>
          </w:p>
        </w:tc>
        <w:tc>
          <w:tcPr>
            <w:tcBorders/>
            <w:tcW w:w="7904" w:type="dxa"/>
          </w:tcPr>
          <w:p>
            <w:pPr>
              <w:pStyle w:val="922"/>
              <w:pBdr/>
              <w:spacing/>
              <w:ind/>
              <w:rPr/>
            </w:pPr>
            <w:r>
              <w:t xml:space="preserve">Control de acceso basado en roles (Role-Based Access Control).</w:t>
            </w:r>
            <w:r/>
          </w:p>
        </w:tc>
      </w:tr>
      <w:tr>
        <w:trPr>
          <w:cantSplit/>
        </w:trPr>
        <w:tc>
          <w:tcPr>
            <w:tcBorders/>
            <w:tcW w:w="1500" w:type="dxa"/>
          </w:tcPr>
          <w:p>
            <w:pPr>
              <w:pStyle w:val="922"/>
              <w:pBdr/>
              <w:spacing/>
              <w:ind/>
              <w:rPr/>
            </w:pPr>
            <w:r>
              <w:rPr>
                <w:b/>
                <w:bCs/>
              </w:rPr>
              <w:t xml:space="preserve">2FA</w:t>
            </w:r>
            <w:r/>
          </w:p>
        </w:tc>
        <w:tc>
          <w:tcPr>
            <w:tcBorders/>
            <w:tcW w:w="7904" w:type="dxa"/>
          </w:tcPr>
          <w:p>
            <w:pPr>
              <w:pStyle w:val="922"/>
              <w:pBdr/>
              <w:spacing/>
              <w:ind/>
              <w:rPr/>
            </w:pPr>
            <w:r>
              <w:t xml:space="preserve">Autenticación de dos factores: contraseña más un segundo factor, como un código temporal (TOTP).</w:t>
            </w:r>
            <w:r/>
          </w:p>
        </w:tc>
      </w:tr>
      <w:tr>
        <w:trPr>
          <w:cantSplit/>
        </w:trPr>
        <w:tc>
          <w:tcPr>
            <w:tcBorders/>
            <w:tcW w:w="1500" w:type="dxa"/>
          </w:tcPr>
          <w:p>
            <w:pPr>
              <w:pStyle w:val="922"/>
              <w:pBdr/>
              <w:spacing/>
              <w:ind/>
              <w:rPr/>
            </w:pPr>
            <w:r>
              <w:rPr>
                <w:b/>
                <w:bCs/>
              </w:rPr>
              <w:t xml:space="preserve">ASVS</w:t>
            </w:r>
            <w:r/>
          </w:p>
        </w:tc>
        <w:tc>
          <w:tcPr>
            <w:tcBorders/>
            <w:tcW w:w="7904" w:type="dxa"/>
          </w:tcPr>
          <w:p>
            <w:pPr>
              <w:pStyle w:val="922"/>
              <w:pBdr/>
              <w:spacing/>
              <w:ind/>
              <w:rPr/>
            </w:pPr>
            <w:r>
              <w:t xml:space="preserve">Application Security Verification Standard de OWASP.</w:t>
            </w:r>
            <w:r/>
          </w:p>
        </w:tc>
      </w:tr>
      <w:tr>
        <w:trPr>
          <w:cantSplit/>
        </w:trPr>
        <w:tc>
          <w:tcPr>
            <w:tcBorders/>
            <w:tcW w:w="1500" w:type="dxa"/>
          </w:tcPr>
          <w:p>
            <w:pPr>
              <w:pStyle w:val="922"/>
              <w:pBdr/>
              <w:spacing/>
              <w:ind/>
              <w:rPr/>
            </w:pPr>
            <w:r>
              <w:rPr>
                <w:b/>
                <w:bCs/>
              </w:rPr>
              <w:t xml:space="preserve">CSRF</w:t>
            </w:r>
            <w:r/>
          </w:p>
        </w:tc>
        <w:tc>
          <w:tcPr>
            <w:tcBorders/>
            <w:tcW w:w="7904" w:type="dxa"/>
          </w:tcPr>
          <w:p>
            <w:pPr>
              <w:pStyle w:val="922"/>
              <w:pBdr/>
              <w:spacing/>
              <w:ind/>
              <w:rPr/>
            </w:pPr>
            <w:r>
              <w:t xml:space="preserve">Cross-Site Request Forgery: ataque que hace ejecutar acciones no deseadas a un usuario autenticado.</w:t>
            </w:r>
            <w:r/>
          </w:p>
        </w:tc>
      </w:tr>
      <w:tr>
        <w:trPr>
          <w:cantSplit/>
        </w:trPr>
        <w:tc>
          <w:tcPr>
            <w:tcBorders/>
            <w:tcW w:w="1500" w:type="dxa"/>
          </w:tcPr>
          <w:p>
            <w:pPr>
              <w:pStyle w:val="922"/>
              <w:pBdr/>
              <w:spacing/>
              <w:ind/>
              <w:rPr/>
            </w:pPr>
            <w:r>
              <w:rPr>
                <w:b/>
                <w:bCs/>
              </w:rPr>
              <w:t xml:space="preserve">LCP, INP, CLS</w:t>
            </w:r>
            <w:r/>
          </w:p>
        </w:tc>
        <w:tc>
          <w:tcPr>
            <w:tcBorders/>
            <w:tcW w:w="7904" w:type="dxa"/>
          </w:tcPr>
          <w:p>
            <w:pPr>
              <w:pStyle w:val="922"/>
              <w:pBdr/>
              <w:spacing/>
              <w:ind/>
              <w:rPr/>
            </w:pPr>
            <w:r>
              <w:t xml:space="preserve">Métricas Core Web Vitals: tiempo de carga del contenido principal, tiempo de respuesta a la interacción y estabilidad visual.</w:t>
            </w:r>
            <w:r/>
          </w:p>
        </w:tc>
      </w:tr>
      <w:tr>
        <w:trPr>
          <w:cantSplit/>
        </w:trPr>
        <w:tc>
          <w:tcPr>
            <w:tcBorders/>
            <w:tcW w:w="1500" w:type="dxa"/>
          </w:tcPr>
          <w:p>
            <w:pPr>
              <w:pStyle w:val="922"/>
              <w:pBdr/>
              <w:spacing/>
              <w:ind/>
              <w:rPr/>
            </w:pPr>
            <w:r>
              <w:rPr>
                <w:b/>
                <w:bCs/>
              </w:rPr>
              <w:t xml:space="preserve">RPO / RTO</w:t>
            </w:r>
            <w:r/>
          </w:p>
        </w:tc>
        <w:tc>
          <w:tcPr>
            <w:tcBorders/>
            <w:tcW w:w="7904" w:type="dxa"/>
          </w:tcPr>
          <w:p>
            <w:pPr>
              <w:pStyle w:val="922"/>
              <w:pBdr/>
              <w:spacing/>
              <w:ind/>
              <w:rPr/>
            </w:pPr>
            <w:r>
              <w:t xml:space="preserve">Recovery Point Objective (pérdida máxima de datos tolerada) / Recovery Time Objective (tiempo máximo de recuperación).</w:t>
            </w:r>
            <w:r/>
          </w:p>
        </w:tc>
      </w:tr>
      <w:tr>
        <w:trPr>
          <w:cantSplit/>
        </w:trPr>
        <w:tc>
          <w:tcPr>
            <w:tcBorders/>
            <w:tcW w:w="1500" w:type="dxa"/>
          </w:tcPr>
          <w:p>
            <w:pPr>
              <w:pStyle w:val="922"/>
              <w:pBdr/>
              <w:spacing/>
              <w:ind/>
              <w:rPr/>
            </w:pPr>
            <w:r>
              <w:rPr>
                <w:b/>
                <w:bCs/>
              </w:rPr>
              <w:t xml:space="preserve">SPF, DKIM, DMARC</w:t>
            </w:r>
            <w:r/>
          </w:p>
        </w:tc>
        <w:tc>
          <w:tcPr>
            <w:tcBorders/>
            <w:tcW w:w="7904" w:type="dxa"/>
          </w:tcPr>
          <w:p>
            <w:pPr>
              <w:pStyle w:val="922"/>
              <w:pBdr/>
              <w:spacing/>
              <w:ind/>
              <w:rPr/>
            </w:pPr>
            <w:r>
              <w:t xml:space="preserve">Mecanismos de autenticación de correo electrónico.</w:t>
            </w:r>
            <w:r/>
          </w:p>
        </w:tc>
      </w:tr>
      <w:tr>
        <w:trPr>
          <w:cantSplit/>
        </w:trPr>
        <w:tc>
          <w:tcPr>
            <w:tcBorders/>
            <w:tcW w:w="1500" w:type="dxa"/>
          </w:tcPr>
          <w:p>
            <w:pPr>
              <w:pStyle w:val="922"/>
              <w:pBdr/>
              <w:spacing/>
              <w:ind/>
              <w:rPr/>
            </w:pPr>
            <w:r>
              <w:rPr>
                <w:b/>
                <w:bCs/>
              </w:rPr>
              <w:t xml:space="preserve">TLS / HSTS</w:t>
            </w:r>
            <w:r/>
          </w:p>
        </w:tc>
        <w:tc>
          <w:tcPr>
            <w:tcBorders/>
            <w:tcW w:w="7904" w:type="dxa"/>
          </w:tcPr>
          <w:p>
            <w:pPr>
              <w:pStyle w:val="922"/>
              <w:pBdr/>
              <w:spacing/>
              <w:ind/>
              <w:rPr/>
            </w:pPr>
            <w:r>
              <w:t xml:space="preserve">Transport Layer Security (cifrado en tránsito) / HTTP Strict Transport Security.</w:t>
            </w:r>
            <w:r/>
          </w:p>
        </w:tc>
      </w:tr>
      <w:tr>
        <w:trPr>
          <w:cantSplit/>
        </w:trPr>
        <w:tc>
          <w:tcPr>
            <w:tcBorders/>
            <w:tcW w:w="1500" w:type="dxa"/>
          </w:tcPr>
          <w:p>
            <w:pPr>
              <w:pStyle w:val="922"/>
              <w:pBdr/>
              <w:spacing/>
              <w:ind/>
              <w:rPr/>
            </w:pPr>
            <w:r>
              <w:rPr>
                <w:b/>
                <w:bCs/>
              </w:rPr>
              <w:t xml:space="preserve">WCAG</w:t>
            </w:r>
            <w:r/>
          </w:p>
        </w:tc>
        <w:tc>
          <w:tcPr>
            <w:tcBorders/>
            <w:tcW w:w="7904" w:type="dxa"/>
          </w:tcPr>
          <w:p>
            <w:pPr>
              <w:pStyle w:val="922"/>
              <w:pBdr/>
              <w:spacing/>
              <w:ind/>
              <w:rPr/>
            </w:pPr>
            <w:r>
              <w:t xml:space="preserve">Web Content Accessibility Guidelines del W3C.</w:t>
            </w:r>
            <w:r/>
          </w:p>
        </w:tc>
      </w:tr>
      <w:tr>
        <w:trPr>
          <w:cantSplit/>
        </w:trPr>
        <w:tc>
          <w:tcPr>
            <w:tcBorders/>
            <w:tcW w:w="1500" w:type="dxa"/>
          </w:tcPr>
          <w:p>
            <w:pPr>
              <w:pStyle w:val="922"/>
              <w:pBdr/>
              <w:spacing/>
              <w:ind/>
              <w:rPr/>
            </w:pPr>
            <w:r>
              <w:rPr>
                <w:b/>
                <w:bCs/>
              </w:rPr>
              <w:t xml:space="preserve">RF / RNF</w:t>
            </w:r>
            <w:r/>
          </w:p>
        </w:tc>
        <w:tc>
          <w:tcPr>
            <w:tcBorders/>
            <w:tcW w:w="7904" w:type="dxa"/>
          </w:tcPr>
          <w:p>
            <w:pPr>
              <w:pStyle w:val="922"/>
              <w:pBdr/>
              <w:spacing/>
              <w:ind/>
              <w:rPr/>
            </w:pPr>
            <w:r>
              <w:t xml:space="preserve">Requisito funcional / requisito no funcional.</w:t>
            </w:r>
            <w:r/>
          </w:p>
        </w:tc>
      </w:tr>
      <w:tr>
        <w:trPr>
          <w:cantSplit/>
        </w:trPr>
        <w:tc>
          <w:tcPr>
            <w:tcBorders/>
            <w:tcW w:w="1500" w:type="dxa"/>
          </w:tcPr>
          <w:p>
            <w:pPr>
              <w:pStyle w:val="922"/>
              <w:pBdr/>
              <w:spacing/>
              <w:ind/>
              <w:rPr/>
            </w:pPr>
            <w:r>
              <w:rPr>
                <w:b/>
                <w:bCs/>
              </w:rPr>
              <w:t xml:space="preserve">UMSNH</w:t>
            </w:r>
            <w:r/>
          </w:p>
        </w:tc>
        <w:tc>
          <w:tcPr>
            <w:tcBorders/>
            <w:tcW w:w="7904" w:type="dxa"/>
          </w:tcPr>
          <w:p>
            <w:pPr>
              <w:pStyle w:val="922"/>
              <w:pBdr/>
              <w:spacing/>
              <w:ind/>
              <w:rPr/>
            </w:pPr>
            <w:r>
              <w:t xml:space="preserve">Universidad Michoacana de San Nicolás de Hidalgo.</w:t>
            </w:r>
            <w:r/>
          </w:p>
        </w:tc>
      </w:tr>
      <w:tr>
        <w:trPr>
          <w:cantSplit/>
        </w:trPr>
        <w:tc>
          <w:tcPr>
            <w:tcBorders/>
            <w:tcW w:w="1500" w:type="dxa"/>
          </w:tcPr>
          <w:p>
            <w:pPr>
              <w:pStyle w:val="922"/>
              <w:pBdr/>
              <w:spacing/>
              <w:ind/>
              <w:rPr/>
            </w:pPr>
            <w:r>
              <w:rPr>
                <w:b/>
                <w:bCs/>
              </w:rPr>
              <w:t xml:space="preserve">U.D.C.</w:t>
            </w:r>
            <w:r/>
          </w:p>
        </w:tc>
        <w:tc>
          <w:tcPr>
            <w:tcBorders/>
            <w:tcW w:w="7904" w:type="dxa"/>
          </w:tcPr>
          <w:p>
            <w:pPr>
              <w:pStyle w:val="922"/>
              <w:pBdr/>
              <w:spacing/>
              <w:ind/>
              <w:rPr/>
            </w:pPr>
            <w:r>
              <w:t xml:space="preserve">Unidad Deportiva Cuauhtémoc.</w:t>
            </w:r>
            <w:r/>
          </w:p>
        </w:tc>
      </w:tr>
    </w:tbl>
    <w:p>
      <w:pPr>
        <w:pBdr/>
        <w:spacing w:after="60" w:before="0"/>
        <w:ind/>
        <w:rPr/>
      </w:pPr>
      <w:r/>
      <w:r/>
    </w:p>
    <w:p w14:paraId="2D11BA6A">
      <w:pPr>
        <w:pBdr/>
        <w:spacing w:after="60" w:before="0"/>
        <w:ind/>
        <w:rPr/>
      </w:pPr>
      <w:r/>
      <w:r/>
    </w:p>
    <w:p w14:paraId="4FDF3DBD">
      <w:pPr>
        <w:pBdr/>
        <w:spacing w:after="60" w:before="0"/>
        <w:ind/>
        <w:rPr/>
      </w:pPr>
      <w:r/>
      <w:r/>
    </w:p>
    <w:p w14:paraId="322101F1">
      <w:pPr>
        <w:pBdr/>
        <w:spacing w:after="60" w:before="0"/>
        <w:ind/>
        <w:rPr/>
      </w:pPr>
      <w:r/>
      <w:r/>
    </w:p>
    <w:p w14:paraId="770EFE5B">
      <w:pPr>
        <w:pBdr/>
        <w:spacing w:after="60" w:before="0"/>
        <w:ind/>
        <w:rPr/>
      </w:pPr>
      <w:r/>
      <w:r/>
    </w:p>
    <w:p w14:paraId="6C7993E4">
      <w:pPr>
        <w:pBdr/>
        <w:spacing w:after="60" w:before="0"/>
        <w:ind/>
        <w:rPr/>
      </w:pPr>
      <w:r/>
      <w:r/>
    </w:p>
    <w:p w14:paraId="31053DF2">
      <w:pPr>
        <w:pBdr/>
        <w:spacing w:after="60" w:before="0"/>
        <w:ind/>
        <w:rPr/>
      </w:pPr>
      <w:r/>
      <w:r/>
    </w:p>
    <w:p w14:paraId="7720D977">
      <w:pPr>
        <w:pBdr/>
        <w:spacing w:after="60" w:before="0"/>
        <w:ind/>
        <w:rPr/>
      </w:pPr>
      <w:r/>
      <w:r/>
    </w:p>
    <w:p>
      <w:pPr>
        <w:pStyle w:val="916"/>
        <w:pBdr/>
        <w:spacing/>
        <w:ind/>
        <w:rPr>
          <w:highlight w:val="none"/>
        </w:rPr>
      </w:pPr>
      <w:r/>
      <w:bookmarkStart w:id="6" w:name="_Toc100006"/>
      <w:r>
        <w:t xml:space="preserve">1.5 Referencias</w:t>
      </w:r>
      <w:bookmarkEnd w:id="6"/>
      <w:r/>
      <w:r>
        <w:rPr>
          <w:highlight w:val="none"/>
        </w:rPr>
      </w:r>
    </w:p>
    <w:p>
      <w:pPr>
        <w:pBdr/>
        <w:spacing/>
        <w:ind/>
        <w:rPr/>
      </w:pPr>
      <w:r>
        <w:t xml:space="preserve">Los documentos de la Liga son públicos; las copias usadas forman parte de los archivos del equipo.</w:t>
      </w:r>
      <w:r/>
    </w:p>
    <w:p>
      <w:pPr>
        <w:pStyle w:val="923"/>
        <w:keepNext w:val="true"/>
        <w:pBdr/>
        <w:spacing/>
        <w:ind/>
        <w:rPr/>
      </w:pPr>
      <w:r>
        <w:rPr>
          <w:b/>
          <w:bCs/>
          <w:color w:val="241a61"/>
          <w:sz w:val="18"/>
          <w:szCs w:val="18"/>
        </w:rPr>
        <w:t xml:space="preserve">Tabla 6. </w:t>
      </w:r>
      <w:r>
        <w:rPr>
          <w:sz w:val="18"/>
          <w:szCs w:val="18"/>
        </w:rPr>
        <w:t xml:space="preserve">Documentos citados.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4000"/>
        <w:gridCol w:w="2100"/>
        <w:gridCol w:w="2404"/>
      </w:tblGrid>
      <w:tr>
        <w:trPr>
          <w:cantSplit/>
          <w:tblHeader/>
        </w:trPr>
        <w:tc>
          <w:tcPr>
            <w:shd w:val="clear" w:color="auto" w:fill="241a61"/>
            <w:tcBorders/>
            <w:tcW w:w="900" w:type="dxa"/>
          </w:tcPr>
          <w:p>
            <w:pPr>
              <w:pStyle w:val="922"/>
              <w:pBdr/>
              <w:spacing/>
              <w:ind/>
              <w:rPr/>
            </w:pPr>
            <w:r>
              <w:rPr>
                <w:b/>
                <w:bCs/>
                <w:color w:val="ffffff"/>
              </w:rPr>
              <w:t xml:space="preserve">ID</w:t>
            </w:r>
            <w:r/>
          </w:p>
        </w:tc>
        <w:tc>
          <w:tcPr>
            <w:shd w:val="clear" w:color="auto" w:fill="241a61"/>
            <w:tcBorders/>
            <w:tcW w:w="4000" w:type="dxa"/>
          </w:tcPr>
          <w:p>
            <w:pPr>
              <w:pStyle w:val="922"/>
              <w:pBdr/>
              <w:spacing/>
              <w:ind/>
              <w:rPr/>
            </w:pPr>
            <w:r>
              <w:rPr>
                <w:b/>
                <w:bCs/>
                <w:color w:val="ffffff"/>
              </w:rPr>
              <w:t xml:space="preserve">Documento</w:t>
            </w:r>
            <w:r/>
          </w:p>
        </w:tc>
        <w:tc>
          <w:tcPr>
            <w:shd w:val="clear" w:color="auto" w:fill="241a61"/>
            <w:tcBorders/>
            <w:tcW w:w="2100" w:type="dxa"/>
          </w:tcPr>
          <w:p>
            <w:pPr>
              <w:pStyle w:val="922"/>
              <w:pBdr/>
              <w:spacing/>
              <w:ind/>
              <w:rPr/>
            </w:pPr>
            <w:r>
              <w:rPr>
                <w:b/>
                <w:bCs/>
                <w:color w:val="ffffff"/>
              </w:rPr>
              <w:t xml:space="preserve">Emisor y fecha</w:t>
            </w:r>
            <w:r/>
          </w:p>
        </w:tc>
        <w:tc>
          <w:tcPr>
            <w:shd w:val="clear" w:color="auto" w:fill="241a61"/>
            <w:tcBorders/>
            <w:tcW w:w="2404" w:type="dxa"/>
          </w:tcPr>
          <w:p>
            <w:pPr>
              <w:pStyle w:val="922"/>
              <w:pBdr/>
              <w:spacing/>
              <w:ind/>
              <w:rPr/>
            </w:pPr>
            <w:r>
              <w:rPr>
                <w:b/>
                <w:bCs/>
                <w:color w:val="ffffff"/>
              </w:rPr>
              <w:t xml:space="preserve">Ubicación</w:t>
            </w:r>
            <w:r/>
          </w:p>
        </w:tc>
      </w:tr>
      <w:tr>
        <w:trPr>
          <w:cantSplit/>
        </w:trPr>
        <w:tc>
          <w:tcPr>
            <w:tcBorders/>
            <w:tcW w:w="900" w:type="dxa"/>
          </w:tcPr>
          <w:p>
            <w:pPr>
              <w:pStyle w:val="922"/>
              <w:pBdr/>
              <w:spacing/>
              <w:ind/>
              <w:rPr/>
            </w:pPr>
            <w:r>
              <w:t xml:space="preserve">REF-01</w:t>
            </w:r>
            <w:r/>
          </w:p>
        </w:tc>
        <w:tc>
          <w:tcPr>
            <w:tcBorders/>
            <w:tcW w:w="4000" w:type="dxa"/>
          </w:tcPr>
          <w:p>
            <w:pPr>
              <w:pStyle w:val="922"/>
              <w:pBdr/>
              <w:spacing/>
              <w:ind/>
              <w:rPr/>
            </w:pPr>
            <w:r>
              <w:t xml:space="preserve">Convocatoria Temporada 2026–2027, ramas libre y de veteranos. </w:t>
            </w:r>
            <w:r>
              <w:rPr>
                <w:i/>
                <w:iCs/>
              </w:rPr>
              <w:t xml:space="preserve">Norma de la Liga.</w:t>
            </w:r>
            <w:r/>
          </w:p>
        </w:tc>
        <w:tc>
          <w:tcPr>
            <w:tcBorders/>
            <w:tcW w:w="2100" w:type="dxa"/>
          </w:tcPr>
          <w:p>
            <w:pPr>
              <w:pStyle w:val="922"/>
              <w:pBdr/>
              <w:spacing/>
              <w:ind/>
              <w:rPr/>
            </w:pPr>
            <w:r>
              <w:t xml:space="preserve">Consejo Directivo de la Liga, 03/08/2026.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REF-02</w:t>
            </w:r>
            <w:r/>
          </w:p>
        </w:tc>
        <w:tc>
          <w:tcPr>
            <w:tcBorders/>
            <w:tcW w:w="4000" w:type="dxa"/>
          </w:tcPr>
          <w:p>
            <w:pPr>
              <w:pStyle w:val="922"/>
              <w:pBdr/>
              <w:spacing/>
              <w:ind/>
              <w:rPr/>
            </w:pPr>
            <w:r>
              <w:t xml:space="preserve">Convocatoria Temporada 2026–2027, Rama Infantil. </w:t>
            </w:r>
            <w:r>
              <w:rPr>
                <w:i/>
                <w:iCs/>
              </w:rPr>
              <w:t xml:space="preserve">Norma de la Liga.</w:t>
            </w:r>
            <w:r/>
          </w:p>
        </w:tc>
        <w:tc>
          <w:tcPr>
            <w:tcBorders/>
            <w:tcW w:w="2100" w:type="dxa"/>
          </w:tcPr>
          <w:p>
            <w:pPr>
              <w:pStyle w:val="922"/>
              <w:pBdr/>
              <w:spacing/>
              <w:ind/>
              <w:rPr/>
            </w:pPr>
            <w:r>
              <w:t xml:space="preserve">Consejo Directivo y Comisión de la Rama Infantil, 03/08/2026.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REF-03</w:t>
            </w:r>
            <w:r/>
          </w:p>
        </w:tc>
        <w:tc>
          <w:tcPr>
            <w:tcBorders/>
            <w:tcW w:w="4000" w:type="dxa"/>
          </w:tcPr>
          <w:p>
            <w:pPr>
              <w:pStyle w:val="922"/>
              <w:pBdr/>
              <w:spacing/>
              <w:ind/>
              <w:rPr/>
            </w:pPr>
            <w:r>
              <w:t xml:space="preserve">Programación oficial, Rama Infantil, 5.º Torneo de Verano 2026, jornada 11. </w:t>
            </w:r>
            <w:r>
              <w:rPr>
                <w:i/>
                <w:iCs/>
              </w:rPr>
              <w:t xml:space="preserve">Documento operativo.</w:t>
            </w:r>
            <w:r/>
          </w:p>
        </w:tc>
        <w:tc>
          <w:tcPr>
            <w:tcBorders/>
            <w:tcW w:w="2100" w:type="dxa"/>
          </w:tcPr>
          <w:p>
            <w:pPr>
              <w:pStyle w:val="922"/>
              <w:pBdr/>
              <w:spacing/>
              <w:ind/>
              <w:rPr/>
            </w:pPr>
            <w:r>
              <w:t xml:space="preserve">Liga, 03/10/2026.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REF-04</w:t>
            </w:r>
            <w:r/>
          </w:p>
        </w:tc>
        <w:tc>
          <w:tcPr>
            <w:tcBorders/>
            <w:tcW w:w="4000" w:type="dxa"/>
          </w:tcPr>
          <w:p>
            <w:pPr>
              <w:pStyle w:val="922"/>
              <w:pBdr/>
              <w:spacing/>
              <w:ind/>
              <w:rPr/>
            </w:pPr>
            <w:r>
              <w:t xml:space="preserve">Reglas de Juego 2026/27. </w:t>
            </w:r>
            <w:r>
              <w:rPr>
                <w:i/>
                <w:iCs/>
              </w:rPr>
              <w:t xml:space="preserve">Norma de referencia (reglas del juego).</w:t>
            </w:r>
            <w:r/>
          </w:p>
        </w:tc>
        <w:tc>
          <w:tcPr>
            <w:tcBorders/>
            <w:tcW w:w="2100" w:type="dxa"/>
          </w:tcPr>
          <w:p>
            <w:pPr>
              <w:pStyle w:val="922"/>
              <w:pBdr/>
              <w:spacing/>
              <w:ind/>
              <w:rPr/>
            </w:pPr>
            <w:r>
              <w:t xml:space="preserve">IFAB; en vigor desde el 01/07/2026.</w:t>
            </w:r>
            <w:r/>
          </w:p>
        </w:tc>
        <w:tc>
          <w:tcPr>
            <w:tcBorders/>
            <w:tcW w:w="2404" w:type="dxa"/>
          </w:tcPr>
          <w:p>
            <w:pPr>
              <w:pStyle w:val="922"/>
              <w:pBdr/>
              <w:spacing/>
              <w:ind/>
              <w:rPr/>
            </w:pPr>
            <w:r/>
            <w:hyperlink r:id="rId11" w:tooltip="https://www.theifab.com/es/laws-of-the-game-documents/" w:history="1">
              <w:r>
                <w:rPr>
                  <w:rStyle w:val="929"/>
                </w:rPr>
                <w:t xml:space="preserve">https://www.theifab.com/es/laws-of-the-game-documents/</w:t>
              </w:r>
            </w:hyperlink>
            <w:r/>
            <w:r/>
          </w:p>
        </w:tc>
      </w:tr>
      <w:tr>
        <w:trPr>
          <w:cantSplit/>
        </w:trPr>
        <w:tc>
          <w:tcPr>
            <w:tcBorders/>
            <w:tcW w:w="900" w:type="dxa"/>
          </w:tcPr>
          <w:p>
            <w:pPr>
              <w:pStyle w:val="922"/>
              <w:pBdr/>
              <w:spacing/>
              <w:ind/>
              <w:rPr/>
            </w:pPr>
            <w:r>
              <w:t xml:space="preserve">REF-05</w:t>
            </w:r>
            <w:r/>
          </w:p>
        </w:tc>
        <w:tc>
          <w:tcPr>
            <w:tcBorders/>
            <w:tcW w:w="4000" w:type="dxa"/>
          </w:tcPr>
          <w:p>
            <w:pPr>
              <w:pStyle w:val="922"/>
              <w:pBdr/>
              <w:spacing/>
              <w:ind/>
              <w:rPr/>
            </w:pPr>
            <w:r>
              <w:t xml:space="preserve">Reglamento de Sanciones del Sector Amateur. </w:t>
            </w:r>
            <w:r>
              <w:rPr>
                <w:i/>
                <w:iCs/>
              </w:rPr>
              <w:t xml:space="preserve">Norma de referencia (disciplina).</w:t>
            </w:r>
            <w:r/>
          </w:p>
        </w:tc>
        <w:tc>
          <w:tcPr>
            <w:tcBorders/>
            <w:tcW w:w="2100" w:type="dxa"/>
          </w:tcPr>
          <w:p>
            <w:pPr>
              <w:pStyle w:val="922"/>
              <w:pBdr/>
              <w:spacing/>
              <w:ind/>
              <w:rPr/>
            </w:pPr>
            <w:r>
              <w:t xml:space="preserve">FMF, Comité Directivo del Sector Amateur; 07/12/2018.</w:t>
            </w:r>
            <w:r/>
          </w:p>
        </w:tc>
        <w:tc>
          <w:tcPr>
            <w:tcBorders/>
            <w:tcW w:w="2404" w:type="dxa"/>
          </w:tcPr>
          <w:p>
            <w:pPr>
              <w:pStyle w:val="922"/>
              <w:pBdr/>
              <w:spacing/>
              <w:ind/>
              <w:rPr/>
            </w:pPr>
            <w:r/>
            <w:hyperlink r:id="rId12" w:tooltip="https://amateur.fmf.mx/assets/Docs/Reglamentos/Sanciones.pdf" w:history="1">
              <w:r>
                <w:rPr>
                  <w:rStyle w:val="929"/>
                </w:rPr>
                <w:t xml:space="preserve">https://amateur.fmf.mx/assets/Docs/Reglamentos/Sanciones.pdf</w:t>
              </w:r>
            </w:hyperlink>
            <w:r/>
            <w:r/>
          </w:p>
        </w:tc>
      </w:tr>
      <w:tr>
        <w:trPr>
          <w:cantSplit/>
        </w:trPr>
        <w:tc>
          <w:tcPr>
            <w:tcBorders/>
            <w:tcW w:w="900" w:type="dxa"/>
          </w:tcPr>
          <w:p>
            <w:pPr>
              <w:pStyle w:val="922"/>
              <w:pBdr/>
              <w:spacing/>
              <w:ind/>
              <w:rPr/>
            </w:pPr>
            <w:r>
              <w:t xml:space="preserve">REF-06</w:t>
            </w:r>
            <w:r/>
          </w:p>
        </w:tc>
        <w:tc>
          <w:tcPr>
            <w:tcBorders/>
            <w:tcW w:w="4000" w:type="dxa"/>
          </w:tcPr>
          <w:p>
            <w:pPr>
              <w:pStyle w:val="922"/>
              <w:pBdr/>
              <w:spacing/>
              <w:ind/>
              <w:rPr/>
            </w:pPr>
            <w:r>
              <w:t xml:space="preserve">Sistema de Gestión de la Liga Municipal de Futbol Amateur Morelia: documento de visión, alcance y requerimientos preliminares (presentación). </w:t>
            </w:r>
            <w:r>
              <w:rPr>
                <w:i/>
                <w:iCs/>
              </w:rPr>
              <w:t xml:space="preserve">Fuente secundaria.</w:t>
            </w:r>
            <w:r/>
          </w:p>
        </w:tc>
        <w:tc>
          <w:tcPr>
            <w:tcBorders/>
            <w:tcW w:w="2100" w:type="dxa"/>
          </w:tcPr>
          <w:p>
            <w:pPr>
              <w:pStyle w:val="922"/>
              <w:pBdr/>
              <w:spacing/>
              <w:ind/>
              <w:rPr/>
            </w:pPr>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REF-07</w:t>
            </w:r>
            <w:r/>
          </w:p>
        </w:tc>
        <w:tc>
          <w:tcPr>
            <w:tcBorders/>
            <w:tcW w:w="4000" w:type="dxa"/>
          </w:tcPr>
          <w:p>
            <w:pPr>
              <w:pStyle w:val="922"/>
              <w:pBdr/>
              <w:spacing/>
              <w:ind/>
              <w:rPr/>
            </w:pPr>
            <w:r>
              <w:t xml:space="preserve">Respuestas al cuestionario de levantamiento (P1 a P23) y aclaraciones posteriores. </w:t>
            </w:r>
            <w:r>
              <w:rPr>
                <w:i/>
                <w:iCs/>
              </w:rPr>
              <w:t xml:space="preserve">Información del cliente.</w:t>
            </w:r>
            <w:r/>
          </w:p>
        </w:tc>
        <w:tc>
          <w:tcPr>
            <w:tcBorders/>
            <w:tcW w:w="2100" w:type="dxa"/>
          </w:tcPr>
          <w:p>
            <w:pPr>
              <w:pStyle w:val="922"/>
              <w:pBdr/>
              <w:spacing/>
              <w:ind/>
              <w:rPr/>
            </w:pPr>
            <w:r>
              <w:t xml:space="preserve">Equipo del proyecto, octubre de 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REF-08</w:t>
            </w:r>
            <w:r/>
          </w:p>
        </w:tc>
        <w:tc>
          <w:tcPr>
            <w:tcBorders/>
            <w:tcW w:w="4000" w:type="dxa"/>
          </w:tcPr>
          <w:p>
            <w:pPr>
              <w:pStyle w:val="922"/>
              <w:pBdr/>
              <w:spacing/>
              <w:ind/>
              <w:rPr/>
            </w:pPr>
            <w:r>
              <w:t xml:space="preserve">Plantilla «Especificación de requisitos de software» (ERS simplificado), basada en IEEE Std 830-1998.</w:t>
            </w:r>
            <w:r/>
          </w:p>
        </w:tc>
        <w:tc>
          <w:tcPr>
            <w:tcBorders/>
            <w:tcW w:w="2100" w:type="dxa"/>
          </w:tcPr>
          <w:p>
            <w:pPr>
              <w:pStyle w:val="922"/>
              <w:pBdr/>
              <w:spacing/>
              <w:ind/>
              <w:rPr/>
            </w:pPr>
            <w:r>
              <w:t xml:space="preserve">27/02/2023.</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REF-09</w:t>
            </w:r>
            <w:r/>
          </w:p>
        </w:tc>
        <w:tc>
          <w:tcPr>
            <w:tcBorders/>
            <w:tcW w:w="4000" w:type="dxa"/>
          </w:tcPr>
          <w:p>
            <w:pPr>
              <w:pStyle w:val="922"/>
              <w:pBdr/>
              <w:spacing/>
              <w:ind/>
              <w:rPr/>
            </w:pPr>
            <w:r>
              <w:t xml:space="preserve">ISO/IEC/IEEE 29148:2018, Requirements engineering. </w:t>
            </w:r>
            <w:r>
              <w:rPr>
                <w:i/>
                <w:iCs/>
              </w:rPr>
              <w:t xml:space="preserve">Norma técnica.</w:t>
            </w:r>
            <w:r/>
          </w:p>
        </w:tc>
        <w:tc>
          <w:tcPr>
            <w:tcBorders/>
            <w:tcW w:w="2100" w:type="dxa"/>
          </w:tcPr>
          <w:p>
            <w:pPr>
              <w:pStyle w:val="922"/>
              <w:pBdr/>
              <w:spacing/>
              <w:ind/>
              <w:rPr/>
            </w:pPr>
            <w:r>
              <w:t xml:space="preserve">ISO, IEC e IEEE, noviembre de 2018.</w:t>
            </w:r>
            <w:r/>
          </w:p>
        </w:tc>
        <w:tc>
          <w:tcPr>
            <w:tcBorders/>
            <w:tcW w:w="2404" w:type="dxa"/>
          </w:tcPr>
          <w:p>
            <w:pPr>
              <w:pStyle w:val="922"/>
              <w:pBdr/>
              <w:spacing/>
              <w:ind/>
              <w:rPr/>
            </w:pPr>
            <w:r/>
            <w:hyperlink r:id="rId13" w:tooltip="https://www.iso.org/standard/72089.html" w:history="1">
              <w:r>
                <w:rPr>
                  <w:rStyle w:val="929"/>
                </w:rPr>
                <w:t xml:space="preserve">https://www.iso.org/standard/72089.html</w:t>
              </w:r>
            </w:hyperlink>
            <w:r/>
            <w:r/>
          </w:p>
        </w:tc>
      </w:tr>
      <w:tr>
        <w:trPr>
          <w:cantSplit/>
        </w:trPr>
        <w:tc>
          <w:tcPr>
            <w:tcBorders/>
            <w:tcW w:w="900" w:type="dxa"/>
          </w:tcPr>
          <w:p>
            <w:pPr>
              <w:pStyle w:val="922"/>
              <w:pBdr/>
              <w:spacing/>
              <w:ind/>
              <w:rPr/>
            </w:pPr>
            <w:r>
              <w:t xml:space="preserve">REF-10</w:t>
            </w:r>
            <w:r/>
          </w:p>
        </w:tc>
        <w:tc>
          <w:tcPr>
            <w:tcBorders/>
            <w:tcW w:w="4000" w:type="dxa"/>
          </w:tcPr>
          <w:p>
            <w:pPr>
              <w:pStyle w:val="922"/>
              <w:pBdr/>
              <w:spacing/>
              <w:ind/>
              <w:rPr/>
            </w:pPr>
            <w:r>
              <w:t xml:space="preserve">IEEE Std 830-1998, Recommended Practice for Software Requirements Specifications. </w:t>
            </w:r>
            <w:r>
              <w:rPr>
                <w:i/>
                <w:iCs/>
              </w:rPr>
              <w:t xml:space="preserve">Referencia histórica.</w:t>
            </w:r>
            <w:r/>
          </w:p>
        </w:tc>
        <w:tc>
          <w:tcPr>
            <w:tcBorders/>
            <w:tcW w:w="2100" w:type="dxa"/>
          </w:tcPr>
          <w:p>
            <w:pPr>
              <w:pStyle w:val="922"/>
              <w:pBdr/>
              <w:spacing/>
              <w:ind/>
              <w:rPr/>
            </w:pPr>
            <w:r>
              <w:t xml:space="preserve">IEEE, 1998.</w:t>
            </w:r>
            <w:r/>
          </w:p>
        </w:tc>
        <w:tc>
          <w:tcPr>
            <w:tcBorders/>
            <w:tcW w:w="2404" w:type="dxa"/>
          </w:tcPr>
          <w:p>
            <w:pPr>
              <w:pStyle w:val="922"/>
              <w:pBdr/>
              <w:spacing/>
              <w:ind/>
              <w:rPr/>
            </w:pPr>
            <w:r>
              <w:t xml:space="preserve">Antecedente de REF-08.</w:t>
            </w:r>
            <w:r/>
          </w:p>
        </w:tc>
      </w:tr>
      <w:tr>
        <w:trPr>
          <w:cantSplit/>
        </w:trPr>
        <w:tc>
          <w:tcPr>
            <w:tcBorders/>
            <w:tcW w:w="900" w:type="dxa"/>
          </w:tcPr>
          <w:p>
            <w:pPr>
              <w:pStyle w:val="922"/>
              <w:pBdr/>
              <w:spacing/>
              <w:ind/>
              <w:rPr/>
            </w:pPr>
            <w:r>
              <w:t xml:space="preserve">REF-11</w:t>
            </w:r>
            <w:r/>
          </w:p>
        </w:tc>
        <w:tc>
          <w:tcPr>
            <w:tcBorders/>
            <w:tcW w:w="4000" w:type="dxa"/>
          </w:tcPr>
          <w:p>
            <w:pPr>
              <w:pStyle w:val="922"/>
              <w:pBdr/>
              <w:spacing/>
              <w:ind/>
              <w:rPr/>
            </w:pPr>
            <w:r>
              <w:t xml:space="preserve">ISO/IEC 25010:2023, Systems and software engineering — SQuaRE — Product quality model. Norma técnica para los RNF (sección 3.3).</w:t>
            </w:r>
            <w:r>
              <w:rPr>
                <w:i/>
                <w:iCs/>
              </w:rPr>
            </w:r>
            <w:r/>
          </w:p>
        </w:tc>
        <w:tc>
          <w:tcPr>
            <w:tcBorders/>
            <w:tcW w:w="2100" w:type="dxa"/>
          </w:tcPr>
          <w:p>
            <w:pPr>
              <w:pStyle w:val="922"/>
              <w:pBdr/>
              <w:spacing/>
              <w:ind/>
              <w:rPr/>
            </w:pPr>
            <w:r>
              <w:t xml:space="preserve">ISO e IEC, 15/11/2023 (2.ª edición; sustituye a la de 2011).</w:t>
            </w:r>
            <w:r/>
          </w:p>
        </w:tc>
        <w:tc>
          <w:tcPr>
            <w:tcBorders/>
            <w:tcW w:w="2404" w:type="dxa"/>
          </w:tcPr>
          <w:p>
            <w:pPr>
              <w:pStyle w:val="922"/>
              <w:pBdr/>
              <w:spacing/>
              <w:ind/>
              <w:rPr/>
            </w:pPr>
            <w:r>
              <w:t xml:space="preserve">https://www.iso.org/standard/78176.html</w:t>
            </w:r>
            <w:r/>
          </w:p>
        </w:tc>
      </w:tr>
      <w:tr>
        <w:trPr>
          <w:cantSplit/>
        </w:trPr>
        <w:tc>
          <w:tcPr>
            <w:tcBorders/>
            <w:tcW w:w="900" w:type="dxa"/>
          </w:tcPr>
          <w:p>
            <w:pPr>
              <w:pStyle w:val="922"/>
              <w:pBdr/>
              <w:spacing/>
              <w:ind/>
              <w:rPr/>
            </w:pPr>
            <w:r>
              <w:t xml:space="preserve">REF-12</w:t>
            </w:r>
            <w:r/>
          </w:p>
        </w:tc>
        <w:tc>
          <w:tcPr>
            <w:tcBorders/>
            <w:tcW w:w="4000" w:type="dxa"/>
          </w:tcPr>
          <w:p>
            <w:pPr>
              <w:pStyle w:val="922"/>
              <w:pBdr/>
              <w:spacing/>
              <w:ind/>
              <w:rPr/>
            </w:pPr>
            <w:r>
              <w:t xml:space="preserve">Ley Federal de Protección de Datos Personales en Posesión de los Particulares. </w:t>
            </w:r>
            <w:r>
              <w:rPr>
                <w:i/>
                <w:iCs/>
              </w:rPr>
              <w:t xml:space="preserve">Norma legal.</w:t>
            </w:r>
            <w:r/>
          </w:p>
        </w:tc>
        <w:tc>
          <w:tcPr>
            <w:tcBorders/>
            <w:tcW w:w="2100" w:type="dxa"/>
          </w:tcPr>
          <w:p>
            <w:pPr>
              <w:pStyle w:val="922"/>
              <w:pBdr/>
              <w:spacing/>
              <w:ind/>
              <w:rPr/>
            </w:pPr>
            <w:r>
              <w:t xml:space="preserve">DOF 20/03/2025; vigente desde el 21/03/2025.</w:t>
            </w:r>
            <w:r/>
          </w:p>
        </w:tc>
        <w:tc>
          <w:tcPr>
            <w:tcBorders/>
            <w:tcW w:w="2404" w:type="dxa"/>
          </w:tcPr>
          <w:p>
            <w:pPr>
              <w:pStyle w:val="922"/>
              <w:pBdr/>
              <w:spacing/>
              <w:ind/>
              <w:rPr/>
            </w:pPr>
            <w:r/>
            <w:hyperlink r:id="rId14" w:tooltip="https://www.diputados.gob.mx/LeyesBiblio/pdf/LFPDPPP.pdf" w:history="1">
              <w:r>
                <w:rPr>
                  <w:rStyle w:val="929"/>
                </w:rPr>
                <w:t xml:space="preserve">https://www.diputados.gob.mx/LeyesBiblio/pdf/LFPDPPP.pdf</w:t>
              </w:r>
            </w:hyperlink>
            <w:r/>
            <w:r/>
          </w:p>
        </w:tc>
      </w:tr>
      <w:tr>
        <w:trPr>
          <w:cantSplit/>
        </w:trPr>
        <w:tc>
          <w:tcPr>
            <w:tcBorders/>
            <w:tcW w:w="900" w:type="dxa"/>
          </w:tcPr>
          <w:p>
            <w:pPr>
              <w:pStyle w:val="922"/>
              <w:pBdr/>
              <w:spacing/>
              <w:ind/>
              <w:rPr/>
            </w:pPr>
            <w:r>
              <w:t xml:space="preserve">REF-13</w:t>
            </w:r>
            <w:r/>
          </w:p>
        </w:tc>
        <w:tc>
          <w:tcPr>
            <w:tcBorders/>
            <w:tcW w:w="4000" w:type="dxa"/>
          </w:tcPr>
          <w:p>
            <w:pPr>
              <w:pStyle w:val="922"/>
              <w:pBdr/>
              <w:spacing/>
              <w:ind/>
              <w:rPr/>
            </w:pPr>
            <w:r>
              <w:t xml:space="preserve">«Nosotros», sitio oficial del IMCUFIDE. </w:t>
            </w:r>
            <w:r>
              <w:rPr>
                <w:i/>
                <w:iCs/>
              </w:rPr>
              <w:t xml:space="preserve">Fuente secundaria.</w:t>
            </w:r>
            <w:r/>
          </w:p>
        </w:tc>
        <w:tc>
          <w:tcPr>
            <w:tcBorders/>
            <w:tcW w:w="2100" w:type="dxa"/>
          </w:tcPr>
          <w:p>
            <w:pPr>
              <w:pStyle w:val="922"/>
              <w:pBdr/>
              <w:spacing/>
              <w:ind/>
              <w:rPr/>
            </w:pPr>
            <w:r>
              <w:t xml:space="preserve">IMCUFIDE, consulta de octubre de 2026.</w:t>
            </w:r>
            <w:r/>
          </w:p>
        </w:tc>
        <w:tc>
          <w:tcPr>
            <w:tcBorders/>
            <w:tcW w:w="2404" w:type="dxa"/>
          </w:tcPr>
          <w:p>
            <w:pPr>
              <w:pStyle w:val="922"/>
              <w:pBdr/>
              <w:spacing/>
              <w:ind/>
              <w:rPr/>
            </w:pPr>
            <w:r/>
            <w:hyperlink r:id="rId15" w:tooltip="https://imcufide.org/nosotros/" w:history="1">
              <w:r>
                <w:rPr>
                  <w:rStyle w:val="929"/>
                </w:rPr>
                <w:t xml:space="preserve">https://imcufide.org/nosotros/</w:t>
              </w:r>
            </w:hyperlink>
            <w:r/>
            <w:r/>
          </w:p>
        </w:tc>
      </w:tr>
      <w:tr>
        <w:trPr>
          <w:cantSplit/>
        </w:trPr>
        <w:tc>
          <w:tcPr>
            <w:tcBorders/>
            <w:tcW w:w="900" w:type="dxa"/>
          </w:tcPr>
          <w:p>
            <w:pPr>
              <w:pStyle w:val="922"/>
              <w:pBdr/>
              <w:spacing/>
              <w:ind/>
              <w:rPr/>
            </w:pPr>
            <w:r>
              <w:t xml:space="preserve">REF-14</w:t>
            </w:r>
            <w:r/>
          </w:p>
        </w:tc>
        <w:tc>
          <w:tcPr>
            <w:tcBorders/>
            <w:tcW w:w="4000" w:type="dxa"/>
          </w:tcPr>
          <w:p>
            <w:pPr>
              <w:pStyle w:val="922"/>
              <w:pBdr/>
              <w:spacing/>
              <w:ind/>
              <w:rPr/>
            </w:pPr>
            <w:r>
              <w:t xml:space="preserve">«Abre convocatoria la Liga Municipal de Futbol Amateur Morelia para la nueva temporada 2025-2026». </w:t>
            </w:r>
            <w:r>
              <w:rPr>
                <w:i/>
                <w:iCs/>
              </w:rPr>
              <w:t xml:space="preserve">Prensa.</w:t>
            </w:r>
            <w:r/>
          </w:p>
        </w:tc>
        <w:tc>
          <w:tcPr>
            <w:tcBorders/>
            <w:tcW w:w="2100" w:type="dxa"/>
          </w:tcPr>
          <w:p>
            <w:pPr>
              <w:pStyle w:val="922"/>
              <w:pBdr/>
              <w:spacing/>
              <w:ind/>
              <w:rPr/>
            </w:pPr>
            <w:r>
              <w:t xml:space="preserve">Contramuro, 27/08/2025.</w:t>
            </w:r>
            <w:r/>
          </w:p>
        </w:tc>
        <w:tc>
          <w:tcPr>
            <w:tcBorders/>
            <w:tcW w:w="2404" w:type="dxa"/>
          </w:tcPr>
          <w:p>
            <w:pPr>
              <w:pStyle w:val="922"/>
              <w:pBdr/>
              <w:spacing/>
              <w:ind/>
              <w:rPr/>
            </w:pPr>
            <w:r/>
            <w:hyperlink r:id="rId16" w:tooltip="https://www.contramuro.com/convocatoria-para-liga-municipal-de-futbol-morelia-2025-2026/" w:history="1">
              <w:r>
                <w:rPr>
                  <w:rStyle w:val="929"/>
                </w:rPr>
                <w:t xml:space="preserve">https://www.contramuro.com/convocatoria-para-liga-municipal-de-futbol-morelia-2025-2026/</w:t>
              </w:r>
            </w:hyperlink>
            <w:r/>
            <w:r/>
          </w:p>
        </w:tc>
      </w:tr>
      <w:tr>
        <w:trPr>
          <w:cantSplit/>
        </w:trPr>
        <w:tc>
          <w:tcPr>
            <w:tcBorders/>
            <w:tcW w:w="900" w:type="dxa"/>
          </w:tcPr>
          <w:p>
            <w:pPr>
              <w:pStyle w:val="922"/>
              <w:pBdr/>
              <w:spacing/>
              <w:ind/>
              <w:rPr/>
            </w:pPr>
            <w:r>
              <w:t xml:space="preserve">REF-15</w:t>
            </w:r>
            <w:r/>
          </w:p>
        </w:tc>
        <w:tc>
          <w:tcPr>
            <w:tcBorders/>
            <w:tcW w:w="4000" w:type="dxa"/>
          </w:tcPr>
          <w:p>
            <w:pPr>
              <w:pStyle w:val="922"/>
              <w:pBdr/>
              <w:spacing/>
              <w:ind/>
              <w:rPr/>
            </w:pPr>
            <w:r>
              <w:t xml:space="preserve">«Regresa la Liga Municipal de Futbol Amateur Morelia». </w:t>
            </w:r>
            <w:r>
              <w:rPr>
                <w:i/>
                <w:iCs/>
              </w:rPr>
              <w:t xml:space="preserve">Prensa.</w:t>
            </w:r>
            <w:r/>
          </w:p>
        </w:tc>
        <w:tc>
          <w:tcPr>
            <w:tcBorders/>
            <w:tcW w:w="2100" w:type="dxa"/>
          </w:tcPr>
          <w:p>
            <w:pPr>
              <w:pStyle w:val="922"/>
              <w:pBdr/>
              <w:spacing/>
              <w:ind/>
              <w:rPr/>
            </w:pPr>
            <w:r>
              <w:t xml:space="preserve">Contramuro, 03/11/2025.</w:t>
            </w:r>
            <w:r/>
          </w:p>
        </w:tc>
        <w:tc>
          <w:tcPr>
            <w:tcBorders/>
            <w:tcW w:w="2404" w:type="dxa"/>
          </w:tcPr>
          <w:p>
            <w:pPr>
              <w:pStyle w:val="922"/>
              <w:pBdr/>
              <w:spacing/>
              <w:ind/>
              <w:rPr/>
            </w:pPr>
            <w:r/>
            <w:hyperlink r:id="rId17" w:tooltip="https://www.contramuro.com/liga-municipal-futbol-morelia-regresa-2025-2026/" w:history="1">
              <w:r>
                <w:rPr>
                  <w:rStyle w:val="929"/>
                </w:rPr>
                <w:t xml:space="preserve">https://www.contramuro.com/liga-municipal-futbol-morelia-regresa-2025-2026/</w:t>
              </w:r>
            </w:hyperlink>
            <w:r/>
            <w:r/>
          </w:p>
        </w:tc>
      </w:tr>
      <w:tr>
        <w:trPr>
          <w:cantSplit/>
        </w:trPr>
        <w:tc>
          <w:tcPr>
            <w:tcBorders/>
            <w:tcW w:w="900" w:type="dxa"/>
          </w:tcPr>
          <w:p>
            <w:pPr>
              <w:pStyle w:val="922"/>
              <w:pBdr/>
              <w:spacing/>
              <w:ind/>
              <w:rPr/>
            </w:pPr>
            <w:r>
              <w:t xml:space="preserve">REF-16</w:t>
            </w:r>
            <w:r/>
          </w:p>
        </w:tc>
        <w:tc>
          <w:tcPr>
            <w:tcBorders/>
            <w:tcW w:w="4000" w:type="dxa"/>
          </w:tcPr>
          <w:p>
            <w:pPr>
              <w:pStyle w:val="922"/>
              <w:pBdr/>
              <w:spacing/>
              <w:ind/>
              <w:rPr/>
            </w:pPr>
            <w:r>
              <w:t xml:space="preserve">OWASP Application Security Verification Standard (ASVS) 5.0.0. Norma de referencia (seguridad).</w:t>
            </w:r>
            <w:r>
              <w:rPr>
                <w:i/>
                <w:iCs/>
              </w:rPr>
            </w:r>
            <w:r/>
          </w:p>
        </w:tc>
        <w:tc>
          <w:tcPr>
            <w:tcBorders/>
            <w:tcW w:w="2100" w:type="dxa"/>
          </w:tcPr>
          <w:p>
            <w:pPr>
              <w:pStyle w:val="922"/>
              <w:pBdr/>
              <w:spacing/>
              <w:ind/>
              <w:rPr/>
            </w:pPr>
            <w:r>
              <w:t xml:space="preserve">OWASP Foundation, mayo de 2025.</w:t>
            </w:r>
            <w:r/>
          </w:p>
        </w:tc>
        <w:tc>
          <w:tcPr>
            <w:tcBorders/>
            <w:tcW w:w="2404" w:type="dxa"/>
          </w:tcPr>
          <w:p>
            <w:pPr>
              <w:pStyle w:val="922"/>
              <w:pBdr/>
              <w:spacing/>
              <w:ind/>
              <w:rPr/>
            </w:pPr>
            <w:r/>
            <w:hyperlink r:id="rId18" w:tooltip="https://www.iso.org/standard/72089.html" w:history="1">
              <w:r>
                <w:rPr>
                  <w:rStyle w:val="929"/>
                </w:rPr>
                <w:t xml:space="preserve">https://owasp.org/www-project-application-security-verification-standard/</w:t>
              </w:r>
            </w:hyperlink>
            <w:r/>
            <w:r/>
          </w:p>
        </w:tc>
      </w:tr>
      <w:tr>
        <w:trPr>
          <w:cantSplit/>
        </w:trPr>
        <w:tc>
          <w:tcPr>
            <w:tcBorders/>
            <w:tcW w:w="900" w:type="dxa"/>
          </w:tcPr>
          <w:p>
            <w:pPr>
              <w:pStyle w:val="922"/>
              <w:pBdr/>
              <w:spacing/>
              <w:ind/>
              <w:rPr/>
            </w:pPr>
            <w:r>
              <w:t xml:space="preserve">REF-17</w:t>
            </w:r>
            <w:r/>
          </w:p>
        </w:tc>
        <w:tc>
          <w:tcPr>
            <w:tcBorders/>
            <w:tcW w:w="4000" w:type="dxa"/>
          </w:tcPr>
          <w:p>
            <w:pPr>
              <w:pStyle w:val="922"/>
              <w:pBdr/>
              <w:spacing/>
              <w:ind/>
              <w:rPr/>
            </w:pPr>
            <w:r>
              <w:t xml:space="preserve">NIST SP 800-63B-4, Digital Identity Guidelines: Authentication and Authenticator Management. Norma de referencia (contraseñas).</w:t>
            </w:r>
            <w:r>
              <w:rPr>
                <w:i/>
                <w:iCs/>
              </w:rPr>
            </w:r>
            <w:r/>
          </w:p>
        </w:tc>
        <w:tc>
          <w:tcPr>
            <w:tcBorders/>
            <w:tcW w:w="2100" w:type="dxa"/>
          </w:tcPr>
          <w:p>
            <w:pPr>
              <w:pStyle w:val="922"/>
              <w:pBdr/>
              <w:spacing/>
              <w:ind/>
              <w:rPr/>
            </w:pPr>
            <w:r>
              <w:t xml:space="preserve">NIST, 2025.</w:t>
            </w:r>
            <w:r/>
          </w:p>
        </w:tc>
        <w:tc>
          <w:tcPr>
            <w:tcBorders/>
            <w:tcW w:w="2404" w:type="dxa"/>
          </w:tcPr>
          <w:p>
            <w:pPr>
              <w:pStyle w:val="922"/>
              <w:pBdr/>
              <w:spacing/>
              <w:ind/>
              <w:rPr/>
            </w:pPr>
            <w:r/>
            <w:hyperlink r:id="rId19" w:tooltip="https://www.iso.org/standard/72089.html" w:history="1">
              <w:r>
                <w:rPr>
                  <w:rStyle w:val="929"/>
                </w:rPr>
                <w:t xml:space="preserve">https://pages.nist.gov/800-63-4/sp800-63b.html</w:t>
              </w:r>
            </w:hyperlink>
            <w:r/>
            <w:r/>
          </w:p>
        </w:tc>
      </w:tr>
      <w:tr>
        <w:trPr>
          <w:cantSplit/>
        </w:trPr>
        <w:tc>
          <w:tcPr>
            <w:tcBorders/>
            <w:tcW w:w="900" w:type="dxa"/>
          </w:tcPr>
          <w:p>
            <w:pPr>
              <w:pStyle w:val="922"/>
              <w:pBdr/>
              <w:spacing/>
              <w:ind/>
              <w:rPr/>
            </w:pPr>
            <w:r>
              <w:t xml:space="preserve">REF-18</w:t>
            </w:r>
            <w:r/>
          </w:p>
        </w:tc>
        <w:tc>
          <w:tcPr>
            <w:tcBorders/>
            <w:tcW w:w="4000" w:type="dxa"/>
          </w:tcPr>
          <w:p>
            <w:pPr>
              <w:pStyle w:val="922"/>
              <w:pBdr/>
              <w:spacing/>
              <w:ind/>
              <w:rPr/>
            </w:pPr>
            <w:r>
              <w:t xml:space="preserve">Web Content Accessibility Guidelines (WCAG) 2.2. Norma de referencia (accesibilidad).</w:t>
            </w:r>
            <w:r>
              <w:rPr>
                <w:i/>
                <w:iCs/>
              </w:rPr>
            </w:r>
            <w:r/>
          </w:p>
        </w:tc>
        <w:tc>
          <w:tcPr>
            <w:tcBorders/>
            <w:tcW w:w="2100" w:type="dxa"/>
          </w:tcPr>
          <w:p>
            <w:pPr>
              <w:pStyle w:val="922"/>
              <w:pBdr/>
              <w:spacing/>
              <w:ind/>
              <w:rPr/>
            </w:pPr>
            <w:r>
              <w:t xml:space="preserve">W3C, 05/10/2023.</w:t>
            </w:r>
            <w:r/>
          </w:p>
        </w:tc>
        <w:tc>
          <w:tcPr>
            <w:tcBorders/>
            <w:tcW w:w="2404" w:type="dxa"/>
          </w:tcPr>
          <w:p>
            <w:pPr>
              <w:pStyle w:val="922"/>
              <w:pBdr/>
              <w:spacing/>
              <w:ind/>
              <w:rPr/>
            </w:pPr>
            <w:r/>
            <w:hyperlink r:id="rId20" w:tooltip="https://www.iso.org/standard/72089.html" w:history="1">
              <w:r>
                <w:rPr>
                  <w:rStyle w:val="929"/>
                </w:rPr>
                <w:t xml:space="preserve">https://www.w3.org/TR/WCAG22/</w:t>
              </w:r>
            </w:hyperlink>
            <w:r/>
            <w:r/>
          </w:p>
        </w:tc>
      </w:tr>
      <w:tr>
        <w:trPr>
          <w:cantSplit/>
        </w:trPr>
        <w:tc>
          <w:tcPr>
            <w:tcBorders/>
            <w:tcW w:w="900" w:type="dxa"/>
          </w:tcPr>
          <w:p>
            <w:pPr>
              <w:pStyle w:val="922"/>
              <w:pBdr/>
              <w:spacing/>
              <w:ind/>
              <w:rPr/>
            </w:pPr>
            <w:r>
              <w:t xml:space="preserve">REF-19</w:t>
            </w:r>
            <w:r/>
          </w:p>
        </w:tc>
        <w:tc>
          <w:tcPr>
            <w:tcBorders/>
            <w:tcW w:w="4000" w:type="dxa"/>
          </w:tcPr>
          <w:p>
            <w:pPr>
              <w:pStyle w:val="922"/>
              <w:pBdr/>
              <w:spacing/>
              <w:ind/>
              <w:rPr/>
            </w:pPr>
            <w:r>
              <w:t xml:space="preserve">Core Web Vitals (LCP, INP y CLS) y sus umbrales. Referencia técnica (rendimiento web).</w:t>
            </w:r>
            <w:r>
              <w:rPr>
                <w:i/>
                <w:iCs/>
              </w:rPr>
            </w:r>
            <w:r/>
          </w:p>
        </w:tc>
        <w:tc>
          <w:tcPr>
            <w:tcBorders/>
            <w:tcW w:w="2100" w:type="dxa"/>
          </w:tcPr>
          <w:p>
            <w:pPr>
              <w:pStyle w:val="922"/>
              <w:pBdr/>
              <w:spacing/>
              <w:ind/>
              <w:rPr/>
            </w:pPr>
            <w:r>
              <w:t xml:space="preserve">Google, web.dev.</w:t>
            </w:r>
            <w:r/>
          </w:p>
        </w:tc>
        <w:tc>
          <w:tcPr>
            <w:tcBorders/>
            <w:tcW w:w="2404" w:type="dxa"/>
          </w:tcPr>
          <w:p>
            <w:pPr>
              <w:pStyle w:val="922"/>
              <w:pBdr/>
              <w:spacing/>
              <w:ind/>
              <w:rPr/>
            </w:pPr>
            <w:r/>
            <w:hyperlink r:id="rId21" w:tooltip="https://www.iso.org/standard/72089.html" w:history="1">
              <w:r>
                <w:rPr>
                  <w:rStyle w:val="929"/>
                </w:rPr>
                <w:t xml:space="preserve">https://web.dev/articles/vitals</w:t>
              </w:r>
            </w:hyperlink>
            <w:r/>
            <w:r/>
          </w:p>
        </w:tc>
      </w:tr>
      <w:tr>
        <w:trPr>
          <w:cantSplit/>
        </w:trPr>
        <w:tc>
          <w:tcPr>
            <w:tcBorders/>
            <w:tcW w:w="900" w:type="dxa"/>
          </w:tcPr>
          <w:p>
            <w:pPr>
              <w:pStyle w:val="922"/>
              <w:pBdr/>
              <w:spacing/>
              <w:ind/>
              <w:rPr/>
            </w:pPr>
            <w:r>
              <w:t xml:space="preserve">REF-20</w:t>
            </w:r>
            <w:r/>
          </w:p>
        </w:tc>
        <w:tc>
          <w:tcPr>
            <w:tcBorders/>
            <w:tcW w:w="4000" w:type="dxa"/>
          </w:tcPr>
          <w:p>
            <w:pPr>
              <w:pStyle w:val="922"/>
              <w:pBdr/>
              <w:spacing/>
              <w:ind/>
              <w:rPr/>
            </w:pPr>
            <w:r>
              <w:t xml:space="preserve">RFC 7208 (SPF), RFC 6376 (DKIM) y RFC 7489 (DMARC). Normas de autenticación de correo.</w:t>
            </w:r>
            <w:r>
              <w:rPr>
                <w:i/>
                <w:iCs/>
              </w:rPr>
            </w:r>
            <w:r/>
          </w:p>
        </w:tc>
        <w:tc>
          <w:tcPr>
            <w:tcBorders/>
            <w:tcW w:w="2100" w:type="dxa"/>
          </w:tcPr>
          <w:p>
            <w:pPr>
              <w:pStyle w:val="922"/>
              <w:pBdr/>
              <w:spacing/>
              <w:ind/>
              <w:rPr/>
            </w:pPr>
            <w:r>
              <w:t xml:space="preserve">IETF, 2011 a 2015.</w:t>
            </w:r>
            <w:r/>
          </w:p>
        </w:tc>
        <w:tc>
          <w:tcPr>
            <w:tcBorders/>
            <w:tcW w:w="2404" w:type="dxa"/>
          </w:tcPr>
          <w:p>
            <w:pPr>
              <w:pStyle w:val="922"/>
              <w:pBdr/>
              <w:spacing/>
              <w:ind/>
              <w:rPr/>
            </w:pPr>
            <w:r/>
            <w:hyperlink r:id="rId22" w:tooltip="https://www.iso.org/standard/72089.html" w:history="1">
              <w:r>
                <w:rPr>
                  <w:rStyle w:val="929"/>
                </w:rPr>
                <w:t xml:space="preserve">https://www.rfc-editor.org/rfc/rfc7489</w:t>
              </w:r>
            </w:hyperlink>
            <w:r/>
            <w:r/>
          </w:p>
        </w:tc>
      </w:tr>
    </w:tbl>
    <w:p>
      <w:pPr>
        <w:pBdr/>
        <w:spacing w:after="60" w:before="0"/>
        <w:ind/>
        <w:rPr/>
      </w:pPr>
      <w:r/>
      <w:r/>
    </w:p>
    <w:p>
      <w:pPr>
        <w:pStyle w:val="915"/>
        <w:pageBreakBefore w:val="true"/>
        <w:pBdr/>
        <w:spacing/>
        <w:ind/>
        <w:rPr/>
      </w:pPr>
      <w:r/>
      <w:bookmarkStart w:id="7" w:name="_Toc100007"/>
      <w:r>
        <w:t xml:space="preserve">2. Descripción general</w:t>
      </w:r>
      <w:bookmarkEnd w:id="7"/>
      <w:r/>
      <w:r/>
    </w:p>
    <w:p>
      <w:pPr>
        <w:pBdr/>
        <w:spacing/>
        <w:ind/>
        <w:rPr/>
      </w:pPr>
      <w:r>
        <w:t xml:space="preserve">En esta sección se presenta una descripción general del Sistema de Gestión para la Liga Municipal de Morelia. Se deta</w:t>
      </w:r>
      <w:r>
        <w:t xml:space="preserve">lla la perspectiva del producto, sus límites de integración, las principales áreas funcionales, las características y permisos de los actores del sistema, así como las restricciones operativas, técnicas y normativas que condicionan su diseño y desarrollo. </w:t>
      </w:r>
      <w:r/>
    </w:p>
    <w:p>
      <w:pPr>
        <w:pBdr/>
        <w:spacing/>
        <w:ind/>
        <w:rPr/>
      </w:pPr>
      <w:r>
        <w:t xml:space="preserve">Esta sección presenta las capacidades generales del sistema, pero no constituye todavía la especificación detallada de los requisitos funcionales. Estos serán definidos posteriormente mediante requisitos identificables, verificables y trazables.</w:t>
      </w:r>
      <w:r/>
    </w:p>
    <w:p>
      <w:pPr>
        <w:pStyle w:val="916"/>
        <w:pBdr/>
        <w:spacing/>
        <w:ind/>
        <w:rPr/>
      </w:pPr>
      <w:r/>
      <w:bookmarkStart w:id="8" w:name="_Toc100008"/>
      <w:r>
        <w:t xml:space="preserve">2.1 Perspectiva del producto</w:t>
      </w:r>
      <w:bookmarkEnd w:id="8"/>
      <w:r/>
      <w:r/>
    </w:p>
    <w:p>
      <w:pPr>
        <w:pBdr/>
        <w:spacing/>
        <w:ind/>
        <w:rPr/>
      </w:pPr>
      <w:r>
        <w:t xml:space="preserve">El Sistema de Gestión para la Liga Municipal de Morelia es una plataforma web integral y responsiva (optimizada para laptops, tabletas y teléfonos inteligentes).</w:t>
      </w:r>
      <w:r/>
    </w:p>
    <w:p>
      <w:pPr>
        <w:pBdr/>
        <w:spacing/>
        <w:ind/>
        <w:rPr/>
      </w:pPr>
      <w:r>
        <w:t xml:space="preserve">El sistema mejora la gestión manual y distribuida tradicional basada en cédulas de papel, transcripciones redundantes en hojas de cálculo de Excel y difusión</w:t>
      </w:r>
      <w:r>
        <w:t xml:space="preserve"> fragmentada de programaciones y sanciones mediante imágenes en redes sociales (Facebook) o medios informativos locales, centralizando la administración deportiva, disciplinaria y financiera en una única fuente de verdad auditable y accesible por Internet.</w:t>
      </w:r>
      <w:r/>
    </w:p>
    <w:p>
      <w:pPr>
        <w:pStyle w:val="916"/>
        <w:pBdr/>
        <w:spacing/>
        <w:ind/>
        <w:rPr/>
      </w:pPr>
      <w:r/>
      <w:bookmarkStart w:id="9" w:name="_Toc100009"/>
      <w:r>
        <w:t xml:space="preserve">2.2 Funcionalidad del producto</w:t>
      </w:r>
      <w:bookmarkEnd w:id="9"/>
      <w:r/>
      <w:r/>
    </w:p>
    <w:p>
      <w:pPr>
        <w:pBdr/>
        <w:spacing/>
        <w:ind/>
        <w:rPr/>
      </w:pPr>
      <w:r>
        <w:t xml:space="preserve">Resumen de Procesos Principales:</w:t>
      </w:r>
      <w:r/>
    </w:p>
    <w:p>
      <w:pPr>
        <w:pStyle w:val="920"/>
        <w:numPr>
          <w:ilvl w:val="0"/>
          <w:numId w:val="1"/>
        </w:numPr>
        <w:pBdr/>
        <w:spacing/>
        <w:ind/>
        <w:rPr/>
      </w:pPr>
      <w:r>
        <w:rPr>
          <w:b/>
          <w:bCs/>
        </w:rPr>
        <w:t xml:space="preserve">Afiliación e Inscripción (Tarjetón Digital):</w:t>
      </w:r>
      <w:r>
        <w:t xml:space="preserve"> </w:t>
      </w:r>
      <w:r>
        <w:t xml:space="preserve">Registro de clubes, franquicias y equipos por rama y categoría. Validación documental de identidad diferenciada (CURP, constancias de estudio, INE, fotos y comprobantes de domicilio) y emisión del Tarjetón Digital de afiliación con firmas de la directiva. </w:t>
      </w:r>
      <w:r/>
    </w:p>
    <w:p>
      <w:pPr>
        <w:pStyle w:val="920"/>
        <w:numPr>
          <w:ilvl w:val="0"/>
          <w:numId w:val="1"/>
        </w:numPr>
        <w:pBdr/>
        <w:spacing/>
        <w:ind/>
        <w:rPr/>
      </w:pPr>
      <w:r>
        <w:rPr>
          <w:b/>
          <w:bCs/>
        </w:rPr>
        <w:t xml:space="preserve">Gestión Financiera Transversal:</w:t>
      </w:r>
      <w:r>
        <w:t xml:space="preserve"> Control de pagos de inscripción, arbitraje y registro/seguimiento de multas o sanciones económicas.</w:t>
      </w:r>
      <w:r/>
    </w:p>
    <w:p>
      <w:pPr>
        <w:pStyle w:val="920"/>
        <w:numPr>
          <w:ilvl w:val="0"/>
          <w:numId w:val="1"/>
        </w:numPr>
        <w:pBdr/>
        <w:spacing/>
        <w:ind/>
        <w:rPr/>
      </w:pPr>
      <w:r>
        <w:rPr>
          <w:b/>
          <w:bCs/>
        </w:rPr>
        <w:t xml:space="preserve">Programación Deportiva (Fixture):</w:t>
      </w:r>
      <w:r>
        <w:t xml:space="preserve"> Generación algorítmica de roles de juego, asignación automática/manual de canchas, manejo de préstamos de canchas y validación de disponibilidad.</w:t>
      </w:r>
      <w:r/>
    </w:p>
    <w:p>
      <w:pPr>
        <w:pStyle w:val="920"/>
        <w:numPr>
          <w:ilvl w:val="0"/>
          <w:numId w:val="1"/>
        </w:numPr>
        <w:pBdr/>
        <w:spacing/>
        <w:ind/>
        <w:rPr/>
      </w:pPr>
      <w:r>
        <w:rPr>
          <w:b/>
          <w:bCs/>
        </w:rPr>
        <w:t xml:space="preserve">Arbitraje y Resultados:</w:t>
      </w:r>
      <w:r>
        <w:t xml:space="preserve"> Asignación de cuerpos arbitrales, captura digital de la cédula en campo (goles, tarjetas, incidencias, firmas) y actualización automática de la tabla de posiciones.</w:t>
      </w:r>
      <w:r/>
    </w:p>
    <w:p>
      <w:pPr>
        <w:pStyle w:val="920"/>
        <w:numPr>
          <w:ilvl w:val="0"/>
          <w:numId w:val="1"/>
        </w:numPr>
        <w:pBdr/>
        <w:spacing/>
        <w:ind/>
        <w:rPr/>
      </w:pPr>
      <w:r>
        <w:rPr>
          <w:b/>
          <w:bCs/>
        </w:rPr>
        <w:t xml:space="preserve">Comisión Disciplinaria:</w:t>
      </w:r>
      <w:r>
        <w:t xml:space="preserve"> Propuestas automáticas de sanción basadas en un catálogo de artículos reglamentarios, gestión de inconformidades y recursos y auditoría de la baja de equipos por acumulación de 5 </w:t>
      </w:r>
      <w:r>
        <w:rPr>
          <w:i/>
          <w:iCs/>
        </w:rPr>
        <w:t xml:space="preserve">defaults</w:t>
      </w:r>
      <w:r>
        <w:t xml:space="preserve">.</w:t>
      </w:r>
      <w:r/>
    </w:p>
    <w:p>
      <w:pPr>
        <w:pStyle w:val="920"/>
        <w:numPr>
          <w:ilvl w:val="0"/>
          <w:numId w:val="1"/>
        </w:numPr>
        <w:pBdr/>
        <w:spacing/>
        <w:ind/>
        <w:rPr/>
      </w:pPr>
      <w:r>
        <w:rPr>
          <w:b/>
          <w:bCs/>
        </w:rPr>
        <w:t xml:space="preserve">Liguilla y Fases Finales:</w:t>
      </w:r>
      <w:r>
        <w:t xml:space="preserve"> Generación de llaves, reglas de desempate configurables y determinación de ascensos/descensos.</w:t>
      </w:r>
      <w:r/>
    </w:p>
    <w:p>
      <w:pPr>
        <w:pStyle w:val="920"/>
        <w:numPr>
          <w:ilvl w:val="0"/>
          <w:numId w:val="1"/>
        </w:numPr>
        <w:pBdr/>
        <w:spacing/>
        <w:ind/>
        <w:rPr/>
      </w:pPr>
      <w:r>
        <w:rPr>
          <w:b/>
          <w:bCs/>
        </w:rPr>
        <w:t xml:space="preserve">Portal Público y Difusión:</w:t>
      </w:r>
      <w:r>
        <w:t xml:space="preserve"> Difusión transparente y de solo lectura de la programación semanal, marcadores oficiales, tablas de clasificación, estadísticas individuales, boletín de castigados y avisos oficiales para la comunidad deportiva y el público general. </w:t>
      </w:r>
      <w:r/>
    </w:p>
    <w:p w14:paraId="2D73F0B9">
      <w:pPr>
        <w:pBdr/>
        <w:spacing/>
        <w:ind/>
        <w:rPr/>
      </w:pPr>
      <w:r/>
      <w:r/>
    </w:p>
    <w:p w14:paraId="26A3AE86">
      <w:pPr>
        <w:pBdr/>
        <w:spacing/>
        <w:ind/>
        <w:rPr/>
      </w:pPr>
      <w:r/>
      <w:r/>
    </w:p>
    <w:p w14:paraId="35B1C983">
      <w:pPr>
        <w:pBdr/>
        <w:spacing/>
        <w:ind/>
        <w:rPr/>
      </w:pPr>
      <w:r>
        <w:rPr>
          <w:highlight w:val="none"/>
        </w:rPr>
      </w:r>
      <w:r>
        <w:rPr>
          <w:highlight w:val="none"/>
        </w:rPr>
      </w:r>
      <w:r/>
    </w:p>
    <w:p w14:paraId="50FF42DB">
      <w:pPr>
        <w:pBdr/>
        <w:spacing/>
        <w:ind/>
        <w:rPr/>
      </w:pPr>
      <w:r>
        <w:t xml:space="preserve">El ERS especifica el Sistema c</w:t>
      </w:r>
      <w:r>
        <w:t xml:space="preserve">ompleto y prioriza lo que cabe en la primera versión, de 10 semanas. La Tabla 2 agrupa las funciones en áreas funcionales (AF), que se detallarán como requisitos en versiones posteriores. La prioridad usa MoSCoW (Must, Should, Could) y es una </w:t>
      </w:r>
      <w:r>
        <w:rPr>
          <w:b/>
          <w:bCs/>
        </w:rPr>
        <w:t xml:space="preserve">propuesta</w:t>
      </w:r>
      <w:r>
        <w:t xml:space="preserve"> basada en el plan sugerido del documento base.</w:t>
      </w:r>
      <w:r/>
    </w:p>
    <w:p w14:paraId="48B6F257">
      <w:pPr>
        <w:pStyle w:val="923"/>
        <w:keepNext w:val="true"/>
        <w:pBdr/>
        <w:spacing/>
        <w:ind/>
        <w:rPr/>
      </w:pPr>
      <w:r>
        <w:rPr>
          <w:b/>
          <w:bCs/>
          <w:color w:val="241a61"/>
          <w:sz w:val="18"/>
          <w:szCs w:val="18"/>
        </w:rPr>
        <w:t xml:space="preserve">Tabla 2. </w:t>
      </w:r>
      <w:r>
        <w:rPr>
          <w:sz w:val="18"/>
          <w:szCs w:val="18"/>
        </w:rPr>
        <w:t xml:space="preserve">Áreas funcionales y prioridad propuesta para la primera versión.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0"/>
        <w:gridCol w:w="2300"/>
        <w:gridCol w:w="4904"/>
        <w:gridCol w:w="1400"/>
      </w:tblGrid>
      <w:tr>
        <w:trPr>
          <w:cantSplit/>
          <w:tblHeader/>
        </w:trPr>
        <w:tc>
          <w:tcPr>
            <w:shd w:val="clear" w:color="ffffff" w:fill="241a61"/>
            <w:tcBorders/>
            <w:tcW w:w="800" w:type="dxa"/>
          </w:tcPr>
          <w:p w14:paraId="5399E579">
            <w:pPr>
              <w:pStyle w:val="922"/>
              <w:pBdr/>
              <w:spacing/>
              <w:ind/>
              <w:rPr/>
            </w:pPr>
            <w:r>
              <w:rPr>
                <w:b/>
                <w:bCs/>
                <w:color w:val="ffffff"/>
              </w:rPr>
              <w:t xml:space="preserve">ID</w:t>
            </w:r>
            <w:r/>
          </w:p>
        </w:tc>
        <w:tc>
          <w:tcPr>
            <w:shd w:val="clear" w:color="ffffff" w:fill="241a61"/>
            <w:tcBorders/>
            <w:tcW w:w="2300" w:type="dxa"/>
          </w:tcPr>
          <w:p w14:paraId="28DE57B9">
            <w:pPr>
              <w:pStyle w:val="922"/>
              <w:pBdr/>
              <w:spacing/>
              <w:ind/>
              <w:rPr/>
            </w:pPr>
            <w:r>
              <w:rPr>
                <w:b/>
                <w:bCs/>
                <w:color w:val="ffffff"/>
              </w:rPr>
              <w:t xml:space="preserve">Área funcional</w:t>
            </w:r>
            <w:r/>
          </w:p>
        </w:tc>
        <w:tc>
          <w:tcPr>
            <w:shd w:val="clear" w:color="ffffff" w:fill="241a61"/>
            <w:tcBorders/>
            <w:tcW w:w="4904" w:type="dxa"/>
          </w:tcPr>
          <w:p w14:paraId="6886EBFE">
            <w:pPr>
              <w:pStyle w:val="922"/>
              <w:pBdr/>
              <w:spacing/>
              <w:ind/>
              <w:rPr/>
            </w:pPr>
            <w:r>
              <w:rPr>
                <w:b/>
                <w:bCs/>
                <w:color w:val="ffffff"/>
              </w:rPr>
              <w:t xml:space="preserve">Alcance resumido</w:t>
            </w:r>
            <w:r/>
          </w:p>
        </w:tc>
        <w:tc>
          <w:tcPr>
            <w:shd w:val="clear" w:color="ffffff" w:fill="241a61"/>
            <w:tcBorders/>
            <w:tcW w:w="1400" w:type="dxa"/>
          </w:tcPr>
          <w:p w14:paraId="1109D787">
            <w:pPr>
              <w:pStyle w:val="922"/>
              <w:pBdr/>
              <w:spacing/>
              <w:ind/>
              <w:rPr/>
            </w:pPr>
            <w:r>
              <w:rPr>
                <w:b/>
                <w:bCs/>
                <w:color w:val="ffffff"/>
              </w:rPr>
              <w:t xml:space="preserve">Prioridad</w:t>
            </w:r>
            <w:r/>
          </w:p>
        </w:tc>
      </w:tr>
      <w:tr>
        <w:trPr>
          <w:cantSplit/>
        </w:trPr>
        <w:tc>
          <w:tcPr>
            <w:tcBorders/>
            <w:tcW w:w="800" w:type="dxa"/>
          </w:tcPr>
          <w:p w14:paraId="2E1CB605">
            <w:pPr>
              <w:pStyle w:val="922"/>
              <w:pBdr/>
              <w:spacing/>
              <w:ind/>
              <w:rPr/>
            </w:pPr>
            <w:r>
              <w:t xml:space="preserve">AF-01</w:t>
            </w:r>
            <w:r/>
          </w:p>
        </w:tc>
        <w:tc>
          <w:tcPr>
            <w:tcBorders/>
            <w:tcW w:w="2300" w:type="dxa"/>
          </w:tcPr>
          <w:p w14:paraId="49BDCCB8">
            <w:pPr>
              <w:pStyle w:val="922"/>
              <w:pBdr/>
              <w:spacing/>
              <w:ind/>
              <w:rPr/>
            </w:pPr>
            <w:r>
              <w:t xml:space="preserve">Organización, usuarios y permisos</w:t>
            </w:r>
            <w:r/>
          </w:p>
        </w:tc>
        <w:tc>
          <w:tcPr>
            <w:tcBorders/>
            <w:tcW w:w="4904" w:type="dxa"/>
          </w:tcPr>
          <w:p w14:paraId="0B85F32A">
            <w:pPr>
              <w:pStyle w:val="922"/>
              <w:pBdr/>
              <w:spacing/>
              <w:ind/>
              <w:rPr/>
            </w:pPr>
            <w:r>
              <w:t xml:space="preserve">Cuentas y permisos por rol (RBAC) para la Liga, clubes, árbitros y jugadores; bitácora de auditoría inmutable; consulta pública sin cuenta.</w:t>
            </w:r>
            <w:r/>
          </w:p>
        </w:tc>
        <w:tc>
          <w:tcPr>
            <w:tcBorders/>
            <w:tcW w:w="1400" w:type="dxa"/>
          </w:tcPr>
          <w:p w14:paraId="481737BB">
            <w:pPr>
              <w:pStyle w:val="922"/>
              <w:pBdr/>
              <w:spacing/>
              <w:ind/>
              <w:rPr/>
            </w:pPr>
            <w:r>
              <w:t xml:space="preserve">Must</w:t>
            </w:r>
            <w:r/>
          </w:p>
        </w:tc>
      </w:tr>
      <w:tr>
        <w:trPr>
          <w:cantSplit/>
        </w:trPr>
        <w:tc>
          <w:tcPr>
            <w:tcBorders/>
            <w:tcW w:w="800" w:type="dxa"/>
          </w:tcPr>
          <w:p w14:paraId="06D0EC27">
            <w:pPr>
              <w:pStyle w:val="922"/>
              <w:pBdr/>
              <w:spacing/>
              <w:ind/>
              <w:rPr/>
            </w:pPr>
            <w:r>
              <w:t xml:space="preserve">AF-02</w:t>
            </w:r>
            <w:r/>
          </w:p>
        </w:tc>
        <w:tc>
          <w:tcPr>
            <w:tcBorders/>
            <w:tcW w:w="2300" w:type="dxa"/>
          </w:tcPr>
          <w:p w14:paraId="63CFE250">
            <w:pPr>
              <w:pStyle w:val="922"/>
              <w:pBdr/>
              <w:spacing/>
              <w:ind/>
              <w:rPr/>
            </w:pPr>
            <w:r>
              <w:t xml:space="preserve">Temporadas, torneos y categorías</w:t>
            </w:r>
            <w:r/>
          </w:p>
        </w:tc>
        <w:tc>
          <w:tcPr>
            <w:tcBorders/>
            <w:tcW w:w="4904" w:type="dxa"/>
          </w:tcPr>
          <w:p w14:paraId="2C25C0F7">
            <w:pPr>
              <w:pStyle w:val="922"/>
              <w:pBdr/>
              <w:spacing/>
              <w:ind/>
              <w:rPr/>
            </w:pPr>
            <w:r>
              <w:t xml:space="preserve">Temporada anual con convocatorias versionadas; torneos (liga, copa, liguilla, campeón de campeones, goleo y especiales); ramas (libre, veteranos, infantil y femenil), categorías y grupos según la convocatoria.</w:t>
            </w:r>
            <w:r/>
          </w:p>
        </w:tc>
        <w:tc>
          <w:tcPr>
            <w:tcBorders/>
            <w:tcW w:w="1400" w:type="dxa"/>
          </w:tcPr>
          <w:p w14:paraId="4CC60EE8">
            <w:pPr>
              <w:pStyle w:val="922"/>
              <w:pBdr/>
              <w:spacing/>
              <w:ind/>
              <w:rPr/>
            </w:pPr>
            <w:r>
              <w:t xml:space="preserve">Must (copa y torneos especiales: Could)</w:t>
            </w:r>
            <w:r/>
          </w:p>
        </w:tc>
      </w:tr>
      <w:tr>
        <w:trPr>
          <w:cantSplit/>
        </w:trPr>
        <w:tc>
          <w:tcPr>
            <w:tcBorders/>
            <w:tcW w:w="800" w:type="dxa"/>
          </w:tcPr>
          <w:p w14:paraId="70C2BF5C">
            <w:pPr>
              <w:pStyle w:val="922"/>
              <w:pBdr/>
              <w:spacing/>
              <w:ind/>
              <w:rPr/>
            </w:pPr>
            <w:r>
              <w:t xml:space="preserve">AF-03</w:t>
            </w:r>
            <w:r/>
          </w:p>
        </w:tc>
        <w:tc>
          <w:tcPr>
            <w:tcBorders/>
            <w:tcW w:w="2300" w:type="dxa"/>
          </w:tcPr>
          <w:p w14:paraId="0E23C68A">
            <w:pPr>
              <w:pStyle w:val="922"/>
              <w:pBdr/>
              <w:spacing/>
              <w:ind/>
              <w:rPr/>
            </w:pPr>
            <w:r>
              <w:t xml:space="preserve">Clubes, equipos y personas</w:t>
            </w:r>
            <w:r/>
          </w:p>
        </w:tc>
        <w:tc>
          <w:tcPr>
            <w:tcBorders/>
            <w:tcW w:w="4904" w:type="dxa"/>
          </w:tcPr>
          <w:p w14:paraId="10173172">
            <w:pPr>
              <w:pStyle w:val="922"/>
              <w:pBdr/>
              <w:spacing/>
              <w:ind/>
              <w:rPr/>
            </w:pPr>
            <w:r>
              <w:t xml:space="preserve">Clubes, franquicias y equipos; afiliación con tarjetón digital y directiva; registro de jugadores, delegados y árbitros con validación de identidad (INE, CURP); credenciales; reglas de plantilla y reinicio del historial por venta de franquicia.</w:t>
            </w:r>
            <w:r/>
          </w:p>
        </w:tc>
        <w:tc>
          <w:tcPr>
            <w:tcBorders/>
            <w:tcW w:w="1400" w:type="dxa"/>
          </w:tcPr>
          <w:p w14:paraId="77EAB6B3">
            <w:pPr>
              <w:pStyle w:val="922"/>
              <w:pBdr/>
              <w:spacing/>
              <w:ind/>
              <w:rPr/>
            </w:pPr>
            <w:r>
              <w:t xml:space="preserve">Must</w:t>
            </w:r>
            <w:r/>
          </w:p>
        </w:tc>
      </w:tr>
      <w:tr>
        <w:trPr>
          <w:cantSplit/>
        </w:trPr>
        <w:tc>
          <w:tcPr>
            <w:tcBorders/>
            <w:tcW w:w="800" w:type="dxa"/>
          </w:tcPr>
          <w:p w14:paraId="57B41742">
            <w:pPr>
              <w:pStyle w:val="922"/>
              <w:pBdr/>
              <w:spacing/>
              <w:ind/>
              <w:rPr/>
            </w:pPr>
            <w:r>
              <w:t xml:space="preserve">AF-04</w:t>
            </w:r>
            <w:r/>
          </w:p>
        </w:tc>
        <w:tc>
          <w:tcPr>
            <w:tcBorders/>
            <w:tcW w:w="2300" w:type="dxa"/>
          </w:tcPr>
          <w:p w14:paraId="4CC336EB">
            <w:pPr>
              <w:pStyle w:val="922"/>
              <w:pBdr/>
              <w:spacing/>
              <w:ind/>
              <w:rPr/>
            </w:pPr>
            <w:r>
              <w:t xml:space="preserve">Canchas y sedes</w:t>
            </w:r>
            <w:r/>
          </w:p>
        </w:tc>
        <w:tc>
          <w:tcPr>
            <w:tcBorders/>
            <w:tcW w:w="4904" w:type="dxa"/>
          </w:tcPr>
          <w:p w14:paraId="315C4A01">
            <w:pPr>
              <w:pStyle w:val="922"/>
              <w:pBdr/>
              <w:spacing/>
              <w:ind/>
              <w:rPr/>
            </w:pPr>
            <w:r>
              <w:t xml:space="preserve">Catálogo de canchas (alrededor de 40 en la Unidad Deportiva Cuauhtémoc, más campos particulares), disponibilidad, bloqueos (por ejemplo, por lluvia) y préstamos de cancha.</w:t>
            </w:r>
            <w:r/>
          </w:p>
        </w:tc>
        <w:tc>
          <w:tcPr>
            <w:tcBorders/>
            <w:tcW w:w="1400" w:type="dxa"/>
          </w:tcPr>
          <w:p w14:paraId="71824B12">
            <w:pPr>
              <w:pStyle w:val="922"/>
              <w:pBdr/>
              <w:spacing/>
              <w:ind/>
              <w:rPr/>
            </w:pPr>
            <w:r>
              <w:t xml:space="preserve">Must</w:t>
            </w:r>
            <w:r/>
          </w:p>
        </w:tc>
      </w:tr>
      <w:tr>
        <w:trPr>
          <w:cantSplit/>
        </w:trPr>
        <w:tc>
          <w:tcPr>
            <w:tcBorders/>
            <w:tcW w:w="800" w:type="dxa"/>
          </w:tcPr>
          <w:p w14:paraId="67F21650">
            <w:pPr>
              <w:pStyle w:val="922"/>
              <w:pBdr/>
              <w:spacing/>
              <w:ind/>
              <w:rPr/>
            </w:pPr>
            <w:r>
              <w:t xml:space="preserve">AF-05</w:t>
            </w:r>
            <w:r/>
          </w:p>
        </w:tc>
        <w:tc>
          <w:tcPr>
            <w:tcBorders/>
            <w:tcW w:w="2300" w:type="dxa"/>
          </w:tcPr>
          <w:p w14:paraId="7EDC1E51">
            <w:pPr>
              <w:pStyle w:val="922"/>
              <w:pBdr/>
              <w:spacing/>
              <w:ind/>
              <w:rPr/>
            </w:pPr>
            <w:r>
              <w:t xml:space="preserve">Programación de partidos</w:t>
            </w:r>
            <w:r/>
          </w:p>
        </w:tc>
        <w:tc>
          <w:tcPr>
            <w:tcBorders/>
            <w:tcW w:w="4904" w:type="dxa"/>
          </w:tcPr>
          <w:p w14:paraId="07FAB3D0">
            <w:pPr>
              <w:pStyle w:val="922"/>
              <w:pBdr/>
              <w:spacing/>
              <w:ind/>
              <w:rPr/>
            </w:pPr>
            <w:r>
              <w:t xml:space="preserve">Elaboración, ajuste y publicación del rol de juegos por jornada; descansos; reprogramaciones autorizadas; estados del partido; detección de conflictos.</w:t>
            </w:r>
            <w:r/>
          </w:p>
        </w:tc>
        <w:tc>
          <w:tcPr>
            <w:tcBorders/>
            <w:tcW w:w="1400" w:type="dxa"/>
          </w:tcPr>
          <w:p w14:paraId="046FF96E">
            <w:pPr>
              <w:pStyle w:val="922"/>
              <w:pBdr/>
              <w:spacing/>
              <w:ind/>
              <w:rPr/>
            </w:pPr>
            <w:r>
              <w:t xml:space="preserve">Must</w:t>
            </w:r>
            <w:r/>
          </w:p>
        </w:tc>
      </w:tr>
      <w:tr>
        <w:trPr>
          <w:cantSplit/>
        </w:trPr>
        <w:tc>
          <w:tcPr>
            <w:tcBorders/>
            <w:tcW w:w="800" w:type="dxa"/>
          </w:tcPr>
          <w:p w14:paraId="1630B974">
            <w:pPr>
              <w:pStyle w:val="922"/>
              <w:pBdr/>
              <w:spacing/>
              <w:ind/>
              <w:rPr/>
            </w:pPr>
            <w:r>
              <w:t xml:space="preserve">AF-06</w:t>
            </w:r>
            <w:r/>
          </w:p>
        </w:tc>
        <w:tc>
          <w:tcPr>
            <w:tcBorders/>
            <w:tcW w:w="2300" w:type="dxa"/>
          </w:tcPr>
          <w:p w14:paraId="18FCDA5D">
            <w:pPr>
              <w:pStyle w:val="922"/>
              <w:pBdr/>
              <w:spacing/>
              <w:ind/>
              <w:rPr/>
            </w:pPr>
            <w:r>
              <w:t xml:space="preserve">Generación automática de la programación</w:t>
            </w:r>
            <w:r/>
          </w:p>
        </w:tc>
        <w:tc>
          <w:tcPr>
            <w:tcBorders/>
            <w:tcW w:w="4904" w:type="dxa"/>
          </w:tcPr>
          <w:p w14:paraId="2B7AB553">
            <w:pPr>
              <w:pStyle w:val="922"/>
              <w:pBdr/>
              <w:spacing/>
              <w:ind/>
              <w:rPr/>
            </w:pPr>
            <w:r>
              <w:t xml:space="preserve">Propuesta automática de enfrentamientos, horarios y canchas que respeta restricciones duras (solapamientos, sanciones) y blandas (preferencias horarias), con ajuste manual.</w:t>
            </w:r>
            <w:r/>
          </w:p>
        </w:tc>
        <w:tc>
          <w:tcPr>
            <w:tcBorders/>
            <w:tcW w:w="1400" w:type="dxa"/>
          </w:tcPr>
          <w:p w14:paraId="33571848">
            <w:pPr>
              <w:pStyle w:val="922"/>
              <w:pBdr/>
              <w:spacing/>
              <w:ind/>
              <w:rPr/>
            </w:pPr>
            <w:r>
              <w:t xml:space="preserve">Should</w:t>
            </w:r>
            <w:r/>
          </w:p>
        </w:tc>
      </w:tr>
      <w:tr>
        <w:trPr>
          <w:cantSplit/>
        </w:trPr>
        <w:tc>
          <w:tcPr>
            <w:tcBorders/>
            <w:tcW w:w="800" w:type="dxa"/>
          </w:tcPr>
          <w:p w14:paraId="06EB9B6C">
            <w:pPr>
              <w:pStyle w:val="922"/>
              <w:pBdr/>
              <w:spacing/>
              <w:ind/>
              <w:rPr/>
            </w:pPr>
            <w:r>
              <w:t xml:space="preserve">AF-07</w:t>
            </w:r>
            <w:r/>
          </w:p>
        </w:tc>
        <w:tc>
          <w:tcPr>
            <w:tcBorders/>
            <w:tcW w:w="2300" w:type="dxa"/>
          </w:tcPr>
          <w:p w14:paraId="5118EA52">
            <w:pPr>
              <w:pStyle w:val="922"/>
              <w:pBdr/>
              <w:spacing/>
              <w:ind/>
              <w:rPr/>
            </w:pPr>
            <w:r>
              <w:t xml:space="preserve">Partidos, cédulas y estadísticas</w:t>
            </w:r>
            <w:r/>
          </w:p>
        </w:tc>
        <w:tc>
          <w:tcPr>
            <w:tcBorders/>
            <w:tcW w:w="4904" w:type="dxa"/>
          </w:tcPr>
          <w:p w14:paraId="4292713A">
            <w:pPr>
              <w:pStyle w:val="922"/>
              <w:pBdr/>
              <w:spacing/>
              <w:ind/>
              <w:rPr/>
            </w:pPr>
            <w:r>
              <w:t xml:space="preserve">Validación de jugadores en campo; cédula digital (goles, amonestaciones, expulsiones y firmas); resultados (incluidos los resultados por default); tablas, goleo y estadísticas.</w:t>
            </w:r>
            <w:r/>
          </w:p>
        </w:tc>
        <w:tc>
          <w:tcPr>
            <w:tcBorders/>
            <w:tcW w:w="1400" w:type="dxa"/>
          </w:tcPr>
          <w:p w14:paraId="3C36220D">
            <w:pPr>
              <w:pStyle w:val="922"/>
              <w:pBdr/>
              <w:spacing/>
              <w:ind/>
              <w:rPr/>
            </w:pPr>
            <w:r>
              <w:t xml:space="preserve">Must</w:t>
            </w:r>
            <w:r/>
          </w:p>
        </w:tc>
      </w:tr>
      <w:tr>
        <w:trPr>
          <w:cantSplit/>
        </w:trPr>
        <w:tc>
          <w:tcPr>
            <w:tcBorders/>
            <w:tcW w:w="800" w:type="dxa"/>
          </w:tcPr>
          <w:p w14:paraId="22CBEEB0">
            <w:pPr>
              <w:pStyle w:val="922"/>
              <w:pBdr/>
              <w:spacing/>
              <w:ind/>
              <w:rPr/>
            </w:pPr>
            <w:r>
              <w:t xml:space="preserve">AF-08</w:t>
            </w:r>
            <w:r/>
          </w:p>
        </w:tc>
        <w:tc>
          <w:tcPr>
            <w:tcBorders/>
            <w:tcW w:w="2300" w:type="dxa"/>
          </w:tcPr>
          <w:p w14:paraId="1039BA13">
            <w:pPr>
              <w:pStyle w:val="922"/>
              <w:pBdr/>
              <w:spacing/>
              <w:ind/>
              <w:rPr/>
            </w:pPr>
            <w:r>
              <w:t xml:space="preserve">Disciplina</w:t>
            </w:r>
            <w:r/>
          </w:p>
        </w:tc>
        <w:tc>
          <w:tcPr>
            <w:tcBorders/>
            <w:tcW w:w="4904" w:type="dxa"/>
          </w:tcPr>
          <w:p w14:paraId="0013F939">
            <w:pPr>
              <w:pStyle w:val="922"/>
              <w:pBdr/>
              <w:spacing/>
              <w:ind/>
              <w:rPr/>
            </w:pPr>
            <w:r>
              <w:t xml:space="preserve">Incidencias, catálogo de infracciones y artículos, expedientes y dictamen de la Comisión Disciplinaria (Tribunal de Penas), suspensiones, boletín de castigados, baja por acumulación de defaults, inconformidades y recursos.</w:t>
            </w:r>
            <w:r/>
          </w:p>
        </w:tc>
        <w:tc>
          <w:tcPr>
            <w:tcBorders/>
            <w:tcW w:w="1400" w:type="dxa"/>
          </w:tcPr>
          <w:p w14:paraId="4F73BE77">
            <w:pPr>
              <w:pStyle w:val="922"/>
              <w:pBdr/>
              <w:spacing/>
              <w:ind/>
              <w:rPr/>
            </w:pPr>
            <w:r>
              <w:t xml:space="preserve">Must (inconformidades y recursos: Could)</w:t>
            </w:r>
            <w:r/>
          </w:p>
        </w:tc>
      </w:tr>
      <w:tr>
        <w:trPr>
          <w:cantSplit/>
        </w:trPr>
        <w:tc>
          <w:tcPr>
            <w:tcBorders/>
            <w:tcW w:w="800" w:type="dxa"/>
          </w:tcPr>
          <w:p w14:paraId="6AF21BE8">
            <w:pPr>
              <w:pStyle w:val="922"/>
              <w:pBdr/>
              <w:spacing/>
              <w:ind/>
              <w:rPr/>
            </w:pPr>
            <w:r>
              <w:t xml:space="preserve">AF-09</w:t>
            </w:r>
            <w:r/>
          </w:p>
        </w:tc>
        <w:tc>
          <w:tcPr>
            <w:tcBorders/>
            <w:tcW w:w="2300" w:type="dxa"/>
          </w:tcPr>
          <w:p w14:paraId="566CEB46">
            <w:pPr>
              <w:pStyle w:val="922"/>
              <w:pBdr/>
              <w:spacing/>
              <w:ind/>
              <w:rPr/>
            </w:pPr>
            <w:r>
              <w:t xml:space="preserve">Fases finales</w:t>
            </w:r>
            <w:r/>
          </w:p>
        </w:tc>
        <w:tc>
          <w:tcPr>
            <w:tcBorders/>
            <w:tcW w:w="4904" w:type="dxa"/>
          </w:tcPr>
          <w:p w14:paraId="0826A2E3">
            <w:pPr>
              <w:pStyle w:val="922"/>
              <w:pBdr/>
              <w:spacing/>
              <w:ind/>
              <w:rPr/>
            </w:pPr>
            <w:r>
              <w:t xml:space="preserve">Clasificación y llaves de liguilla, liguilla de consolación (campeón alterno), campeón de campeones, ascensos y descensos.</w:t>
            </w:r>
            <w:r/>
          </w:p>
        </w:tc>
        <w:tc>
          <w:tcPr>
            <w:tcBorders/>
            <w:tcW w:w="1400" w:type="dxa"/>
          </w:tcPr>
          <w:p w14:paraId="04EDDC2E">
            <w:pPr>
              <w:pStyle w:val="922"/>
              <w:pBdr/>
              <w:spacing/>
              <w:ind/>
              <w:rPr/>
            </w:pPr>
            <w:r>
              <w:t xml:space="preserve">Could</w:t>
            </w:r>
            <w:r/>
          </w:p>
        </w:tc>
      </w:tr>
      <w:tr>
        <w:trPr>
          <w:cantSplit/>
        </w:trPr>
        <w:tc>
          <w:tcPr>
            <w:tcBorders/>
            <w:tcW w:w="800" w:type="dxa"/>
          </w:tcPr>
          <w:p w14:paraId="5373D072">
            <w:pPr>
              <w:pStyle w:val="922"/>
              <w:pBdr/>
              <w:spacing/>
              <w:ind/>
              <w:rPr/>
            </w:pPr>
            <w:r>
              <w:t xml:space="preserve">AF-10</w:t>
            </w:r>
            <w:r/>
          </w:p>
        </w:tc>
        <w:tc>
          <w:tcPr>
            <w:tcBorders/>
            <w:tcW w:w="2300" w:type="dxa"/>
          </w:tcPr>
          <w:p w14:paraId="7CCDCA99">
            <w:pPr>
              <w:pStyle w:val="922"/>
              <w:pBdr/>
              <w:spacing/>
              <w:ind/>
              <w:rPr/>
            </w:pPr>
            <w:r>
              <w:t xml:space="preserve">Gestión económica</w:t>
            </w:r>
            <w:r/>
          </w:p>
        </w:tc>
        <w:tc>
          <w:tcPr>
            <w:tcBorders/>
            <w:tcW w:w="4904" w:type="dxa"/>
          </w:tcPr>
          <w:p w14:paraId="1E2E01D2">
            <w:pPr>
              <w:pStyle w:val="922"/>
              <w:pBdr/>
              <w:spacing/>
              <w:ind/>
              <w:rPr/>
            </w:pPr>
            <w:r>
              <w:t xml:space="preserve">Cuotas de inscripción por categoría, registros de jugadores ($40.00), arbitrajes ($125.00), cal, mantenimiento, aportaciones y trofeos por club.</w:t>
            </w:r>
            <w:r/>
          </w:p>
        </w:tc>
        <w:tc>
          <w:tcPr>
            <w:tcBorders/>
            <w:tcW w:w="1400" w:type="dxa"/>
          </w:tcPr>
          <w:p w14:paraId="22BFC0DF">
            <w:pPr>
              <w:pStyle w:val="922"/>
              <w:pBdr/>
              <w:spacing/>
              <w:ind/>
              <w:rPr/>
            </w:pPr>
            <w:r>
              <w:t xml:space="preserve">Should</w:t>
            </w:r>
            <w:r/>
          </w:p>
        </w:tc>
      </w:tr>
      <w:tr>
        <w:trPr>
          <w:cantSplit/>
        </w:trPr>
        <w:tc>
          <w:tcPr>
            <w:tcBorders/>
            <w:tcW w:w="800" w:type="dxa"/>
          </w:tcPr>
          <w:p w14:paraId="20D1F8B0">
            <w:pPr>
              <w:pStyle w:val="922"/>
              <w:pBdr/>
              <w:spacing/>
              <w:ind/>
              <w:rPr/>
            </w:pPr>
            <w:r>
              <w:t xml:space="preserve">AF-11</w:t>
            </w:r>
            <w:r/>
          </w:p>
        </w:tc>
        <w:tc>
          <w:tcPr>
            <w:tcBorders/>
            <w:tcW w:w="2300" w:type="dxa"/>
          </w:tcPr>
          <w:p w14:paraId="041DC4FE">
            <w:pPr>
              <w:pStyle w:val="922"/>
              <w:pBdr/>
              <w:spacing/>
              <w:ind/>
              <w:rPr/>
            </w:pPr>
            <w:r>
              <w:t xml:space="preserve">Portal público</w:t>
            </w:r>
            <w:r/>
          </w:p>
        </w:tc>
        <w:tc>
          <w:tcPr>
            <w:tcBorders/>
            <w:tcW w:w="4904" w:type="dxa"/>
          </w:tcPr>
          <w:p w14:paraId="4BA80A56">
            <w:pPr>
              <w:pStyle w:val="922"/>
              <w:pBdr/>
              <w:spacing/>
              <w:ind/>
              <w:rPr/>
            </w:pPr>
            <w:r>
              <w:t xml:space="preserve">Programación, resultados, tablas, goleo, castigados y comunicados en modo de solo lectura; búsqueda por fecha, categoría y equipo.</w:t>
            </w:r>
            <w:r/>
          </w:p>
        </w:tc>
        <w:tc>
          <w:tcPr>
            <w:tcBorders/>
            <w:tcW w:w="1400" w:type="dxa"/>
          </w:tcPr>
          <w:p w14:paraId="08937F7F">
            <w:pPr>
              <w:pStyle w:val="922"/>
              <w:pBdr/>
              <w:spacing/>
              <w:ind/>
              <w:rPr/>
            </w:pPr>
            <w:r>
              <w:t xml:space="preserve">Must</w:t>
            </w:r>
            <w:r/>
          </w:p>
        </w:tc>
      </w:tr>
      <w:tr>
        <w:trPr>
          <w:cantSplit/>
        </w:trPr>
        <w:tc>
          <w:tcPr>
            <w:tcBorders/>
            <w:tcW w:w="800" w:type="dxa"/>
          </w:tcPr>
          <w:p w14:paraId="44EEB418">
            <w:pPr>
              <w:pStyle w:val="922"/>
              <w:pBdr/>
              <w:spacing/>
              <w:ind/>
              <w:rPr/>
            </w:pPr>
            <w:r>
              <w:t xml:space="preserve">AF-12</w:t>
            </w:r>
            <w:r/>
          </w:p>
        </w:tc>
        <w:tc>
          <w:tcPr>
            <w:tcBorders/>
            <w:tcW w:w="2300" w:type="dxa"/>
          </w:tcPr>
          <w:p w14:paraId="779A0E2E">
            <w:pPr>
              <w:pStyle w:val="922"/>
              <w:pBdr/>
              <w:spacing/>
              <w:ind/>
              <w:rPr/>
            </w:pPr>
            <w:r>
              <w:t xml:space="preserve">Reportes y difusión</w:t>
            </w:r>
            <w:r/>
          </w:p>
        </w:tc>
        <w:tc>
          <w:tcPr>
            <w:tcBorders/>
            <w:tcW w:w="4904" w:type="dxa"/>
          </w:tcPr>
          <w:p w14:paraId="70DB3D2A">
            <w:pPr>
              <w:pStyle w:val="922"/>
              <w:pBdr/>
              <w:spacing/>
              <w:ind/>
              <w:rPr/>
            </w:pPr>
            <w:r>
              <w:t xml:space="preserve">Generación de cédulas oficiales, estados de cuenta y constancias; exportación de programación, tablas y castigados en imagen o PDF.</w:t>
            </w:r>
            <w:r/>
          </w:p>
        </w:tc>
        <w:tc>
          <w:tcPr>
            <w:tcBorders/>
            <w:tcW w:w="1400" w:type="dxa"/>
          </w:tcPr>
          <w:p w14:paraId="069A8331">
            <w:pPr>
              <w:pStyle w:val="922"/>
              <w:pBdr/>
              <w:spacing/>
              <w:ind/>
              <w:rPr/>
            </w:pPr>
            <w:r>
              <w:t xml:space="preserve">Should</w:t>
            </w:r>
            <w:r/>
          </w:p>
        </w:tc>
      </w:tr>
      <w:tr>
        <w:trPr>
          <w:cantSplit/>
        </w:trPr>
        <w:tc>
          <w:tcPr>
            <w:tcBorders/>
            <w:tcW w:w="800" w:type="dxa"/>
          </w:tcPr>
          <w:p w14:paraId="41C712C4">
            <w:pPr>
              <w:pStyle w:val="922"/>
              <w:pBdr/>
              <w:spacing/>
              <w:ind/>
              <w:rPr/>
            </w:pPr>
            <w:r>
              <w:t xml:space="preserve">AF-13</w:t>
            </w:r>
            <w:r/>
          </w:p>
        </w:tc>
        <w:tc>
          <w:tcPr>
            <w:tcBorders/>
            <w:tcW w:w="2300" w:type="dxa"/>
          </w:tcPr>
          <w:p w14:paraId="1E127B1E">
            <w:pPr>
              <w:pStyle w:val="922"/>
              <w:pBdr/>
              <w:spacing/>
              <w:ind/>
              <w:rPr/>
            </w:pPr>
            <w:r>
              <w:t xml:space="preserve">Integración con correo </w:t>
            </w:r>
            <w:r/>
          </w:p>
        </w:tc>
        <w:tc>
          <w:tcPr>
            <w:tcBorders/>
            <w:tcW w:w="4904" w:type="dxa"/>
          </w:tcPr>
          <w:p w14:paraId="02F701FE">
            <w:pPr>
              <w:pStyle w:val="922"/>
              <w:pBdr/>
              <w:spacing/>
              <w:ind/>
              <w:rPr/>
            </w:pPr>
            <w:r>
              <w:t xml:space="preserve">Envío por correo electrónico de avisos de partidos (incluidos cambios de sede u horario), avisos institucionales y recordatorios de pago.</w:t>
            </w:r>
            <w:r/>
          </w:p>
        </w:tc>
        <w:tc>
          <w:tcPr>
            <w:tcBorders/>
            <w:tcW w:w="1400" w:type="dxa"/>
          </w:tcPr>
          <w:p w14:paraId="5194190C">
            <w:pPr>
              <w:pStyle w:val="922"/>
              <w:pBdr/>
              <w:spacing/>
              <w:ind/>
              <w:rPr/>
            </w:pPr>
            <w:r>
              <w:t xml:space="preserve">Should</w:t>
            </w:r>
            <w:r/>
          </w:p>
        </w:tc>
      </w:tr>
      <w:tr>
        <w:trPr>
          <w:cantSplit/>
        </w:trPr>
        <w:tc>
          <w:tcPr>
            <w:tcBorders/>
            <w:tcW w:w="800" w:type="dxa"/>
          </w:tcPr>
          <w:p w14:paraId="5E88F96E">
            <w:pPr>
              <w:pStyle w:val="922"/>
              <w:pBdr/>
              <w:spacing/>
              <w:ind/>
              <w:rPr/>
            </w:pPr>
            <w:r>
              <w:t xml:space="preserve">AF-14</w:t>
            </w:r>
            <w:r/>
          </w:p>
        </w:tc>
        <w:tc>
          <w:tcPr>
            <w:tcBorders/>
            <w:tcW w:w="2300" w:type="dxa"/>
          </w:tcPr>
          <w:p w14:paraId="299EB99A">
            <w:pPr>
              <w:pStyle w:val="922"/>
              <w:pBdr/>
              <w:spacing/>
              <w:ind/>
              <w:rPr/>
            </w:pPr>
            <w:r>
              <w:t xml:space="preserve">Asambleas y acuerdos</w:t>
            </w:r>
            <w:r/>
          </w:p>
        </w:tc>
        <w:tc>
          <w:tcPr>
            <w:tcBorders/>
            <w:tcW w:w="4904" w:type="dxa"/>
          </w:tcPr>
          <w:p w14:paraId="379C84D4">
            <w:pPr>
              <w:pStyle w:val="922"/>
              <w:pBdr/>
              <w:spacing/>
              <w:ind/>
              <w:rPr/>
            </w:pPr>
            <w:r>
              <w:t xml:space="preserve">Convocatorias a asamblea, asistencia de delegados y registro de acuerdos y comunicados.</w:t>
            </w:r>
            <w:r/>
          </w:p>
        </w:tc>
        <w:tc>
          <w:tcPr>
            <w:tcBorders/>
            <w:tcW w:w="1400" w:type="dxa"/>
          </w:tcPr>
          <w:p w14:paraId="20CE5D46">
            <w:pPr>
              <w:pStyle w:val="922"/>
              <w:pBdr/>
              <w:spacing/>
              <w:ind/>
              <w:rPr/>
            </w:pPr>
            <w:r>
              <w:t xml:space="preserve">Could</w:t>
            </w:r>
            <w:r/>
          </w:p>
        </w:tc>
      </w:tr>
    </w:tbl>
    <w:p>
      <w:pPr>
        <w:pBdr/>
        <w:spacing/>
        <w:ind/>
        <w:rPr/>
      </w:pPr>
      <w:r/>
      <w:r/>
    </w:p>
    <w:p>
      <w:pPr>
        <w:pBdr/>
        <w:spacing w:after="60" w:before="0"/>
        <w:ind/>
        <w:rPr/>
      </w:pPr>
      <w:r/>
      <w:r/>
    </w:p>
    <w:p>
      <w:pPr>
        <w:pStyle w:val="916"/>
        <w:pBdr/>
        <w:spacing/>
        <w:ind/>
        <w:rPr/>
      </w:pPr>
      <w:r/>
      <w:bookmarkStart w:id="10" w:name="_Toc100010"/>
      <w:r>
        <w:t xml:space="preserve">2.3 Características de los usuarios</w:t>
      </w:r>
      <w:bookmarkEnd w:id="10"/>
      <w:r/>
      <w:r/>
    </w:p>
    <w:p>
      <w:pPr>
        <w:pBdr/>
        <w:spacing/>
        <w:ind/>
        <w:rPr/>
      </w:pPr>
      <w:r>
        <w:t xml:space="preserve">El sistema implementa un Control de Acceso Basado en Roles (RBAC), separando estrictamente las funciones operativas de las funciones de aprobación y consulta. </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659"/>
        <w:gridCol w:w="2496"/>
        <w:gridCol w:w="5249"/>
      </w:tblGrid>
      <w:tr>
        <w:trPr>
          <w:cantSplit/>
          <w:tblHeader/>
        </w:trPr>
        <w:tc>
          <w:tcPr>
            <w:shd w:val="clear" w:color="auto" w:fill="241a61"/>
            <w:tcBorders/>
            <w:tcW w:w="1659" w:type="dxa"/>
          </w:tcPr>
          <w:p>
            <w:pPr>
              <w:pStyle w:val="922"/>
              <w:pBdr/>
              <w:spacing/>
              <w:ind/>
              <w:rPr/>
            </w:pPr>
            <w:r>
              <w:rPr>
                <w:b/>
                <w:bCs/>
                <w:color w:val="ffffff"/>
              </w:rPr>
              <w:t xml:space="preserve">Usuario</w:t>
            </w:r>
            <w:r/>
          </w:p>
        </w:tc>
        <w:tc>
          <w:tcPr>
            <w:shd w:val="clear" w:color="auto" w:fill="241a61"/>
            <w:tcBorders/>
            <w:tcW w:w="2496" w:type="dxa"/>
          </w:tcPr>
          <w:p>
            <w:pPr>
              <w:pStyle w:val="922"/>
              <w:pBdr/>
              <w:spacing/>
              <w:ind/>
              <w:rPr/>
            </w:pPr>
            <w:r>
              <w:rPr>
                <w:b/>
                <w:bCs/>
                <w:color w:val="ffffff"/>
              </w:rPr>
              <w:t xml:space="preserve">Formación / Experiencia</w:t>
            </w:r>
            <w:r/>
          </w:p>
        </w:tc>
        <w:tc>
          <w:tcPr>
            <w:shd w:val="clear" w:color="auto" w:fill="241a61"/>
            <w:tcBorders/>
            <w:tcW w:w="5249" w:type="dxa"/>
          </w:tcPr>
          <w:p>
            <w:pPr>
              <w:pStyle w:val="922"/>
              <w:pBdr/>
              <w:spacing/>
              <w:ind/>
              <w:rPr/>
            </w:pPr>
            <w:r>
              <w:rPr>
                <w:b/>
                <w:bCs/>
                <w:color w:val="ffffff"/>
              </w:rPr>
              <w:t xml:space="preserve">Necesidades y Permisos Principales</w:t>
            </w:r>
            <w:r/>
          </w:p>
        </w:tc>
      </w:tr>
      <w:tr>
        <w:trPr>
          <w:cantSplit/>
        </w:trPr>
        <w:tc>
          <w:tcPr>
            <w:tcBorders/>
            <w:tcW w:w="1659" w:type="dxa"/>
          </w:tcPr>
          <w:p>
            <w:pPr>
              <w:pStyle w:val="922"/>
              <w:pBdr/>
              <w:spacing/>
              <w:ind/>
              <w:rPr/>
            </w:pPr>
            <w:r>
              <w:t xml:space="preserve">Administrador General</w:t>
            </w:r>
            <w:r/>
          </w:p>
        </w:tc>
        <w:tc>
          <w:tcPr>
            <w:tcBorders/>
            <w:tcW w:w="2496" w:type="dxa"/>
          </w:tcPr>
          <w:p>
            <w:pPr>
              <w:pStyle w:val="922"/>
              <w:pBdr/>
              <w:spacing/>
              <w:ind/>
              <w:rPr/>
            </w:pPr>
            <w:r>
              <w:t xml:space="preserve">Alta experiencia administrativa/técnica</w:t>
            </w:r>
            <w:r/>
          </w:p>
        </w:tc>
        <w:tc>
          <w:tcPr>
            <w:tcBorders/>
            <w:tcW w:w="5249" w:type="dxa"/>
          </w:tcPr>
          <w:p>
            <w:pPr>
              <w:pStyle w:val="922"/>
              <w:pBdr/>
              <w:spacing/>
              <w:ind/>
              <w:rPr/>
            </w:pPr>
            <w:r>
              <w:t xml:space="preserve">Control total del sistema, administración de cuentas, gestión de catálogos maestros y acceso integral a las bitácoras de auditoría. </w:t>
            </w:r>
            <w:r/>
          </w:p>
        </w:tc>
      </w:tr>
      <w:tr>
        <w:trPr>
          <w:cantSplit/>
        </w:trPr>
        <w:tc>
          <w:tcPr>
            <w:tcBorders/>
            <w:tcW w:w="1659" w:type="dxa"/>
          </w:tcPr>
          <w:p>
            <w:pPr>
              <w:pStyle w:val="922"/>
              <w:pBdr/>
              <w:spacing/>
              <w:ind/>
              <w:rPr/>
            </w:pPr>
            <w:r>
              <w:t xml:space="preserve">Presidente (Consejo Directivo)</w:t>
            </w:r>
            <w:r/>
          </w:p>
        </w:tc>
        <w:tc>
          <w:tcPr>
            <w:tcBorders/>
            <w:tcW w:w="2496" w:type="dxa"/>
          </w:tcPr>
          <w:p>
            <w:pPr>
              <w:pStyle w:val="922"/>
              <w:pBdr/>
              <w:spacing/>
              <w:ind/>
              <w:rPr/>
            </w:pPr>
            <w:r>
              <w:t xml:space="preserve">Administración Deportiva</w:t>
            </w:r>
            <w:r/>
          </w:p>
        </w:tc>
        <w:tc>
          <w:tcPr>
            <w:tcBorders/>
            <w:tcW w:w="5249" w:type="dxa"/>
          </w:tcPr>
          <w:p>
            <w:pPr>
              <w:pStyle w:val="922"/>
              <w:pBdr/>
              <w:spacing/>
              <w:ind/>
              <w:rPr/>
            </w:pPr>
            <w:r>
              <w:t xml:space="preserve">Gobierno de la Liga, aprobación de convocatorias, validación de acuerdos extraordinarios y autorización de periodos de temporada. </w:t>
            </w:r>
            <w:r/>
          </w:p>
        </w:tc>
      </w:tr>
      <w:tr>
        <w:trPr>
          <w:cantSplit/>
        </w:trPr>
        <w:tc>
          <w:tcPr>
            <w:tcBorders/>
            <w:tcW w:w="1659" w:type="dxa"/>
          </w:tcPr>
          <w:p>
            <w:pPr>
              <w:pStyle w:val="922"/>
              <w:pBdr/>
              <w:spacing/>
              <w:ind/>
              <w:rPr/>
            </w:pPr>
            <w:r>
              <w:t xml:space="preserve">Secretario (Consejo Directivo)</w:t>
            </w:r>
            <w:r/>
          </w:p>
        </w:tc>
        <w:tc>
          <w:tcPr>
            <w:tcBorders/>
            <w:tcW w:w="2496" w:type="dxa"/>
          </w:tcPr>
          <w:p>
            <w:pPr>
              <w:pStyle w:val="922"/>
              <w:pBdr/>
              <w:spacing/>
              <w:ind/>
              <w:rPr/>
            </w:pPr>
            <w:r>
              <w:t xml:space="preserve">Gestión documental</w:t>
            </w:r>
            <w:r/>
          </w:p>
        </w:tc>
        <w:tc>
          <w:tcPr>
            <w:tcBorders/>
            <w:tcW w:w="5249" w:type="dxa"/>
          </w:tcPr>
          <w:p>
            <w:pPr>
              <w:pStyle w:val="922"/>
              <w:pBdr/>
              <w:spacing/>
              <w:ind/>
              <w:rPr/>
            </w:pPr>
            <w:r>
              <w:t xml:space="preserve">Cotejo de expedientes de clubes y jugadores, emisión de credenciales, redacción de comunicados oficiales y control de actas de asambleas. </w:t>
            </w:r>
            <w:r/>
          </w:p>
        </w:tc>
      </w:tr>
      <w:tr>
        <w:trPr>
          <w:cantSplit/>
        </w:trPr>
        <w:tc>
          <w:tcPr>
            <w:tcBorders/>
            <w:tcW w:w="1659" w:type="dxa"/>
          </w:tcPr>
          <w:p>
            <w:pPr>
              <w:pStyle w:val="922"/>
              <w:pBdr/>
              <w:spacing/>
              <w:ind/>
              <w:rPr/>
            </w:pPr>
            <w:r>
              <w:t xml:space="preserve">Tesorero (Consejo Directivo)</w:t>
            </w:r>
            <w:r/>
          </w:p>
        </w:tc>
        <w:tc>
          <w:tcPr>
            <w:tcBorders/>
            <w:tcW w:w="2496" w:type="dxa"/>
          </w:tcPr>
          <w:p>
            <w:pPr>
              <w:pStyle w:val="922"/>
              <w:pBdr/>
              <w:spacing/>
              <w:ind/>
              <w:rPr/>
            </w:pPr>
            <w:r>
              <w:t xml:space="preserve">Administración financiera</w:t>
            </w:r>
            <w:r/>
          </w:p>
        </w:tc>
        <w:tc>
          <w:tcPr>
            <w:tcBorders/>
            <w:tcW w:w="5249" w:type="dxa"/>
          </w:tcPr>
          <w:p>
            <w:pPr>
              <w:pStyle w:val="922"/>
              <w:pBdr/>
              <w:spacing/>
              <w:ind/>
              <w:rPr/>
            </w:pPr>
            <w:r>
              <w:t xml:space="preserve">Registro de cobros de inscripciones, credenciales y arbitrajes, validación de comprobantes, control de adeudos y expedición de recibos. </w:t>
            </w:r>
            <w:r/>
          </w:p>
        </w:tc>
      </w:tr>
      <w:tr>
        <w:trPr>
          <w:cantSplit/>
        </w:trPr>
        <w:tc>
          <w:tcPr>
            <w:tcBorders/>
            <w:tcW w:w="1659" w:type="dxa"/>
          </w:tcPr>
          <w:p>
            <w:pPr>
              <w:pStyle w:val="922"/>
              <w:pBdr/>
              <w:spacing/>
              <w:ind/>
              <w:rPr/>
            </w:pPr>
            <w:r>
              <w:t xml:space="preserve">Comisión de la Rama Infantil </w:t>
            </w:r>
            <w:r/>
          </w:p>
        </w:tc>
        <w:tc>
          <w:tcPr>
            <w:tcBorders/>
            <w:tcW w:w="2496" w:type="dxa"/>
          </w:tcPr>
          <w:p>
            <w:pPr>
              <w:pStyle w:val="922"/>
              <w:pBdr/>
              <w:spacing/>
              <w:ind/>
              <w:rPr/>
            </w:pPr>
            <w:r>
              <w:t xml:space="preserve">Gestión deportiva y formativa </w:t>
            </w:r>
            <w:r/>
          </w:p>
        </w:tc>
        <w:tc>
          <w:tcPr>
            <w:tcBorders/>
            <w:tcW w:w="5249" w:type="dxa"/>
          </w:tcPr>
          <w:p>
            <w:pPr>
              <w:pStyle w:val="922"/>
              <w:pBdr/>
              <w:spacing/>
              <w:ind/>
              <w:rPr/>
            </w:pPr>
            <w:r>
              <w:t xml:space="preserve">Supervisión del registro de menores de edad, validación de CURPs y constancias escolares según el año de nacimiento reglamentario. </w:t>
            </w:r>
            <w:r/>
          </w:p>
        </w:tc>
      </w:tr>
      <w:tr>
        <w:trPr>
          <w:cantSplit/>
        </w:trPr>
        <w:tc>
          <w:tcPr>
            <w:tcBorders/>
            <w:tcW w:w="1659" w:type="dxa"/>
          </w:tcPr>
          <w:p>
            <w:pPr>
              <w:pStyle w:val="922"/>
              <w:pBdr/>
              <w:spacing/>
              <w:ind/>
              <w:rPr/>
            </w:pPr>
            <w:r>
              <w:t xml:space="preserve">Programador de Partidos</w:t>
            </w:r>
            <w:r/>
          </w:p>
        </w:tc>
        <w:tc>
          <w:tcPr>
            <w:tcBorders/>
            <w:tcW w:w="2496" w:type="dxa"/>
          </w:tcPr>
          <w:p>
            <w:pPr>
              <w:pStyle w:val="922"/>
              <w:pBdr/>
              <w:spacing/>
              <w:ind/>
              <w:rPr/>
            </w:pPr>
            <w:r>
              <w:t xml:space="preserve">Logística y calendario deportivo </w:t>
            </w:r>
            <w:r/>
          </w:p>
        </w:tc>
        <w:tc>
          <w:tcPr>
            <w:tcBorders/>
            <w:tcW w:w="5249" w:type="dxa"/>
          </w:tcPr>
          <w:p>
            <w:pPr>
              <w:pStyle w:val="922"/>
              <w:pBdr/>
              <w:spacing/>
              <w:ind/>
              <w:rPr/>
            </w:pPr>
            <w:r>
              <w:t xml:space="preserve">Visualización integral de calendarios, ejecución del motor de fixture asistido, resolución de conflictos de canchas/horarios y publicación del rol oficial. </w:t>
            </w:r>
            <w:r/>
          </w:p>
        </w:tc>
      </w:tr>
      <w:tr>
        <w:trPr>
          <w:cantSplit/>
        </w:trPr>
        <w:tc>
          <w:tcPr>
            <w:tcBorders/>
            <w:tcW w:w="1659" w:type="dxa"/>
          </w:tcPr>
          <w:p>
            <w:pPr>
              <w:pStyle w:val="922"/>
              <w:pBdr/>
              <w:spacing/>
              <w:ind/>
              <w:rPr/>
            </w:pPr>
            <w:r>
              <w:t xml:space="preserve">Capturista</w:t>
            </w:r>
            <w:r/>
          </w:p>
        </w:tc>
        <w:tc>
          <w:tcPr>
            <w:tcBorders/>
            <w:tcW w:w="2496" w:type="dxa"/>
          </w:tcPr>
          <w:p>
            <w:pPr>
              <w:pStyle w:val="922"/>
              <w:pBdr/>
              <w:spacing/>
              <w:ind/>
              <w:rPr/>
            </w:pPr>
            <w:r>
              <w:t xml:space="preserve">Manejo básico de ofimática</w:t>
            </w:r>
            <w:r/>
          </w:p>
        </w:tc>
        <w:tc>
          <w:tcPr>
            <w:tcBorders/>
            <w:tcW w:w="5249" w:type="dxa"/>
          </w:tcPr>
          <w:p>
            <w:pPr>
              <w:pStyle w:val="922"/>
              <w:pBdr/>
              <w:spacing/>
              <w:ind/>
              <w:rPr/>
            </w:pPr>
            <w:r>
              <w:t xml:space="preserve">Uso de formularios rápidos con validaciones para capturar resultados físicos o cédulas en papel</w:t>
            </w:r>
            <w:r/>
          </w:p>
        </w:tc>
      </w:tr>
      <w:tr>
        <w:trPr>
          <w:cantSplit/>
        </w:trPr>
        <w:tc>
          <w:tcPr>
            <w:tcBorders/>
            <w:tcW w:w="1659" w:type="dxa"/>
          </w:tcPr>
          <w:p>
            <w:pPr>
              <w:pStyle w:val="922"/>
              <w:pBdr/>
              <w:spacing/>
              <w:ind/>
              <w:rPr/>
            </w:pPr>
            <w:r>
              <w:t xml:space="preserve">Tribunal de Penas (Comisión Disciplinaria) </w:t>
            </w:r>
            <w:r/>
          </w:p>
        </w:tc>
        <w:tc>
          <w:tcPr>
            <w:tcBorders/>
            <w:tcW w:w="2496" w:type="dxa"/>
          </w:tcPr>
          <w:p>
            <w:pPr>
              <w:pStyle w:val="922"/>
              <w:pBdr/>
              <w:spacing/>
              <w:ind/>
              <w:rPr/>
            </w:pPr>
            <w:r>
              <w:t xml:space="preserve">Normativa y reglamentaria deportiva </w:t>
            </w:r>
            <w:r/>
          </w:p>
        </w:tc>
        <w:tc>
          <w:tcPr>
            <w:tcBorders/>
            <w:tcW w:w="5249" w:type="dxa"/>
          </w:tcPr>
          <w:p>
            <w:pPr>
              <w:pStyle w:val="922"/>
              <w:pBdr/>
              <w:spacing/>
              <w:ind/>
              <w:rPr/>
            </w:pPr>
            <w:r>
              <w:t xml:space="preserve">Análisis de reportes arbitrales, apertura de expedientes disciplinarios, dictamen de suspensiones, resolución de inconformidades y emisión del boletín de castigados. </w:t>
            </w:r>
            <w:r/>
          </w:p>
        </w:tc>
      </w:tr>
      <w:tr>
        <w:trPr>
          <w:cantSplit/>
        </w:trPr>
        <w:tc>
          <w:tcPr>
            <w:tcBorders/>
            <w:tcW w:w="1659" w:type="dxa"/>
          </w:tcPr>
          <w:p>
            <w:pPr>
              <w:pStyle w:val="922"/>
              <w:pBdr/>
              <w:spacing/>
              <w:ind/>
              <w:rPr/>
            </w:pPr>
            <w:r>
              <w:t xml:space="preserve">Comisión Arbitral</w:t>
            </w:r>
            <w:r/>
          </w:p>
        </w:tc>
        <w:tc>
          <w:tcPr>
            <w:tcBorders/>
            <w:tcW w:w="2496" w:type="dxa"/>
          </w:tcPr>
          <w:p>
            <w:pPr>
              <w:pStyle w:val="922"/>
              <w:pBdr/>
              <w:spacing/>
              <w:ind/>
              <w:rPr/>
            </w:pPr>
            <w:r>
              <w:t xml:space="preserve">Gestión técnica arbitral </w:t>
            </w:r>
            <w:r/>
          </w:p>
        </w:tc>
        <w:tc>
          <w:tcPr>
            <w:tcBorders/>
            <w:tcW w:w="5249" w:type="dxa"/>
          </w:tcPr>
          <w:p>
            <w:pPr>
              <w:pStyle w:val="922"/>
              <w:pBdr/>
              <w:spacing/>
              <w:ind/>
              <w:rPr/>
            </w:pPr>
            <w:r>
              <w:t xml:space="preserve">Administración del padrón de árbitros colegiados, control de disponibilidad y asignación de ternas a los partidos programados. </w:t>
            </w:r>
            <w:r/>
          </w:p>
        </w:tc>
      </w:tr>
      <w:tr>
        <w:trPr>
          <w:cantSplit/>
        </w:trPr>
        <w:tc>
          <w:tcPr>
            <w:tcBorders/>
            <w:tcW w:w="1659" w:type="dxa"/>
          </w:tcPr>
          <w:p>
            <w:pPr>
              <w:pStyle w:val="922"/>
              <w:pBdr/>
              <w:spacing/>
              <w:ind/>
              <w:rPr/>
            </w:pPr>
            <w:r>
              <w:t xml:space="preserve">Árbitro en Campo</w:t>
            </w:r>
            <w:r/>
          </w:p>
        </w:tc>
        <w:tc>
          <w:tcPr>
            <w:tcBorders/>
            <w:tcW w:w="2496" w:type="dxa"/>
          </w:tcPr>
          <w:p>
            <w:pPr>
              <w:pStyle w:val="922"/>
              <w:pBdr/>
              <w:spacing/>
              <w:ind/>
              <w:rPr/>
            </w:pPr>
            <w:r>
              <w:t xml:space="preserve">Conocimiento de reglas, uso móvil </w:t>
            </w:r>
            <w:r/>
          </w:p>
        </w:tc>
        <w:tc>
          <w:tcPr>
            <w:tcBorders/>
            <w:tcW w:w="5249" w:type="dxa"/>
          </w:tcPr>
          <w:p>
            <w:pPr>
              <w:pStyle w:val="922"/>
              <w:pBdr/>
              <w:spacing/>
              <w:ind/>
              <w:rPr/>
            </w:pPr>
            <w:r>
              <w:t xml:space="preserve">Cotejo de credenciales en cancha, llenado ágil de la cédula digital en smartphone (goles, tarjetas, incidencias) y recolección de firmas de capitanes. </w:t>
            </w:r>
            <w:r/>
          </w:p>
        </w:tc>
      </w:tr>
      <w:tr>
        <w:trPr>
          <w:cantSplit/>
        </w:trPr>
        <w:tc>
          <w:tcPr>
            <w:tcBorders/>
            <w:tcW w:w="1659" w:type="dxa"/>
          </w:tcPr>
          <w:p>
            <w:pPr>
              <w:pStyle w:val="922"/>
              <w:pBdr/>
              <w:spacing/>
              <w:ind/>
              <w:rPr/>
            </w:pPr>
            <w:r>
              <w:t xml:space="preserve">Presidente del Club </w:t>
            </w:r>
            <w:r/>
          </w:p>
        </w:tc>
        <w:tc>
          <w:tcPr>
            <w:tcBorders/>
            <w:tcW w:w="2496" w:type="dxa"/>
          </w:tcPr>
          <w:p>
            <w:pPr>
              <w:pStyle w:val="922"/>
              <w:pBdr/>
              <w:spacing/>
              <w:ind/>
              <w:rPr/>
            </w:pPr>
            <w:r>
              <w:t xml:space="preserve">Representación legal del club </w:t>
            </w:r>
            <w:r/>
          </w:p>
        </w:tc>
        <w:tc>
          <w:tcPr>
            <w:tcBorders/>
            <w:tcW w:w="5249" w:type="dxa"/>
          </w:tcPr>
          <w:p>
            <w:pPr>
              <w:pStyle w:val="922"/>
              <w:pBdr/>
              <w:spacing/>
              <w:ind/>
              <w:rPr/>
            </w:pPr>
            <w:r>
              <w:t xml:space="preserve">Afiliación formal del club mediante el Tarjetón Digital, firma de cartas responsivas, asistencia a asambleas de presidentes y trámites de traspaso de franquicia. </w:t>
            </w:r>
            <w:r/>
          </w:p>
        </w:tc>
      </w:tr>
      <w:tr>
        <w:trPr>
          <w:cantSplit/>
        </w:trPr>
        <w:tc>
          <w:tcPr>
            <w:tcBorders/>
            <w:tcW w:w="1659" w:type="dxa"/>
          </w:tcPr>
          <w:p>
            <w:pPr>
              <w:pStyle w:val="922"/>
              <w:pBdr/>
              <w:spacing/>
              <w:ind/>
              <w:rPr/>
            </w:pPr>
            <w:r>
              <w:t xml:space="preserve">Delegado del Club (Titular / Suplente) </w:t>
            </w:r>
            <w:r/>
          </w:p>
        </w:tc>
        <w:tc>
          <w:tcPr>
            <w:tcBorders/>
            <w:tcW w:w="2496" w:type="dxa"/>
          </w:tcPr>
          <w:p>
            <w:pPr>
              <w:pStyle w:val="922"/>
              <w:pBdr/>
              <w:spacing/>
              <w:ind/>
              <w:rPr/>
            </w:pPr>
            <w:r>
              <w:t xml:space="preserve">Gestión operativa de su club</w:t>
            </w:r>
            <w:r/>
          </w:p>
        </w:tc>
        <w:tc>
          <w:tcPr>
            <w:tcBorders/>
            <w:tcW w:w="5249" w:type="dxa"/>
          </w:tcPr>
          <w:p>
            <w:pPr>
              <w:pStyle w:val="922"/>
              <w:pBdr/>
              <w:spacing/>
              <w:ind/>
              <w:rPr/>
            </w:pPr>
            <w:r>
              <w:t xml:space="preserve">Registro de equipos en categorías, carga de documentos de jugadores, gestión de cartas de préstamo de cancha, pago de arbitrajes y presentación de quejas o inconformidades. </w:t>
            </w:r>
            <w:r/>
          </w:p>
        </w:tc>
      </w:tr>
      <w:tr>
        <w:trPr>
          <w:cantSplit/>
        </w:trPr>
        <w:tc>
          <w:tcPr>
            <w:tcBorders/>
            <w:tcW w:w="1659" w:type="dxa"/>
          </w:tcPr>
          <w:p>
            <w:pPr>
              <w:pStyle w:val="922"/>
              <w:pBdr/>
              <w:spacing/>
              <w:ind/>
              <w:rPr/>
            </w:pPr>
            <w:r>
              <w:t xml:space="preserve">Jugador</w:t>
            </w:r>
            <w:r/>
          </w:p>
        </w:tc>
        <w:tc>
          <w:tcPr>
            <w:tcBorders/>
            <w:tcW w:w="2496" w:type="dxa"/>
          </w:tcPr>
          <w:p>
            <w:pPr>
              <w:pStyle w:val="922"/>
              <w:pBdr/>
              <w:spacing/>
              <w:ind/>
              <w:rPr/>
            </w:pPr>
            <w:r>
              <w:t xml:space="preserve">Usuario estándar </w:t>
            </w:r>
            <w:r/>
          </w:p>
        </w:tc>
        <w:tc>
          <w:tcPr>
            <w:tcBorders/>
            <w:tcW w:w="5249" w:type="dxa"/>
          </w:tcPr>
          <w:p>
            <w:pPr>
              <w:pStyle w:val="922"/>
              <w:pBdr/>
              <w:spacing/>
              <w:ind/>
              <w:rPr/>
            </w:pPr>
            <w:r>
              <w:t xml:space="preserve">Consulta de su historial personal, estadísticas individuales, amonestaciones y vigencia de sanciones. </w:t>
            </w:r>
            <w:r/>
          </w:p>
        </w:tc>
      </w:tr>
      <w:tr>
        <w:trPr>
          <w:cantSplit/>
        </w:trPr>
        <w:tc>
          <w:tcPr>
            <w:tcBorders/>
            <w:tcW w:w="1659" w:type="dxa"/>
          </w:tcPr>
          <w:p>
            <w:pPr>
              <w:pStyle w:val="922"/>
              <w:pBdr/>
              <w:spacing/>
              <w:ind/>
              <w:rPr/>
            </w:pPr>
            <w:r>
              <w:t xml:space="preserve">Público General (Aficionado/prensa)</w:t>
            </w:r>
            <w:r/>
          </w:p>
        </w:tc>
        <w:tc>
          <w:tcPr>
            <w:tcBorders/>
            <w:tcW w:w="2496" w:type="dxa"/>
          </w:tcPr>
          <w:p>
            <w:pPr>
              <w:pStyle w:val="922"/>
              <w:pBdr/>
              <w:spacing/>
              <w:ind/>
              <w:rPr/>
            </w:pPr>
            <w:r>
              <w:t xml:space="preserve">Sin capacitación técnica</w:t>
            </w:r>
            <w:r/>
          </w:p>
        </w:tc>
        <w:tc>
          <w:tcPr>
            <w:tcBorders/>
            <w:tcW w:w="5249" w:type="dxa"/>
          </w:tcPr>
          <w:p>
            <w:pPr>
              <w:pStyle w:val="922"/>
              <w:pBdr/>
              <w:spacing/>
              <w:ind/>
              <w:rPr/>
            </w:pPr>
            <w:r>
              <w:t xml:space="preserve">Acceso abierto y sin credenciales al portal público, consulta inmediata e intuitiva del portal web (modo solo lectura)</w:t>
            </w:r>
            <w:r/>
          </w:p>
        </w:tc>
      </w:tr>
    </w:tbl>
    <w:p w14:paraId="48F9FF2E">
      <w:pPr>
        <w:pBdr/>
        <w:spacing w:after="60" w:before="0"/>
        <w:ind/>
        <w:rPr/>
      </w:pPr>
      <w:r/>
      <w:r/>
    </w:p>
    <w:p w14:paraId="703C96A1">
      <w:pPr>
        <w:pBdr/>
        <w:spacing w:after="60" w:before="0"/>
        <w:ind/>
        <w:rPr/>
      </w:pPr>
      <w:r/>
      <w:r/>
    </w:p>
    <w:p w14:paraId="5B2E361D">
      <w:pPr>
        <w:pBdr/>
        <w:spacing w:after="60" w:before="0"/>
        <w:ind/>
        <w:rPr/>
      </w:pPr>
      <w:r/>
      <w:r/>
    </w:p>
    <w:p w14:paraId="790230E6">
      <w:pPr>
        <w:pBdr/>
        <w:spacing w:after="60" w:before="0"/>
        <w:ind/>
        <w:rPr/>
      </w:pPr>
      <w:r/>
      <w:r/>
    </w:p>
    <w:p w14:paraId="3CD41FE0">
      <w:pPr>
        <w:pBdr/>
        <w:spacing w:after="60" w:before="0"/>
        <w:ind/>
        <w:rPr/>
      </w:pPr>
      <w:r/>
      <w:r/>
    </w:p>
    <w:p w14:paraId="292B2C55">
      <w:pPr>
        <w:pBdr/>
        <w:spacing w:after="60" w:before="0"/>
        <w:ind/>
        <w:rPr/>
      </w:pPr>
      <w:r/>
      <w:r/>
    </w:p>
    <w:p>
      <w:pPr>
        <w:pBdr/>
        <w:spacing w:after="60" w:before="0"/>
        <w:ind/>
        <w:rPr/>
      </w:pPr>
      <w:r/>
      <w:r/>
    </w:p>
    <w:p>
      <w:pPr>
        <w:pStyle w:val="916"/>
        <w:pBdr/>
        <w:spacing/>
        <w:ind/>
        <w:rPr/>
      </w:pPr>
      <w:r/>
      <w:bookmarkStart w:id="11" w:name="_Toc100011"/>
      <w:r>
        <w:t xml:space="preserve">2.4 Restricciones</w:t>
      </w:r>
      <w:bookmarkEnd w:id="11"/>
      <w:r/>
      <w:r/>
    </w:p>
    <w:p>
      <w:pPr>
        <w:pStyle w:val="920"/>
        <w:numPr>
          <w:ilvl w:val="0"/>
          <w:numId w:val="1"/>
        </w:numPr>
        <w:pBdr/>
        <w:spacing/>
        <w:ind/>
        <w:rPr/>
      </w:pPr>
      <w:r>
        <w:rPr>
          <w:b/>
          <w:bCs/>
        </w:rPr>
        <w:t xml:space="preserve">Restricciones Tecnológicas y de Arquitectura</w:t>
      </w:r>
      <w:r/>
    </w:p>
    <w:p>
      <w:pPr>
        <w:pStyle w:val="920"/>
        <w:numPr>
          <w:ilvl w:val="0"/>
          <w:numId w:val="1"/>
        </w:numPr>
        <w:pBdr/>
        <w:spacing/>
        <w:ind/>
        <w:rPr/>
      </w:pPr>
      <w:r>
        <w:t xml:space="preserve">Desarrollo mediante metodologías ágiles (Scrum)</w:t>
      </w:r>
      <w:r/>
    </w:p>
    <w:p>
      <w:pPr>
        <w:pStyle w:val="920"/>
        <w:numPr>
          <w:ilvl w:val="0"/>
          <w:numId w:val="1"/>
        </w:numPr>
        <w:pBdr/>
        <w:spacing/>
        <w:ind/>
        <w:rPr/>
      </w:pPr>
      <w:r>
        <w:t xml:space="preserve">El sistema es una aplicación web responsiva (optimizada para móviles, tabletas y escritorio); no se construirán aplicaciones móviles nativas instalables. </w:t>
      </w:r>
      <w:r/>
    </w:p>
    <w:p>
      <w:pPr>
        <w:pStyle w:val="920"/>
        <w:numPr>
          <w:ilvl w:val="0"/>
          <w:numId w:val="1"/>
        </w:numPr>
        <w:pBdr/>
        <w:spacing/>
        <w:ind/>
        <w:rPr/>
      </w:pPr>
      <w:r>
        <w:t xml:space="preserve">Laravel será utilizado como framework de frontend integrado y backend</w:t>
      </w:r>
      <w:r/>
    </w:p>
    <w:p>
      <w:pPr>
        <w:pStyle w:val="920"/>
        <w:numPr>
          <w:ilvl w:val="0"/>
          <w:numId w:val="1"/>
        </w:numPr>
        <w:pBdr/>
        <w:spacing/>
        <w:ind/>
        <w:rPr/>
      </w:pPr>
      <w:r>
        <w:t xml:space="preserve"> MariaDB será el sistema gestor de base de datos</w:t>
      </w:r>
      <w:r/>
    </w:p>
    <w:p>
      <w:pPr>
        <w:pStyle w:val="920"/>
        <w:numPr>
          <w:ilvl w:val="0"/>
          <w:numId w:val="1"/>
        </w:numPr>
        <w:pBdr/>
        <w:spacing/>
        <w:ind/>
        <w:rPr/>
      </w:pPr>
      <w:r>
        <w:t xml:space="preserve">El sistema atenderá a una sola liga: la Liga Municipal de Morelia. El soporte para varias ligas (multitenant) se evaluará a mediano plazo y no forma parte de esta versión.</w:t>
      </w:r>
      <w:r>
        <w:t xml:space="preserve"> </w:t>
      </w:r>
      <w:r/>
    </w:p>
    <w:p>
      <w:pPr>
        <w:pStyle w:val="920"/>
        <w:numPr>
          <w:ilvl w:val="0"/>
          <w:numId w:val="1"/>
        </w:numPr>
        <w:pBdr/>
        <w:spacing/>
        <w:ind/>
        <w:rPr/>
      </w:pPr>
      <w:r>
        <w:rPr>
          <w:b/>
          <w:bCs/>
        </w:rPr>
        <w:t xml:space="preserve">Restricciones de Negocio y Reglas Deportivas</w:t>
      </w:r>
      <w:r/>
    </w:p>
    <w:p>
      <w:pPr>
        <w:pStyle w:val="920"/>
        <w:numPr>
          <w:ilvl w:val="0"/>
          <w:numId w:val="1"/>
        </w:numPr>
        <w:pBdr/>
        <w:spacing/>
        <w:ind/>
        <w:rPr/>
      </w:pPr>
      <w:r>
        <w:t xml:space="preserve">Restricción de plantilla dura; un jugador solo puede saltar como máximo a 1 categoría superior inmediata dentro de su mismo club. Saltos mayores o participación en múltiples clubes bloquearán el sistema. Fuente de la regla: por confirmar con la Liga.</w:t>
      </w:r>
      <w:r/>
    </w:p>
    <w:p>
      <w:pPr>
        <w:pStyle w:val="920"/>
        <w:numPr>
          <w:ilvl w:val="0"/>
          <w:numId w:val="1"/>
        </w:numPr>
        <w:pBdr/>
        <w:spacing/>
        <w:ind/>
        <w:rPr/>
      </w:pPr>
      <w:r>
        <w:t xml:space="preserve">Baja por Defaults</w:t>
      </w:r>
      <w:r>
        <w:rPr>
          <w:b/>
          <w:bCs/>
        </w:rPr>
        <w:t xml:space="preserve">:</w:t>
      </w:r>
      <w:r>
        <w:t xml:space="preserve"> al llegar a 5 partidos perdidos por </w:t>
      </w:r>
      <w:r>
        <w:rPr>
          <w:i/>
          <w:iCs/>
        </w:rPr>
        <w:t xml:space="preserve">default</w:t>
      </w:r>
      <w:r>
        <w:t xml:space="preserve">, el sistema restringirá automáticamente la programación futura del equipo implicado. Fuente de la regla: por confirmar con la Liga. </w:t>
      </w:r>
      <w:r/>
    </w:p>
    <w:p>
      <w:pPr>
        <w:pStyle w:val="920"/>
        <w:numPr>
          <w:ilvl w:val="0"/>
          <w:numId w:val="1"/>
        </w:numPr>
        <w:pBdr/>
        <w:spacing/>
        <w:ind/>
        <w:rPr/>
      </w:pPr>
      <w:r>
        <w:t xml:space="preserve">Versionado de Reglas: Las reglas de la temporada (criterios de desempate, formatos de liguilla, catálogos de multas) deben estar versionadas y congeladas para no alterar resultados en el futuro. </w:t>
      </w:r>
      <w:r/>
    </w:p>
    <w:p>
      <w:pPr>
        <w:pStyle w:val="920"/>
        <w:numPr>
          <w:ilvl w:val="0"/>
          <w:numId w:val="1"/>
        </w:numPr>
        <w:pBdr/>
        <w:spacing/>
        <w:ind/>
        <w:rPr/>
      </w:pPr>
      <w:r>
        <w:t xml:space="preserve">Reseteo Histórico: La venta o cambio de nombre de un club obliga administrativamente al sistema a desvincular y reiniciar su historial deportivo desde cero. Sin embargo, su histórico anterior quedará igualmente plasmado en el sistema.</w:t>
      </w:r>
      <w:r/>
    </w:p>
    <w:p>
      <w:pPr>
        <w:pStyle w:val="920"/>
        <w:numPr>
          <w:ilvl w:val="0"/>
          <w:numId w:val="1"/>
        </w:numPr>
        <w:pBdr/>
        <w:spacing/>
        <w:ind/>
        <w:rPr/>
      </w:pPr>
      <w:r>
        <w:t xml:space="preserve">Inmutabilidad Histórica: Las temporadas finalizadas y los expedientes cerrados pasan a ser datos históricos de solo lectura y bajo ninguna circunstancia deben sobrescribirse. </w:t>
      </w:r>
      <w:r/>
    </w:p>
    <w:p>
      <w:pPr>
        <w:pStyle w:val="920"/>
        <w:numPr>
          <w:ilvl w:val="0"/>
          <w:numId w:val="1"/>
        </w:numPr>
        <w:pBdr/>
        <w:spacing/>
        <w:ind/>
        <w:rPr/>
      </w:pPr>
      <w:r>
        <w:rPr>
          <w:b/>
          <w:bCs/>
        </w:rPr>
        <w:t xml:space="preserve">Restricciones de Privacidad, Seguridad y Legales</w:t>
      </w:r>
      <w:r/>
    </w:p>
    <w:p>
      <w:pPr>
        <w:pStyle w:val="920"/>
        <w:numPr>
          <w:ilvl w:val="0"/>
          <w:numId w:val="1"/>
        </w:numPr>
        <w:pBdr/>
        <w:spacing/>
        <w:ind/>
        <w:rPr/>
      </w:pPr>
      <w:r>
        <w:t xml:space="preserve">Los documentos confidenciales (INE, CURP, responsivas, domicilios) no deben exponerse mediante URLs públicas directas</w:t>
      </w:r>
      <w:r/>
    </w:p>
    <w:p>
      <w:pPr>
        <w:pStyle w:val="920"/>
        <w:numPr>
          <w:ilvl w:val="0"/>
          <w:numId w:val="1"/>
        </w:numPr>
        <w:pBdr/>
        <w:spacing/>
        <w:ind/>
        <w:rPr/>
      </w:pPr>
      <w:r>
        <w:t xml:space="preserve">El portal público no tendrá privilegios de edición o acceso a endpoints administrativos</w:t>
      </w:r>
      <w:r/>
    </w:p>
    <w:p>
      <w:pPr>
        <w:pStyle w:val="920"/>
        <w:numPr>
          <w:ilvl w:val="0"/>
          <w:numId w:val="1"/>
        </w:numPr>
        <w:pBdr/>
        <w:spacing/>
        <w:ind/>
        <w:rPr/>
      </w:pPr>
      <w:r>
        <w:t xml:space="preserve">Todo cambio crítico (especialmente la corrección de marcadores confirmados o sanciones) debe dejar un log inmutable auditando quién, cuándo, qué valor se alteró y por qué. </w:t>
      </w:r>
      <w:r/>
    </w:p>
    <w:p>
      <w:pPr>
        <w:pStyle w:val="920"/>
        <w:numPr>
          <w:ilvl w:val="0"/>
          <w:numId w:val="1"/>
        </w:numPr>
        <w:pBdr/>
        <w:spacing/>
        <w:ind/>
        <w:rPr/>
      </w:pPr>
      <w:r>
        <w:t xml:space="preserve">Las decisiones que no estén explícitas en el reglament</w:t>
      </w:r>
      <w:r>
        <w:t xml:space="preserve">o (ej. suspensión de sanciones por inconformidad o recurso, tolerancias de tiempo, efectos exactos de los adeudos) no deben programarse como código rígido, sino como parámetros configurables que requerirán confirmación oficial de la directiva de la Liga. </w:t>
      </w:r>
      <w:r/>
    </w:p>
    <w:p>
      <w:pPr>
        <w:pStyle w:val="915"/>
        <w:pageBreakBefore w:val="true"/>
        <w:pBdr/>
        <w:spacing/>
        <w:ind/>
        <w:rPr/>
      </w:pPr>
      <w:r/>
      <w:bookmarkStart w:id="12" w:name="_Toc100012"/>
      <w:r>
        <w:t xml:space="preserve">3. Requisitos específicos</w:t>
      </w:r>
      <w:bookmarkEnd w:id="12"/>
      <w:r/>
      <w:r/>
    </w:p>
    <w:p>
      <w:pPr>
        <w:pBdr/>
        <w:spacing/>
        <w:ind/>
        <w:rPr/>
      </w:pPr>
      <w:r>
        <w:t xml:space="preserve">Esta sección detalla los requisitos del Sistema de Gestión para la Liga Municipal de Morelia</w:t>
      </w:r>
      <w:r>
        <w:t xml:space="preserve"> a partir del documento base, las convocatorias 2026–2027, la programación oficial</w:t>
      </w:r>
      <w:r>
        <w:t xml:space="preserve">, los reglamentos de referencia de la IFAB y la FMF y el levantamiento de información. Todo punto no respaldado expresamente por esas fuentes queda sujeto a validación con la Liga.</w:t>
      </w:r>
      <w:r/>
    </w:p>
    <w:p>
      <w:pPr>
        <w:pStyle w:val="916"/>
        <w:pBdr/>
        <w:spacing/>
        <w:ind/>
        <w:rPr/>
      </w:pPr>
      <w:r/>
      <w:bookmarkStart w:id="13" w:name="_Toc100013"/>
      <w:r>
        <w:t xml:space="preserve">3.1 Requisitos comunes de las interfaces</w:t>
      </w:r>
      <w:bookmarkEnd w:id="13"/>
      <w:r/>
      <w:r/>
    </w:p>
    <w:p>
      <w:pPr>
        <w:pBdr/>
        <w:spacing/>
        <w:ind/>
        <w:rPr/>
      </w:pPr>
      <w:r>
        <w:t xml:space="preserve">Describe las entradas y salidas del sistema en sus interfaces con usuarios, hardware, otros programas y redes.</w:t>
      </w:r>
      <w:r/>
    </w:p>
    <w:p>
      <w:pPr>
        <w:pStyle w:val="917"/>
        <w:pBdr/>
        <w:spacing/>
        <w:ind/>
        <w:rPr/>
      </w:pPr>
      <w:r/>
      <w:bookmarkStart w:id="14" w:name="_Toc100014"/>
      <w:r>
        <w:t xml:space="preserve">3.1.1 Interfaces de usuario</w:t>
      </w:r>
      <w:bookmarkEnd w:id="14"/>
      <w:r/>
      <w:r/>
    </w:p>
    <w:p>
      <w:pPr>
        <w:pBdr/>
        <w:spacing/>
        <w:ind/>
        <w:rPr/>
      </w:pPr>
      <w:r>
        <w:t xml:space="preserve">El sistema se ofrecerá como aplicación web responsive con dos entornos: un portal público de solo consulta y un sistema interno con acceso por rol.</w:t>
      </w:r>
      <w:r/>
    </w:p>
    <w:p>
      <w:pPr>
        <w:pStyle w:val="921"/>
        <w:pBdr/>
        <w:spacing/>
        <w:ind/>
        <w:rPr/>
      </w:pPr>
      <w:r>
        <w:rPr>
          <w:b/>
          <w:bCs/>
        </w:rPr>
        <w:t xml:space="preserve">IU-01 </w:t>
      </w:r>
      <w:r>
        <w:t xml:space="preserve">El portal público deberá mostrar programación semanal, resultados, tablas, calendario, comunicados y sanciones autorizadas, con buscador por fecha, categoría y equipo.</w:t>
      </w:r>
      <w:r/>
    </w:p>
    <w:p>
      <w:pPr>
        <w:pStyle w:val="921"/>
        <w:pBdr/>
        <w:spacing/>
        <w:ind/>
        <w:rPr/>
      </w:pPr>
      <w:r>
        <w:rPr>
          <w:b/>
          <w:bCs/>
        </w:rPr>
        <w:t xml:space="preserve">IU-02 </w:t>
      </w:r>
      <w:r>
        <w:t xml:space="preserve">El sistema interno deberá presentar a cada usuario solo los mó</w:t>
      </w:r>
      <w:r>
        <w:t xml:space="preserve">dulos y acciones permitidos por su rol (administrador general, presidente, secretario, tesorero, Comisión de la Rama Infantil, programador de partidos, capturista, Comisión Disciplinaria, Comisión Arbitral, árbitro, presidente de club, delegado y jugador).</w:t>
      </w:r>
      <w:r/>
    </w:p>
    <w:p>
      <w:pPr>
        <w:pStyle w:val="921"/>
        <w:pBdr/>
        <w:spacing/>
        <w:ind/>
        <w:rPr/>
      </w:pPr>
      <w:r>
        <w:rPr>
          <w:b/>
          <w:bCs/>
        </w:rPr>
        <w:t xml:space="preserve">IU-03 </w:t>
      </w:r>
      <w:r>
        <w:t xml:space="preserve">La interfaz deberá estar en español, usar formularios con validación de datos al momento de captura y mostrar mensajes de error claros.</w:t>
      </w:r>
      <w:r/>
    </w:p>
    <w:p>
      <w:pPr>
        <w:pStyle w:val="921"/>
        <w:pBdr/>
        <w:spacing/>
        <w:ind/>
        <w:rPr/>
      </w:pPr>
      <w:r>
        <w:rPr>
          <w:b/>
          <w:bCs/>
        </w:rPr>
        <w:t xml:space="preserve">IU-04 </w:t>
      </w:r>
      <w:r>
        <w:t xml:space="preserve">La interfaz deberá adaptarse a computadora, tableta y celular, y cumplir criterios básicos de accesibilidad (contraste, tamaño de texto y navegación por teclado).</w:t>
      </w:r>
      <w:r/>
    </w:p>
    <w:p>
      <w:pPr>
        <w:pStyle w:val="921"/>
        <w:pBdr/>
        <w:spacing/>
        <w:ind/>
        <w:rPr/>
      </w:pPr>
      <w:r>
        <w:rPr>
          <w:b/>
          <w:bCs/>
        </w:rPr>
        <w:t xml:space="preserve">IU-05 </w:t>
      </w:r>
      <w:r>
        <w:t xml:space="preserve">Cuando una acción esté bloqueada (por ejemplo, un jugador sancionado), la interfaz deberá mostrar el motivo y la regla que lo origina.</w:t>
      </w:r>
      <w:r/>
    </w:p>
    <w:p>
      <w:pPr>
        <w:pStyle w:val="921"/>
        <w:pBdr/>
        <w:spacing/>
        <w:ind/>
        <w:rPr/>
      </w:pPr>
      <w:r>
        <w:rPr>
          <w:b/>
          <w:bCs/>
        </w:rPr>
        <w:t xml:space="preserve">IU-06 </w:t>
      </w:r>
      <w:r>
        <w:t xml:space="preserve">La captura de cédula arbitral deberá poder hacerse desde un dispositivo móvil durante la jornada.</w:t>
      </w:r>
      <w:r/>
    </w:p>
    <w:p>
      <w:pPr>
        <w:pStyle w:val="921"/>
        <w:pBdr/>
        <w:spacing/>
        <w:ind/>
        <w:rPr/>
      </w:pPr>
      <w:r>
        <w:rPr>
          <w:b/>
          <w:bCs/>
        </w:rPr>
        <w:t xml:space="preserve">IU-07 </w:t>
      </w:r>
      <w:r>
        <w:t xml:space="preserve">El estilo visual (colores, logotipo y tipografía) será el definido por la Liga; si no lo ha especificado, se propondrá en el diseño de interfaz y se validará con ella.</w:t>
      </w:r>
      <w:r/>
    </w:p>
    <w:p>
      <w:pPr>
        <w:pStyle w:val="917"/>
        <w:pBdr/>
        <w:spacing/>
        <w:ind/>
        <w:rPr/>
      </w:pPr>
      <w:r/>
      <w:bookmarkStart w:id="15" w:name="_Toc100015"/>
      <w:r>
        <w:t xml:space="preserve">3.1.2 Interfaces de hardware</w:t>
      </w:r>
      <w:bookmarkEnd w:id="15"/>
      <w:r/>
      <w:r/>
    </w:p>
    <w:p>
      <w:pPr>
        <w:pBdr/>
        <w:spacing/>
        <w:ind/>
        <w:rPr/>
      </w:pPr>
      <w:r>
        <w:t xml:space="preserve">El sistema no requiere hardware dedicado ni controla dispositivos físicos; se utiliza el hardware estándar de los usuarios y del servidor.</w:t>
      </w:r>
      <w:r/>
    </w:p>
    <w:p>
      <w:pPr>
        <w:pStyle w:val="921"/>
        <w:pBdr/>
        <w:spacing/>
        <w:ind/>
        <w:rPr/>
      </w:pPr>
      <w:r>
        <w:rPr>
          <w:b/>
          <w:bCs/>
        </w:rPr>
        <w:t xml:space="preserve">IH-01 </w:t>
      </w:r>
      <w:r>
        <w:t xml:space="preserve">Los usuarios accederán con computadora, tableta o teléfono con navegador web actualizado y conexión a internet.</w:t>
      </w:r>
      <w:r/>
    </w:p>
    <w:p>
      <w:pPr>
        <w:pStyle w:val="921"/>
        <w:pBdr/>
        <w:spacing/>
        <w:ind/>
        <w:rPr/>
      </w:pPr>
      <w:r>
        <w:rPr>
          <w:b/>
          <w:bCs/>
        </w:rPr>
        <w:t xml:space="preserve">IH-02 </w:t>
      </w:r>
      <w:r>
        <w:t xml:space="preserve">La captura de fotografías de jugadores y de evidencias deberá poder hacerse con la cámara del dispositivo o cargando un archivo de imagen.</w:t>
      </w:r>
      <w:r/>
    </w:p>
    <w:p>
      <w:pPr>
        <w:pStyle w:val="921"/>
        <w:pBdr/>
        <w:spacing/>
        <w:ind/>
        <w:rPr/>
      </w:pPr>
      <w:r>
        <w:rPr>
          <w:b/>
          <w:bCs/>
        </w:rPr>
        <w:t xml:space="preserve">IH-03 </w:t>
      </w:r>
      <w:r>
        <w:t xml:space="preserve">Los reportes (programación, tablas, cédulas, castigados) deberán poder imprimirse con cualquier impresora configurada en el equipo del usuario, mediante archivos PDF.</w:t>
      </w:r>
      <w:r/>
    </w:p>
    <w:p>
      <w:pPr>
        <w:pStyle w:val="921"/>
        <w:pBdr/>
        <w:spacing/>
        <w:ind/>
        <w:rPr/>
      </w:pPr>
      <w:r>
        <w:rPr>
          <w:b/>
          <w:bCs/>
        </w:rPr>
        <w:t xml:space="preserve">IH-04 </w:t>
      </w:r>
      <w:r>
        <w:t xml:space="preserve">El servidor (propio o en la nube) deberá contar con almacenamiento suficiente para la base de datos, los documentos adjuntos y los respaldos. Los valores exactos se definirán en la fase de arquitectura.</w:t>
      </w:r>
      <w:r/>
    </w:p>
    <w:p>
      <w:pPr>
        <w:pStyle w:val="917"/>
        <w:pBdr/>
        <w:spacing/>
        <w:ind/>
        <w:rPr/>
      </w:pPr>
      <w:r/>
      <w:bookmarkStart w:id="16" w:name="_Toc100016"/>
      <w:r>
        <w:t xml:space="preserve">3.1.3 Interfaces de software</w:t>
      </w:r>
      <w:bookmarkEnd w:id="16"/>
      <w:r/>
      <w:r/>
    </w:p>
    <w:p>
      <w:pPr>
        <w:keepNext w:val="true"/>
        <w:pBdr/>
        <w:spacing/>
        <w:ind/>
        <w:rPr/>
      </w:pPr>
      <w:r>
        <w:t xml:space="preserve">El sistema deberá integrarse con los siguientes productos de software. Cada integración se justificará por costo, seguridad y necesidad.</w:t>
      </w:r>
      <w:r/>
    </w:p>
    <w:p>
      <w:pPr>
        <w:pStyle w:val="923"/>
        <w:keepNext w:val="true"/>
        <w:pBdr/>
        <w:spacing/>
        <w:ind/>
        <w:rPr/>
      </w:pPr>
      <w:r>
        <w:rPr>
          <w:b/>
          <w:bCs/>
          <w:color w:val="241a61"/>
          <w:sz w:val="18"/>
          <w:szCs w:val="18"/>
        </w:rPr>
        <w:t xml:space="preserve">Tabla 7. </w:t>
      </w:r>
      <w:r>
        <w:rPr>
          <w:sz w:val="18"/>
          <w:szCs w:val="18"/>
        </w:rPr>
        <w:t xml:space="preserve">Interfaces de software.</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3762"/>
        <w:gridCol w:w="2821"/>
      </w:tblGrid>
      <w:tr>
        <w:trPr>
          <w:cantSplit/>
          <w:tblHeader/>
        </w:trPr>
        <w:tc>
          <w:tcPr>
            <w:shd w:val="clear" w:color="auto" w:fill="241a61"/>
            <w:tcBorders/>
            <w:tcW w:w="2821" w:type="dxa"/>
          </w:tcPr>
          <w:p>
            <w:pPr>
              <w:pStyle w:val="922"/>
              <w:pBdr/>
              <w:spacing/>
              <w:ind/>
              <w:rPr/>
            </w:pPr>
            <w:r>
              <w:rPr>
                <w:b/>
                <w:bCs/>
                <w:color w:val="ffffff"/>
              </w:rPr>
              <w:t xml:space="preserve">Producto</w:t>
            </w:r>
            <w:r/>
          </w:p>
        </w:tc>
        <w:tc>
          <w:tcPr>
            <w:shd w:val="clear" w:color="auto" w:fill="241a61"/>
            <w:tcBorders/>
            <w:tcW w:w="3762" w:type="dxa"/>
          </w:tcPr>
          <w:p>
            <w:pPr>
              <w:pStyle w:val="922"/>
              <w:pBdr/>
              <w:spacing/>
              <w:ind/>
              <w:rPr/>
            </w:pPr>
            <w:r>
              <w:rPr>
                <w:b/>
                <w:bCs/>
                <w:color w:val="ffffff"/>
              </w:rPr>
              <w:t xml:space="preserve">Propósito</w:t>
            </w:r>
            <w:r/>
          </w:p>
        </w:tc>
        <w:tc>
          <w:tcPr>
            <w:shd w:val="clear" w:color="auto" w:fill="241a61"/>
            <w:tcBorders/>
            <w:tcW w:w="2821" w:type="dxa"/>
          </w:tcPr>
          <w:p>
            <w:pPr>
              <w:pStyle w:val="922"/>
              <w:pBdr/>
              <w:spacing/>
              <w:ind/>
              <w:rPr/>
            </w:pPr>
            <w:r>
              <w:rPr>
                <w:b/>
                <w:bCs/>
                <w:color w:val="ffffff"/>
              </w:rPr>
              <w:t xml:space="preserve">Contenido y formato</w:t>
            </w:r>
            <w:r/>
          </w:p>
        </w:tc>
      </w:tr>
      <w:tr>
        <w:trPr>
          <w:cantSplit/>
        </w:trPr>
        <w:tc>
          <w:tcPr>
            <w:shd w:val="clear" w:color="auto" w:fill="f3f2f8"/>
            <w:tcBorders/>
            <w:tcW w:w="2821" w:type="dxa"/>
          </w:tcPr>
          <w:p>
            <w:pPr>
              <w:pStyle w:val="922"/>
              <w:pBdr/>
              <w:spacing/>
              <w:ind/>
              <w:rPr/>
            </w:pPr>
            <w:r>
              <w:rPr>
                <w:b/>
                <w:bCs/>
              </w:rPr>
              <w:t xml:space="preserve">Navegador web (Chrome, Edge, Firefox, Safari)</w:t>
            </w:r>
            <w:r/>
          </w:p>
        </w:tc>
        <w:tc>
          <w:tcPr>
            <w:tcBorders/>
            <w:tcW w:w="3762" w:type="dxa"/>
          </w:tcPr>
          <w:p>
            <w:pPr>
              <w:pStyle w:val="922"/>
              <w:pBdr/>
              <w:spacing/>
              <w:ind/>
              <w:rPr/>
            </w:pPr>
            <w:r>
              <w:t xml:space="preserve">Acceso de usuarios al portal y al sistema interno</w:t>
            </w:r>
            <w:r/>
          </w:p>
        </w:tc>
        <w:tc>
          <w:tcPr>
            <w:tcBorders/>
            <w:tcW w:w="2821" w:type="dxa"/>
          </w:tcPr>
          <w:p>
            <w:pPr>
              <w:pStyle w:val="922"/>
              <w:pBdr/>
              <w:spacing/>
              <w:ind/>
              <w:rPr/>
            </w:pPr>
            <w:r>
              <w:t xml:space="preserve">HTML, CSS y JavaScript sobre HTTPS</w:t>
            </w:r>
            <w:r/>
          </w:p>
        </w:tc>
      </w:tr>
      <w:tr>
        <w:trPr>
          <w:cantSplit/>
        </w:trPr>
        <w:tc>
          <w:tcPr>
            <w:shd w:val="clear" w:color="auto" w:fill="f3f2f8"/>
            <w:tcBorders/>
            <w:tcW w:w="2821" w:type="dxa"/>
          </w:tcPr>
          <w:p>
            <w:pPr>
              <w:pStyle w:val="922"/>
              <w:pBdr/>
              <w:spacing/>
              <w:ind/>
              <w:rPr/>
            </w:pPr>
            <w:r>
              <w:rPr>
                <w:b/>
                <w:bCs/>
              </w:rPr>
              <w:t xml:space="preserve">Sistema gestor de base de datos relacional (MariaDB)</w:t>
            </w:r>
            <w:r/>
          </w:p>
        </w:tc>
        <w:tc>
          <w:tcPr>
            <w:tcBorders/>
            <w:tcW w:w="3762" w:type="dxa"/>
          </w:tcPr>
          <w:p>
            <w:pPr>
              <w:pStyle w:val="922"/>
              <w:pBdr/>
              <w:spacing/>
              <w:ind/>
              <w:rPr/>
            </w:pPr>
            <w:r>
              <w:t xml:space="preserve">Almacenar temporadas, equipos, personas, partidos, resultados, sanciones y auditoría</w:t>
            </w:r>
            <w:r/>
          </w:p>
        </w:tc>
        <w:tc>
          <w:tcPr>
            <w:tcBorders/>
            <w:tcW w:w="2821" w:type="dxa"/>
          </w:tcPr>
          <w:p>
            <w:pPr>
              <w:pStyle w:val="922"/>
              <w:pBdr/>
              <w:spacing/>
              <w:ind/>
              <w:rPr/>
            </w:pPr>
            <w:r>
              <w:t xml:space="preserve">Tablas relacionales; consultas SQL</w:t>
            </w:r>
            <w:r/>
          </w:p>
        </w:tc>
      </w:tr>
      <w:tr>
        <w:trPr>
          <w:cantSplit/>
        </w:trPr>
        <w:tc>
          <w:tcPr>
            <w:shd w:val="clear" w:color="auto" w:fill="f3f2f8"/>
            <w:tcBorders/>
            <w:tcW w:w="2821" w:type="dxa"/>
          </w:tcPr>
          <w:p>
            <w:pPr>
              <w:pStyle w:val="922"/>
              <w:pBdr/>
              <w:spacing/>
              <w:ind/>
              <w:rPr/>
            </w:pPr>
            <w:r>
              <w:rPr>
                <w:b/>
                <w:bCs/>
              </w:rPr>
              <w:t xml:space="preserve">Servicio de correo electrónico</w:t>
            </w:r>
            <w:r/>
          </w:p>
        </w:tc>
        <w:tc>
          <w:tcPr>
            <w:tcBorders/>
            <w:tcW w:w="3762" w:type="dxa"/>
          </w:tcPr>
          <w:p>
            <w:pPr>
              <w:pStyle w:val="922"/>
              <w:pBdr/>
              <w:spacing/>
              <w:ind/>
              <w:rPr/>
            </w:pPr>
            <w:r>
              <w:t xml:space="preserve">Enviar notificaciones, comunicados y recuperación de contraseña</w:t>
            </w:r>
            <w:r/>
          </w:p>
        </w:tc>
        <w:tc>
          <w:tcPr>
            <w:tcBorders/>
            <w:tcW w:w="2821" w:type="dxa"/>
          </w:tcPr>
          <w:p>
            <w:pPr>
              <w:pStyle w:val="922"/>
              <w:pBdr/>
              <w:spacing/>
              <w:ind/>
              <w:rPr/>
            </w:pPr>
            <w:r>
              <w:t xml:space="preserve">Mensajes SMTP en texto/HTML</w:t>
            </w:r>
            <w:r/>
          </w:p>
        </w:tc>
      </w:tr>
      <w:tr>
        <w:trPr>
          <w:cantSplit/>
        </w:trPr>
        <w:tc>
          <w:tcPr>
            <w:shd w:val="clear" w:color="auto" w:fill="f3f2f8"/>
            <w:tcBorders/>
            <w:tcW w:w="2821" w:type="dxa"/>
          </w:tcPr>
          <w:p>
            <w:pPr>
              <w:pStyle w:val="922"/>
              <w:pBdr/>
              <w:spacing/>
              <w:ind/>
              <w:rPr/>
            </w:pPr>
            <w:r>
              <w:rPr>
                <w:b/>
                <w:bCs/>
              </w:rPr>
              <w:t xml:space="preserve">Almacenamiento documental</w:t>
            </w:r>
            <w:r/>
          </w:p>
        </w:tc>
        <w:tc>
          <w:tcPr>
            <w:tcBorders/>
            <w:tcW w:w="3762" w:type="dxa"/>
          </w:tcPr>
          <w:p>
            <w:pPr>
              <w:pStyle w:val="922"/>
              <w:pBdr/>
              <w:spacing/>
              <w:ind/>
              <w:rPr/>
            </w:pPr>
            <w:r>
              <w:t xml:space="preserve">Guardar convocatorias, documentos de jugadores, comprobantes y evidencias</w:t>
            </w:r>
            <w:r/>
          </w:p>
        </w:tc>
        <w:tc>
          <w:tcPr>
            <w:tcBorders/>
            <w:tcW w:w="2821" w:type="dxa"/>
          </w:tcPr>
          <w:p>
            <w:pPr>
              <w:pStyle w:val="922"/>
              <w:pBdr/>
              <w:spacing/>
              <w:ind/>
              <w:rPr/>
            </w:pPr>
            <w:r>
              <w:t xml:space="preserve">Archivos PDF, JPG y PNG</w:t>
            </w:r>
            <w:r/>
          </w:p>
        </w:tc>
      </w:tr>
      <w:tr>
        <w:trPr>
          <w:cantSplit/>
        </w:trPr>
        <w:tc>
          <w:tcPr>
            <w:shd w:val="clear" w:color="auto" w:fill="f3f2f8"/>
            <w:tcBorders/>
            <w:tcW w:w="2821" w:type="dxa"/>
          </w:tcPr>
          <w:p>
            <w:pPr>
              <w:pStyle w:val="922"/>
              <w:pBdr/>
              <w:spacing/>
              <w:ind/>
              <w:rPr/>
            </w:pPr>
            <w:r>
              <w:rPr>
                <w:b/>
                <w:bCs/>
              </w:rPr>
              <w:t xml:space="preserve">Generador de PDF</w:t>
            </w:r>
            <w:r/>
          </w:p>
        </w:tc>
        <w:tc>
          <w:tcPr>
            <w:tcBorders/>
            <w:tcW w:w="3762" w:type="dxa"/>
          </w:tcPr>
          <w:p>
            <w:pPr>
              <w:pStyle w:val="922"/>
              <w:pBdr/>
              <w:spacing/>
              <w:ind/>
              <w:rPr/>
            </w:pPr>
            <w:r>
              <w:t xml:space="preserve">Exportar programación, tablas, cédulas y reportes</w:t>
            </w:r>
            <w:r/>
          </w:p>
        </w:tc>
        <w:tc>
          <w:tcPr>
            <w:tcBorders/>
            <w:tcW w:w="2821" w:type="dxa"/>
          </w:tcPr>
          <w:p>
            <w:pPr>
              <w:pStyle w:val="922"/>
              <w:pBdr/>
              <w:spacing/>
              <w:ind/>
              <w:rPr/>
            </w:pPr>
            <w:r>
              <w:t xml:space="preserve">Documentos PDF</w:t>
            </w:r>
            <w:r/>
          </w:p>
        </w:tc>
      </w:tr>
    </w:tbl>
    <w:p>
      <w:pPr>
        <w:pBdr/>
        <w:spacing w:after="60" w:before="0"/>
        <w:ind/>
        <w:rPr/>
      </w:pPr>
      <w:r/>
      <w:r/>
    </w:p>
    <w:p>
      <w:pPr>
        <w:pStyle w:val="917"/>
        <w:pBdr/>
        <w:spacing/>
        <w:ind/>
        <w:rPr/>
      </w:pPr>
      <w:r/>
      <w:bookmarkStart w:id="17" w:name="_Toc100017"/>
      <w:r>
        <w:t xml:space="preserve">3.1.4 Interfaces de comunicación</w:t>
      </w:r>
      <w:bookmarkEnd w:id="17"/>
      <w:r/>
      <w:r/>
    </w:p>
    <w:p>
      <w:pPr>
        <w:pBdr/>
        <w:spacing/>
        <w:ind/>
        <w:rPr/>
      </w:pPr>
      <w:r>
        <w:t xml:space="preserve">Se describen los protocolos y mecanismos de comunicación que el sistema usará con otros sistemas y con sus usuarios.</w:t>
      </w:r>
      <w:r/>
    </w:p>
    <w:p>
      <w:pPr>
        <w:pStyle w:val="921"/>
        <w:pBdr/>
        <w:spacing/>
        <w:ind/>
        <w:rPr/>
      </w:pPr>
      <w:r>
        <w:rPr>
          <w:b/>
          <w:bCs/>
        </w:rPr>
        <w:t xml:space="preserve">IC-01 </w:t>
      </w:r>
      <w:r>
        <w:t xml:space="preserve">Toda comunicación entre el navegador y el servidor deberá realizarse mediante HTTPS (TLS), sin exponer datos personales en texto plano.</w:t>
      </w:r>
      <w:r/>
    </w:p>
    <w:p>
      <w:pPr>
        <w:pStyle w:val="921"/>
        <w:pBdr/>
        <w:spacing/>
        <w:ind/>
        <w:rPr/>
      </w:pPr>
      <w:r>
        <w:rPr>
          <w:b/>
          <w:bCs/>
        </w:rPr>
        <w:t xml:space="preserve">IC-02 </w:t>
      </w:r>
      <w:r>
        <w:t xml:space="preserve">La aplicación se construirá con Laravel y vistas Blade generadas en el servidor; el navegador se comunicará con ella mediante solicitudes HTTPS (formularios y enlaces), sin una API REST separada.</w:t>
      </w:r>
      <w:r/>
    </w:p>
    <w:p>
      <w:pPr>
        <w:pStyle w:val="921"/>
        <w:pBdr/>
        <w:spacing/>
        <w:ind/>
        <w:rPr/>
      </w:pPr>
      <w:r>
        <w:rPr>
          <w:b/>
          <w:bCs/>
        </w:rPr>
        <w:t xml:space="preserve">IC-03 </w:t>
      </w:r>
      <w:r>
        <w:t xml:space="preserve">El envío de correos deberá usar SMTP con autenticación hacia el servicio de correo configurado.</w:t>
      </w:r>
      <w:r/>
    </w:p>
    <w:p>
      <w:pPr>
        <w:pStyle w:val="921"/>
        <w:pBdr/>
        <w:spacing/>
        <w:ind/>
        <w:rPr/>
      </w:pPr>
      <w:r>
        <w:rPr>
          <w:b/>
          <w:bCs/>
        </w:rPr>
        <w:t xml:space="preserve">IC-04 </w:t>
      </w:r>
      <w:r>
        <w:t xml:space="preserve">Las credenciales del servicio de correo deberán almacenarse de forma segura, fuera del código fuente.</w:t>
      </w:r>
      <w:r/>
    </w:p>
    <w:p>
      <w:pPr>
        <w:pStyle w:val="921"/>
        <w:pBdr/>
        <w:spacing/>
        <w:ind/>
        <w:rPr/>
      </w:pPr>
      <w:r>
        <w:rPr>
          <w:b/>
          <w:bCs/>
        </w:rPr>
        <w:t xml:space="preserve">IC-05 </w:t>
      </w:r>
      <w:r>
        <w:t xml:space="preserve">La comunicación entre el servidor y la base de datos deberá estar restringida a la red interna y protegida con credenciales.</w:t>
      </w:r>
      <w:r/>
    </w:p>
    <w:p>
      <w:pPr>
        <w:pStyle w:val="916"/>
        <w:pBdr/>
        <w:spacing/>
        <w:ind/>
        <w:rPr/>
      </w:pPr>
      <w:r/>
      <w:bookmarkStart w:id="18" w:name="_Toc100018"/>
      <w:r>
        <w:t xml:space="preserve">3.2 Requisitos funcionales</w:t>
      </w:r>
      <w:bookmarkEnd w:id="18"/>
      <w:r/>
      <w:r/>
    </w:p>
    <w:p>
      <w:pPr>
        <w:pBdr/>
        <w:spacing/>
        <w:ind/>
        <w:rPr/>
      </w:pPr>
      <w:r>
        <w:t xml:space="preserve">Los requisitos funcionales se agrupan en cuatro bloques y se identifican como RF-xx para su seguimie</w:t>
      </w:r>
      <w:r>
        <w:t xml:space="preserve">nto y trazabilidad. Cada uno incluye su tabla de datos y su descripción. Prioridades: Alta/Esencial, Media/Deseado, Baja/Opcional. Equivalencia con la prioridad MoSCoW de la sección 1.2: Alta/Esencial = Must, Media/Deseado = Should y Baja/Opcional = Could.</w:t>
      </w:r>
      <w:r/>
    </w:p>
    <w:p>
      <w:pPr>
        <w:pStyle w:val="917"/>
        <w:pBdr/>
        <w:spacing/>
        <w:ind/>
        <w:rPr/>
      </w:pPr>
      <w:r/>
      <w:bookmarkStart w:id="19" w:name="_Toc100019"/>
      <w:r>
        <w:t xml:space="preserve">3.2.1 Requisito funcional 1: Estructura deportiva, clubes y jugadores</w:t>
      </w:r>
      <w:bookmarkEnd w:id="19"/>
      <w:r/>
      <w:r/>
    </w:p>
    <w:p>
      <w:pPr>
        <w:pStyle w:val="918"/>
        <w:pBdr/>
        <w:spacing/>
        <w:ind/>
        <w:rPr/>
      </w:pPr>
      <w:r/>
      <w:bookmarkStart w:id="20" w:name="_Toc100020"/>
      <w:r>
        <w:t xml:space="preserve">RF-01 – Gestión de temporadas y convocatorias</w:t>
      </w:r>
      <w:bookmarkEnd w:id="20"/>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RF-01</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temporadas y convocatorias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documento base (diap. 8, 33, 44)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Permite crear y administrar temporadas deportivas y la convocatoria normativa asociada, conservando el histórico de reglas.</w:t>
      </w:r>
      <w:r/>
    </w:p>
    <w:p>
      <w:pPr>
        <w:pStyle w:val="921"/>
        <w:pBdr/>
        <w:spacing/>
        <w:ind/>
        <w:rPr/>
      </w:pPr>
      <w:r>
        <w:rPr>
          <w:b/>
          <w:bCs/>
        </w:rPr>
        <w:t xml:space="preserve">RF-01.1 </w:t>
      </w:r>
      <w:r>
        <w:t xml:space="preserve">El sistema deberá permitir registrar una temporada con nombre, fecha de inicio, fecha de fin y convocatoria asociada (documento adjunto).</w:t>
      </w:r>
      <w:r/>
    </w:p>
    <w:p>
      <w:pPr>
        <w:pStyle w:val="921"/>
        <w:pBdr/>
        <w:spacing/>
        <w:ind/>
        <w:rPr/>
      </w:pPr>
      <w:r>
        <w:rPr>
          <w:b/>
          <w:bCs/>
        </w:rPr>
        <w:t xml:space="preserve">RF-01.2 </w:t>
      </w:r>
      <w:r>
        <w:t xml:space="preserve">El sistema deberá permitir configurar por temporada las cuotas, fechas límite, reglas de clasificación, desempates y reglas de ascenso/descenso.</w:t>
      </w:r>
      <w:r/>
    </w:p>
    <w:p>
      <w:pPr>
        <w:pStyle w:val="921"/>
        <w:pBdr/>
        <w:spacing/>
        <w:ind/>
        <w:rPr/>
      </w:pPr>
      <w:r>
        <w:rPr>
          <w:b/>
          <w:bCs/>
        </w:rPr>
        <w:t xml:space="preserve">RF-01.3 </w:t>
      </w:r>
      <w:r>
        <w:t xml:space="preserve">El sistema deberá versionar las reglas de cada temporada y registrar usuario, fecha y motivo de cada cambio.</w:t>
      </w:r>
      <w:r/>
    </w:p>
    <w:p>
      <w:pPr>
        <w:pStyle w:val="921"/>
        <w:pBdr/>
        <w:spacing/>
        <w:ind/>
        <w:rPr/>
      </w:pPr>
      <w:r>
        <w:rPr>
          <w:b/>
          <w:bCs/>
        </w:rPr>
        <w:t xml:space="preserve">RF-01.4 </w:t>
      </w:r>
      <w:r>
        <w:t xml:space="preserve">El sistema no deberá permitir modificar ni eliminar temporadas cerradas; solo consulta.</w:t>
      </w:r>
      <w:r/>
    </w:p>
    <w:p>
      <w:pPr>
        <w:pStyle w:val="918"/>
        <w:pBdr/>
        <w:spacing/>
        <w:ind/>
        <w:rPr/>
      </w:pPr>
      <w:r/>
      <w:bookmarkStart w:id="21" w:name="_Toc100021"/>
      <w:r>
        <w:t xml:space="preserve">RF-02 – Gestión de categorías y grupos</w:t>
      </w:r>
      <w:bookmarkEnd w:id="21"/>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RF-02</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categorías y grupos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Permite definir la estructura deportiva de cada temporada: categoría → grupo → equipos.</w:t>
      </w:r>
      <w:r/>
    </w:p>
    <w:p>
      <w:pPr>
        <w:pStyle w:val="921"/>
        <w:pBdr/>
        <w:spacing/>
        <w:ind/>
        <w:rPr/>
      </w:pPr>
      <w:r>
        <w:rPr>
          <w:b/>
          <w:bCs/>
        </w:rPr>
        <w:t xml:space="preserve">RF-02.1 </w:t>
      </w:r>
      <w:r>
        <w:t xml:space="preserve">El sistema deberá permitir crear categorías (p. ej. Primera Fuerza, Reserva, Intermedia, Segunda, Tercera, Juvenil, Cuarta, Veteranos) sin modificar el código del sistema.</w:t>
      </w:r>
      <w:r/>
    </w:p>
    <w:p>
      <w:pPr>
        <w:pStyle w:val="921"/>
        <w:pBdr/>
        <w:spacing/>
        <w:ind/>
        <w:rPr/>
      </w:pPr>
      <w:r>
        <w:rPr>
          <w:b/>
          <w:bCs/>
        </w:rPr>
        <w:t xml:space="preserve">RF-02.2 </w:t>
      </w:r>
      <w:r>
        <w:t xml:space="preserve">El sistema deberá permitir que una categoría tenga uno o varios grupos por temporada.</w:t>
      </w:r>
      <w:r/>
    </w:p>
    <w:p>
      <w:pPr>
        <w:pStyle w:val="921"/>
        <w:pBdr/>
        <w:spacing/>
        <w:ind/>
        <w:rPr/>
      </w:pPr>
      <w:r>
        <w:rPr>
          <w:b/>
          <w:bCs/>
        </w:rPr>
        <w:t xml:space="preserve">RF-02.3 </w:t>
      </w:r>
      <w:r>
        <w:t xml:space="preserve">El sistema deberá permitir configurar el formato de competencia y los criterios de clasificación de cada categoría/grupo.</w:t>
      </w:r>
      <w:r/>
    </w:p>
    <w:p>
      <w:pPr>
        <w:pStyle w:val="921"/>
        <w:pBdr/>
        <w:spacing/>
        <w:ind/>
        <w:rPr/>
      </w:pPr>
      <w:r>
        <w:rPr>
          <w:b/>
          <w:bCs/>
        </w:rPr>
        <w:t xml:space="preserve">RF-02.4 </w:t>
      </w:r>
      <w:r>
        <w:t xml:space="preserve">El sistema deberá asignar cada equipo a una sola categoría/grupo por temporada.</w:t>
      </w:r>
      <w:r/>
    </w:p>
    <w:p>
      <w:pPr>
        <w:pStyle w:val="918"/>
        <w:pBdr/>
        <w:spacing/>
        <w:ind/>
        <w:rPr/>
      </w:pPr>
      <w:r/>
      <w:bookmarkStart w:id="22" w:name="_Toc100022"/>
      <w:r>
        <w:t xml:space="preserve">RF-03 – Gestión de clubes, equipos y personas</w:t>
      </w:r>
      <w:bookmarkEnd w:id="22"/>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RF-03</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clubes, equipos y personas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Administra clubes afiliados, equipos por temporada y la identidad de las personas con sus distintos roles.</w:t>
      </w:r>
      <w:r/>
    </w:p>
    <w:p>
      <w:pPr>
        <w:pStyle w:val="921"/>
        <w:pBdr/>
        <w:spacing/>
        <w:ind/>
        <w:rPr/>
      </w:pPr>
      <w:r>
        <w:rPr>
          <w:b/>
          <w:bCs/>
        </w:rPr>
        <w:t xml:space="preserve">RF-03.1 </w:t>
      </w:r>
      <w:r>
        <w:t xml:space="preserve">El sistema deberá permitir dar de alta un club y sus equipos por categoría, grupo y temporada (tarjetón, delegado, árbitro si aplica).</w:t>
      </w:r>
      <w:r/>
    </w:p>
    <w:p>
      <w:pPr>
        <w:pStyle w:val="921"/>
        <w:pBdr/>
        <w:spacing/>
        <w:ind/>
        <w:rPr/>
      </w:pPr>
      <w:r>
        <w:rPr>
          <w:b/>
          <w:bCs/>
        </w:rPr>
        <w:t xml:space="preserve">RF-03.2 </w:t>
      </w:r>
      <w:r>
        <w:t xml:space="preserve">El sistema deberá manejar a la persona como identidad única reutilizable, con roles asignables (jugador, delegado, árbitro, directivo).</w:t>
      </w:r>
      <w:r/>
    </w:p>
    <w:p>
      <w:pPr>
        <w:pStyle w:val="921"/>
        <w:pBdr/>
        <w:spacing/>
        <w:ind/>
        <w:rPr/>
      </w:pPr>
      <w:r>
        <w:rPr>
          <w:b/>
          <w:bCs/>
        </w:rPr>
        <w:t xml:space="preserve">RF-03.3 </w:t>
      </w:r>
      <w:r>
        <w:t xml:space="preserve">El sistema deberá validar y alertar sobre posibles duplicados de personas y de nombres de equipos.</w:t>
      </w:r>
      <w:r/>
    </w:p>
    <w:p>
      <w:pPr>
        <w:pStyle w:val="921"/>
        <w:pBdr/>
        <w:spacing/>
        <w:ind/>
        <w:rPr/>
      </w:pPr>
      <w:r>
        <w:rPr>
          <w:b/>
          <w:bCs/>
        </w:rPr>
        <w:t xml:space="preserve">RF-03.4 </w:t>
      </w:r>
      <w:r>
        <w:t xml:space="preserve">El sistema deberá conservar el historial de equipos y temporadas de cada persona.</w:t>
      </w:r>
      <w:r/>
    </w:p>
    <w:p>
      <w:pPr>
        <w:pStyle w:val="918"/>
        <w:pBdr/>
        <w:spacing/>
        <w:ind/>
        <w:rPr/>
      </w:pPr>
      <w:r/>
      <w:bookmarkStart w:id="23" w:name="_Toc100023"/>
      <w:r>
        <w:t xml:space="preserve">RF-04 – Registro y habilitación de jugadores</w:t>
      </w:r>
      <w:bookmarkEnd w:id="23"/>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RF-04</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Registro y habilitación de jugadores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documento base (diap. 11)</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Controla altas, bajas, renovaciones y transferencias de jugadores, validando su elegibilidad antes de participar.</w:t>
      </w:r>
      <w:r/>
    </w:p>
    <w:p>
      <w:pPr>
        <w:pStyle w:val="921"/>
        <w:pBdr/>
        <w:spacing/>
        <w:ind/>
        <w:rPr/>
      </w:pPr>
      <w:r>
        <w:rPr>
          <w:b/>
          <w:bCs/>
        </w:rPr>
        <w:t xml:space="preserve">RF-04.1 </w:t>
      </w:r>
      <w:r>
        <w:t xml:space="preserve">El sistema deberá registrar al jugador con identificación, documentos, fotografía, categoría, equipo y temporada.</w:t>
      </w:r>
      <w:r/>
    </w:p>
    <w:p>
      <w:pPr>
        <w:pStyle w:val="921"/>
        <w:pBdr/>
        <w:spacing/>
        <w:ind/>
        <w:rPr/>
      </w:pPr>
      <w:r>
        <w:rPr>
          <w:b/>
          <w:bCs/>
        </w:rPr>
        <w:t xml:space="preserve">RF-04.2 </w:t>
      </w:r>
      <w:r>
        <w:t xml:space="preserve">El sistema deberá permitir altas, bajas, renovaciones y transferencias conforme a las reglas configuradas por temporada.</w:t>
      </w:r>
      <w:r/>
    </w:p>
    <w:p>
      <w:pPr>
        <w:pStyle w:val="921"/>
        <w:pBdr/>
        <w:spacing/>
        <w:ind/>
        <w:rPr/>
      </w:pPr>
      <w:r>
        <w:rPr>
          <w:b/>
          <w:bCs/>
        </w:rPr>
        <w:t xml:space="preserve">RF-04.3 </w:t>
      </w:r>
      <w:r>
        <w:t xml:space="preserve">El sistema deberá manejar los estados del jugador: activo, suspendido, baja e inelegible.</w:t>
      </w:r>
      <w:r/>
    </w:p>
    <w:p>
      <w:pPr>
        <w:pStyle w:val="921"/>
        <w:pBdr/>
        <w:spacing/>
        <w:ind/>
        <w:rPr/>
      </w:pPr>
      <w:r>
        <w:rPr>
          <w:b/>
          <w:bCs/>
        </w:rPr>
        <w:t xml:space="preserve">RF-04.4 </w:t>
      </w:r>
      <w:r>
        <w:t xml:space="preserve">El sistema deberá validar la elegibilidad (documentos completos, cuota cubierta, sin sanción vigente) y mostrar el motivo cuando no sea elegible.</w:t>
      </w:r>
      <w:r/>
    </w:p>
    <w:p>
      <w:pPr>
        <w:pStyle w:val="921"/>
        <w:pBdr/>
        <w:spacing/>
        <w:ind/>
        <w:rPr/>
      </w:pPr>
      <w:r>
        <w:rPr>
          <w:b/>
          <w:bCs/>
        </w:rPr>
        <w:t xml:space="preserve">RF-04.5 </w:t>
      </w:r>
      <w:r>
        <w:t xml:space="preserve">El sistema deberá proteger los datos personales y registrar todo cambio en un historial.</w:t>
      </w:r>
      <w:r/>
    </w:p>
    <w:p>
      <w:pPr>
        <w:pStyle w:val="917"/>
        <w:pBdr/>
        <w:spacing/>
        <w:ind/>
        <w:rPr/>
      </w:pPr>
      <w:r/>
      <w:bookmarkStart w:id="24" w:name="_Toc100024"/>
      <w:r>
        <w:t xml:space="preserve">3.2.2 Requisito funcional 2: Canchas y programación</w:t>
      </w:r>
      <w:bookmarkEnd w:id="24"/>
      <w:r/>
      <w:r/>
    </w:p>
    <w:p>
      <w:pPr>
        <w:pStyle w:val="918"/>
        <w:pBdr/>
        <w:spacing/>
        <w:ind/>
        <w:rPr/>
      </w:pPr>
      <w:r/>
      <w:bookmarkStart w:id="25" w:name="_Toc100025"/>
      <w:r>
        <w:t xml:space="preserve">RF-05 – Gestión de canchas y sedes</w:t>
      </w:r>
      <w:bookmarkEnd w:id="25"/>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RF-05</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canchas y sedes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13)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Mantiene el catálogo de canchas como recurso con disponibilidad por fecha y hora.</w:t>
      </w:r>
      <w:r/>
    </w:p>
    <w:p>
      <w:pPr>
        <w:pStyle w:val="921"/>
        <w:pBdr/>
        <w:spacing/>
        <w:ind/>
        <w:rPr/>
      </w:pPr>
      <w:r>
        <w:rPr>
          <w:b/>
          <w:bCs/>
        </w:rPr>
        <w:t xml:space="preserve">RF-05.1 </w:t>
      </w:r>
      <w:r>
        <w:t xml:space="preserve">El sistema deberá permitir registrar canchas y sedes con sus características y capacidad de partidos consecutivos.</w:t>
      </w:r>
      <w:r/>
    </w:p>
    <w:p>
      <w:pPr>
        <w:pStyle w:val="921"/>
        <w:pBdr/>
        <w:spacing/>
        <w:ind/>
        <w:rPr/>
      </w:pPr>
      <w:r>
        <w:rPr>
          <w:b/>
          <w:bCs/>
        </w:rPr>
        <w:t xml:space="preserve">RF-05.2 </w:t>
      </w:r>
      <w:r>
        <w:t xml:space="preserve">El sistema deberá registrar la disponibilidad por fecha y hora, así como bloqueos por mantenimiento o por clima (por ejemplo, lluvia).</w:t>
      </w:r>
      <w:r/>
    </w:p>
    <w:p>
      <w:pPr>
        <w:pStyle w:val="921"/>
        <w:pBdr/>
        <w:spacing/>
        <w:ind/>
        <w:rPr/>
      </w:pPr>
      <w:r>
        <w:rPr>
          <w:b/>
          <w:bCs/>
        </w:rPr>
        <w:t xml:space="preserve">RF-05.3 </w:t>
      </w:r>
      <w:r>
        <w:t xml:space="preserve">El sistema deberá impedir asignar una cancha bloqueada o ya ocupada en el mismo horario.</w:t>
      </w:r>
      <w:r/>
    </w:p>
    <w:p>
      <w:pPr>
        <w:pStyle w:val="918"/>
        <w:pBdr/>
        <w:spacing/>
        <w:ind/>
        <w:rPr/>
      </w:pPr>
      <w:r/>
      <w:bookmarkStart w:id="26" w:name="_Toc100026"/>
      <w:r>
        <w:t xml:space="preserve">RF-06 – Programación semanal de partidos</w:t>
      </w:r>
      <w:bookmarkEnd w:id="26"/>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RF-06</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Programación semanal de partidos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14, 19)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Administra jornadas y partidos con su cancha, horario, árbitro y estado.</w:t>
      </w:r>
      <w:r/>
    </w:p>
    <w:p>
      <w:pPr>
        <w:pStyle w:val="921"/>
        <w:pBdr/>
        <w:spacing/>
        <w:ind/>
        <w:rPr/>
      </w:pPr>
      <w:r>
        <w:rPr>
          <w:b/>
          <w:bCs/>
        </w:rPr>
        <w:t xml:space="preserve">RF-06.1 </w:t>
      </w:r>
      <w:r>
        <w:t xml:space="preserve">El sistema deberá permitir crear jornadas y partidos con equipo local y visitante, cancha, fecha, hora y árbitro.</w:t>
      </w:r>
      <w:r/>
    </w:p>
    <w:p>
      <w:pPr>
        <w:pStyle w:val="921"/>
        <w:pBdr/>
        <w:spacing/>
        <w:ind/>
        <w:rPr/>
      </w:pPr>
      <w:r>
        <w:rPr>
          <w:b/>
          <w:bCs/>
        </w:rPr>
        <w:t xml:space="preserve">RF-06.2 </w:t>
      </w:r>
      <w:r>
        <w:t xml:space="preserve">El sistema deberá registrar los equipos que descansan en cada jornada.</w:t>
      </w:r>
      <w:r/>
    </w:p>
    <w:p>
      <w:pPr>
        <w:pStyle w:val="921"/>
        <w:pBdr/>
        <w:spacing/>
        <w:ind/>
        <w:rPr/>
      </w:pPr>
      <w:r>
        <w:rPr>
          <w:b/>
          <w:bCs/>
        </w:rPr>
        <w:t xml:space="preserve">RF-06.3 </w:t>
      </w:r>
      <w:r>
        <w:t xml:space="preserve">El sistema deberá manejar los estados del partido: borrador, programado, confirmado, en juego, finalizado, suspendido, cancelado y reprogramado.</w:t>
      </w:r>
      <w:r/>
    </w:p>
    <w:p>
      <w:pPr>
        <w:pStyle w:val="921"/>
        <w:pBdr/>
        <w:spacing/>
        <w:ind/>
        <w:rPr/>
      </w:pPr>
      <w:r>
        <w:rPr>
          <w:b/>
          <w:bCs/>
        </w:rPr>
        <w:t xml:space="preserve">RF-06.4 </w:t>
      </w:r>
      <w:r>
        <w:t xml:space="preserve">El sistema deberá registrar usuario, fecha y motivo en cada cambio de estado o reprogramación.</w:t>
      </w:r>
      <w:r/>
    </w:p>
    <w:p>
      <w:pPr>
        <w:pStyle w:val="921"/>
        <w:pBdr/>
        <w:spacing/>
        <w:ind/>
        <w:rPr/>
      </w:pPr>
      <w:r>
        <w:rPr>
          <w:b/>
          <w:bCs/>
        </w:rPr>
        <w:t xml:space="preserve">RF-06.5 </w:t>
      </w:r>
      <w:r>
        <w:t xml:space="preserve">El sistema deberá permitir publicar la programación solo después de su revisión y aprobación.</w:t>
      </w:r>
      <w:r/>
    </w:p>
    <w:p>
      <w:pPr>
        <w:pStyle w:val="921"/>
        <w:pBdr/>
        <w:spacing/>
        <w:ind/>
        <w:rPr/>
      </w:pPr>
      <w:r>
        <w:rPr>
          <w:b/>
          <w:bCs/>
        </w:rPr>
        <w:t xml:space="preserve">RF-06.6 </w:t>
      </w:r>
      <w:r>
        <w:t xml:space="preserve">El sistema no deberá eliminar partidos que tengan historial.</w:t>
      </w:r>
      <w:r/>
    </w:p>
    <w:p>
      <w:pPr>
        <w:pStyle w:val="918"/>
        <w:pBdr/>
        <w:spacing/>
        <w:ind/>
        <w:rPr/>
      </w:pPr>
      <w:r/>
      <w:bookmarkStart w:id="27" w:name="_Toc100027"/>
      <w:r>
        <w:t xml:space="preserve">RF-07 – Generación automática de programación</w:t>
      </w:r>
      <w:bookmarkEnd w:id="27"/>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RF-07</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Generación automática de programación</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17, 18)</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Genera propuestas de calendario a partir de equipos, canchas y restricciones.</w:t>
      </w:r>
      <w:r/>
    </w:p>
    <w:p>
      <w:pPr>
        <w:pStyle w:val="921"/>
        <w:pBdr/>
        <w:spacing/>
        <w:ind/>
        <w:rPr/>
      </w:pPr>
      <w:r>
        <w:rPr>
          <w:b/>
          <w:bCs/>
        </w:rPr>
        <w:t xml:space="preserve">RF-07.1 </w:t>
      </w:r>
      <w:r>
        <w:t xml:space="preserve">El sistema deberá generar enfrentamientos y asignar fechas, horarios y canchas a partir de temporada, categoría, grupo, equipos y disponibilidad.</w:t>
      </w:r>
      <w:r/>
    </w:p>
    <w:p>
      <w:pPr>
        <w:pStyle w:val="921"/>
        <w:pBdr/>
        <w:spacing/>
        <w:ind/>
        <w:rPr/>
      </w:pPr>
      <w:r>
        <w:rPr>
          <w:b/>
          <w:bCs/>
        </w:rPr>
        <w:t xml:space="preserve">RF-07.2 </w:t>
      </w:r>
      <w:r>
        <w:t xml:space="preserve">El sistema deberá cumplir las restricciones duras: sin equipo duplicado en una jornada, sin cancha ocupada o no disponible y sin equipos con sanción que lo impida.</w:t>
      </w:r>
      <w:r/>
    </w:p>
    <w:p>
      <w:pPr>
        <w:pStyle w:val="921"/>
        <w:pBdr/>
        <w:spacing/>
        <w:ind/>
        <w:rPr/>
      </w:pPr>
      <w:r>
        <w:rPr>
          <w:b/>
          <w:bCs/>
        </w:rPr>
        <w:t xml:space="preserve">RF-07.3 </w:t>
      </w:r>
      <w:r>
        <w:t xml:space="preserve">El sistema deberá detectar conflictos y explicar cuáles impiden generar una solución.</w:t>
      </w:r>
      <w:r/>
    </w:p>
    <w:p>
      <w:pPr>
        <w:pStyle w:val="921"/>
        <w:pBdr/>
        <w:spacing/>
        <w:ind/>
        <w:rPr/>
      </w:pPr>
      <w:r>
        <w:rPr>
          <w:b/>
          <w:bCs/>
        </w:rPr>
        <w:t xml:space="preserve">RF-07.4 </w:t>
      </w:r>
      <w:r>
        <w:t xml:space="preserve">El sistema deberá permitir ajustes manuales por usuario autorizado y registrar el motivo de la generación o modificación.</w:t>
      </w:r>
      <w:r/>
    </w:p>
    <w:p>
      <w:pPr>
        <w:pStyle w:val="917"/>
        <w:pBdr/>
        <w:spacing/>
        <w:ind/>
        <w:rPr/>
      </w:pPr>
      <w:r/>
      <w:bookmarkStart w:id="28" w:name="_Toc100028"/>
      <w:r>
        <w:t xml:space="preserve">3.2.3 Requisito funcional 3: Resultados, estadísticas y disciplina</w:t>
      </w:r>
      <w:bookmarkEnd w:id="28"/>
      <w:r/>
      <w:r/>
    </w:p>
    <w:p>
      <w:pPr>
        <w:pStyle w:val="918"/>
        <w:pBdr/>
        <w:spacing/>
        <w:ind/>
        <w:rPr/>
      </w:pPr>
      <w:r/>
      <w:bookmarkStart w:id="29" w:name="_Toc100029"/>
      <w:r>
        <w:t xml:space="preserve">RF-08 – Registro de resultados y cédula arbitral</w:t>
      </w:r>
      <w:bookmarkEnd w:id="29"/>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RF-08</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Registro de resultados y cédula arbitral</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Levantamiento (P19); documento base (diap. 20, 24)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Captura el resultado del partido y la cédula arbitral con sus incidencias.</w:t>
      </w:r>
      <w:r/>
    </w:p>
    <w:p>
      <w:pPr>
        <w:pStyle w:val="921"/>
        <w:pBdr/>
        <w:spacing/>
        <w:ind/>
        <w:rPr/>
      </w:pPr>
      <w:r>
        <w:rPr>
          <w:b/>
          <w:bCs/>
        </w:rPr>
        <w:t xml:space="preserve">RF-08.1 </w:t>
      </w:r>
      <w:r>
        <w:t xml:space="preserve">El sistema deberá permitir al árbitro o capturista registrar marcador, alineaciones, amonestaciones, expulsiones, incidencias y reporte arbitral.</w:t>
      </w:r>
      <w:r/>
    </w:p>
    <w:p>
      <w:pPr>
        <w:pStyle w:val="921"/>
        <w:pBdr/>
        <w:spacing/>
        <w:ind/>
        <w:rPr/>
      </w:pPr>
      <w:r>
        <w:rPr>
          <w:b/>
          <w:bCs/>
        </w:rPr>
        <w:t xml:space="preserve">RF-08.2 </w:t>
      </w:r>
      <w:r>
        <w:t xml:space="preserve">El sistema deberá identificar automáticamente el partido, los equipos y las personas involucradas.</w:t>
      </w:r>
      <w:r/>
    </w:p>
    <w:p>
      <w:pPr>
        <w:pStyle w:val="921"/>
        <w:pBdr/>
        <w:spacing/>
        <w:ind/>
        <w:rPr/>
      </w:pPr>
      <w:r>
        <w:rPr>
          <w:b/>
          <w:bCs/>
        </w:rPr>
        <w:t xml:space="preserve">RF-08.3 </w:t>
      </w:r>
      <w:r>
        <w:t xml:space="preserve">El sistema deberá permitir corregir un resultado solo a usuarios autorizados, con auditoría y recálculo de la tabla.</w:t>
      </w:r>
      <w:r/>
    </w:p>
    <w:p>
      <w:pPr>
        <w:pStyle w:val="921"/>
        <w:pBdr/>
        <w:spacing/>
        <w:ind/>
        <w:rPr/>
      </w:pPr>
      <w:r>
        <w:rPr>
          <w:b/>
          <w:bCs/>
        </w:rPr>
        <w:t xml:space="preserve">RF-08.4 </w:t>
      </w:r>
      <w:r>
        <w:t xml:space="preserve">El sistema deberá considerar oficial un resultado únicamente después de su validación.</w:t>
      </w:r>
      <w:r/>
    </w:p>
    <w:p>
      <w:pPr>
        <w:pStyle w:val="918"/>
        <w:pBdr/>
        <w:spacing/>
        <w:ind/>
        <w:rPr/>
      </w:pPr>
      <w:r/>
      <w:bookmarkStart w:id="30" w:name="_Toc100030"/>
      <w:r>
        <w:t xml:space="preserve">RF-09 – Tablas de posiciones y estadísticas</w:t>
      </w:r>
      <w:bookmarkEnd w:id="30"/>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RF-09</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Tablas de posiciones y estadísticas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20, 21)</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Calcula posiciones y estadísticas a partir de los resultados validados.</w:t>
      </w:r>
      <w:r/>
    </w:p>
    <w:p>
      <w:pPr>
        <w:pStyle w:val="921"/>
        <w:pBdr/>
        <w:spacing/>
        <w:ind/>
        <w:rPr/>
      </w:pPr>
      <w:r>
        <w:rPr>
          <w:b/>
          <w:bCs/>
        </w:rPr>
        <w:t xml:space="preserve">RF-09.1 </w:t>
      </w:r>
      <w:r>
        <w:t xml:space="preserve">El sistema deberá calcular automáticamente PJ, PG, PE, PP, GF, GC, DG, puntos y posición según las reglas de la temporada.</w:t>
      </w:r>
      <w:r/>
    </w:p>
    <w:p>
      <w:pPr>
        <w:pStyle w:val="921"/>
        <w:pBdr/>
        <w:spacing/>
        <w:ind/>
        <w:rPr/>
      </w:pPr>
      <w:r>
        <w:rPr>
          <w:b/>
          <w:bCs/>
        </w:rPr>
        <w:t xml:space="preserve">RF-09.2 </w:t>
      </w:r>
      <w:r>
        <w:t xml:space="preserve">El sistema deberá aplicar criterios de desempate parametrizables.</w:t>
      </w:r>
      <w:r/>
    </w:p>
    <w:p>
      <w:pPr>
        <w:pStyle w:val="921"/>
        <w:pBdr/>
        <w:spacing/>
        <w:ind/>
        <w:rPr/>
      </w:pPr>
      <w:r>
        <w:rPr>
          <w:b/>
          <w:bCs/>
        </w:rPr>
        <w:t xml:space="preserve">RF-09.3 </w:t>
      </w:r>
      <w:r>
        <w:t xml:space="preserve">El sistema deberá generar estadísticas de goleadores, tarjetas y sanciones, y conservar el historial de la tabla por jornada.</w:t>
      </w:r>
      <w:r/>
    </w:p>
    <w:p>
      <w:pPr>
        <w:pStyle w:val="921"/>
        <w:pBdr/>
        <w:spacing/>
        <w:ind/>
        <w:rPr/>
      </w:pPr>
      <w:r>
        <w:rPr>
          <w:b/>
          <w:bCs/>
        </w:rPr>
        <w:t xml:space="preserve">RF-09.4 </w:t>
      </w:r>
      <w:r>
        <w:t xml:space="preserve">El sistema deberá separar los datos oficiales de los indicadores calculados.</w:t>
      </w:r>
      <w:r/>
    </w:p>
    <w:p>
      <w:pPr>
        <w:pStyle w:val="918"/>
        <w:pBdr/>
        <w:spacing/>
        <w:ind/>
        <w:rPr/>
      </w:pPr>
      <w:r/>
      <w:bookmarkStart w:id="31" w:name="_Toc100031"/>
      <w:r>
        <w:t xml:space="preserve">RF-10 – Disciplina e inconformidades</w:t>
      </w:r>
      <w:bookmarkEnd w:id="31"/>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RF-10</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Disciplina e inconformidades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Reglamento de Sanciones FMF; levantamiento (P19 y aclaraciones); documento base (diap. 22–24)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Gestiona el proceso desde la incidencia hasta la resolución, la sanción y los recursos.</w:t>
      </w:r>
      <w:r/>
    </w:p>
    <w:p>
      <w:pPr>
        <w:pStyle w:val="921"/>
        <w:pBdr/>
        <w:spacing/>
        <w:ind/>
        <w:rPr/>
      </w:pPr>
      <w:r>
        <w:rPr>
          <w:b/>
          <w:bCs/>
        </w:rPr>
        <w:t xml:space="preserve">RF-10.1 </w:t>
      </w:r>
      <w:r>
        <w:t xml:space="preserve">El sistema deberá generar un expediente a partir de las incidencias de la cédula, con personas, equipos, evidencias y artículos presuntamente infringidos.</w:t>
      </w:r>
      <w:r/>
    </w:p>
    <w:p>
      <w:pPr>
        <w:pStyle w:val="921"/>
        <w:pBdr/>
        <w:spacing/>
        <w:ind/>
        <w:rPr/>
      </w:pPr>
      <w:r>
        <w:rPr>
          <w:b/>
          <w:bCs/>
        </w:rPr>
        <w:t xml:space="preserve">RF-10.2 </w:t>
      </w:r>
      <w:r>
        <w:t xml:space="preserve">El sistema deberá permitir a la Comisión Disciplinaria registrar la audiencia, la resolución y la sanción.</w:t>
      </w:r>
      <w:r/>
    </w:p>
    <w:p>
      <w:pPr>
        <w:pStyle w:val="921"/>
        <w:pBdr/>
        <w:spacing/>
        <w:ind/>
        <w:rPr/>
      </w:pPr>
      <w:r>
        <w:rPr>
          <w:b/>
          <w:bCs/>
        </w:rPr>
        <w:t xml:space="preserve">RF-10.3 </w:t>
      </w:r>
      <w:r>
        <w:t xml:space="preserve">El sistema deberá calcular la vigencia de la sanción y mantener la lista de castigados.</w:t>
      </w:r>
      <w:r/>
    </w:p>
    <w:p>
      <w:pPr>
        <w:pStyle w:val="921"/>
        <w:pBdr/>
        <w:spacing/>
        <w:ind/>
        <w:rPr/>
      </w:pPr>
      <w:r>
        <w:rPr>
          <w:b/>
          <w:bCs/>
        </w:rPr>
        <w:t xml:space="preserve">RF-10.4 </w:t>
      </w:r>
      <w:r>
        <w:t xml:space="preserve">El sistema deberá bloquear la participación o programación cuando una sanción vigente lo impida e indicar la regla que lo origina.</w:t>
      </w:r>
      <w:r/>
    </w:p>
    <w:p>
      <w:pPr>
        <w:pStyle w:val="921"/>
        <w:pBdr/>
        <w:spacing/>
        <w:ind/>
        <w:rPr/>
      </w:pPr>
      <w:r>
        <w:rPr>
          <w:b/>
          <w:bCs/>
        </w:rPr>
        <w:t xml:space="preserve">RF-10.5 </w:t>
      </w:r>
      <w:r>
        <w:t xml:space="preserve">El sistema deberá permitir registrar inconformidades (primera instancia, ante la Comisión Disciplinaria) y recursos (segunda instancia, ante la Mesa Directiva o la Asamblea de Presidentes), y conservar un historial de resoluciones inmutable.</w:t>
      </w:r>
      <w:r/>
    </w:p>
    <w:p>
      <w:pPr>
        <w:pStyle w:val="917"/>
        <w:pBdr/>
        <w:spacing/>
        <w:ind/>
        <w:rPr/>
      </w:pPr>
      <w:r/>
      <w:bookmarkStart w:id="32" w:name="_Toc100032"/>
      <w:r>
        <w:t xml:space="preserve">3.2.4 Requisito funcional 4: Fases finales, administración y portal</w:t>
      </w:r>
      <w:bookmarkEnd w:id="32"/>
      <w:r/>
      <w:r/>
    </w:p>
    <w:p>
      <w:pPr>
        <w:pStyle w:val="918"/>
        <w:pBdr/>
        <w:spacing/>
        <w:ind/>
        <w:rPr/>
      </w:pPr>
      <w:r/>
      <w:bookmarkStart w:id="33" w:name="_Toc100033"/>
      <w:r>
        <w:t xml:space="preserve">RF-11 – Liguilla, ascensos, descensos y cierre de temporada</w:t>
      </w:r>
      <w:bookmarkEnd w:id="33"/>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RF-11</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Liguilla, ascensos, descensos y cierre de temporada</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 2026–2027 (V a VIII); documento base (diap. 25, 26)</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Baja / Opcional</w:t>
            </w:r>
            <w:r/>
          </w:p>
        </w:tc>
      </w:tr>
    </w:tbl>
    <w:p>
      <w:pPr>
        <w:pBdr/>
        <w:spacing w:after="60" w:before="0"/>
        <w:ind/>
        <w:rPr/>
      </w:pPr>
      <w:r/>
      <w:r/>
    </w:p>
    <w:p>
      <w:pPr>
        <w:pBdr/>
        <w:spacing/>
        <w:ind/>
        <w:rPr/>
      </w:pPr>
      <w:r>
        <w:rPr>
          <w:b/>
          <w:bCs/>
        </w:rPr>
        <w:t xml:space="preserve">Descripción:</w:t>
      </w:r>
      <w:r>
        <w:t xml:space="preserve"> Gestiona las fases finales y el cierre administrativo de la temporada.</w:t>
      </w:r>
      <w:r/>
    </w:p>
    <w:p>
      <w:pPr>
        <w:pStyle w:val="921"/>
        <w:pBdr/>
        <w:spacing/>
        <w:ind/>
        <w:rPr/>
      </w:pPr>
      <w:r>
        <w:rPr>
          <w:b/>
          <w:bCs/>
        </w:rPr>
        <w:t xml:space="preserve">RF-11.1 </w:t>
      </w:r>
      <w:r>
        <w:t xml:space="preserve">El sistema deberá clasificar equipos a la liguilla y generar llaves y calendario según las reglas configuradas.</w:t>
      </w:r>
      <w:r/>
    </w:p>
    <w:p>
      <w:pPr>
        <w:pStyle w:val="921"/>
        <w:pBdr/>
        <w:spacing/>
        <w:ind/>
        <w:rPr/>
      </w:pPr>
      <w:r>
        <w:rPr>
          <w:b/>
          <w:bCs/>
        </w:rPr>
        <w:t xml:space="preserve">RF-11.2 </w:t>
      </w:r>
      <w:r>
        <w:t xml:space="preserve">El sistema deberá registrar avances y eliminaciones, y determinar campeón y subcampeón.</w:t>
      </w:r>
      <w:r/>
    </w:p>
    <w:p>
      <w:pPr>
        <w:pStyle w:val="921"/>
        <w:pBdr/>
        <w:spacing/>
        <w:ind/>
        <w:rPr/>
      </w:pPr>
      <w:r>
        <w:rPr>
          <w:b/>
          <w:bCs/>
        </w:rPr>
        <w:t xml:space="preserve">RF-11.3 </w:t>
      </w:r>
      <w:r>
        <w:t xml:space="preserve">El sistema deberá generar propuestas de ascenso y descenso, guardando la versión de las reglas utilizada.</w:t>
      </w:r>
      <w:r/>
    </w:p>
    <w:p>
      <w:pPr>
        <w:pStyle w:val="921"/>
        <w:pBdr/>
        <w:spacing/>
        <w:ind/>
        <w:rPr/>
      </w:pPr>
      <w:r>
        <w:rPr>
          <w:b/>
          <w:bCs/>
        </w:rPr>
        <w:t xml:space="preserve">RF-11.4 </w:t>
      </w:r>
      <w:r>
        <w:t xml:space="preserve">El sistema deberá requerir validación humana cuando la regla no sea automática.</w:t>
      </w:r>
      <w:r/>
    </w:p>
    <w:p>
      <w:pPr>
        <w:pStyle w:val="921"/>
        <w:pBdr/>
        <w:spacing/>
        <w:ind/>
        <w:rPr/>
      </w:pPr>
      <w:r>
        <w:rPr>
          <w:b/>
          <w:bCs/>
        </w:rPr>
        <w:t xml:space="preserve">RF-11.5 </w:t>
      </w:r>
      <w:r>
        <w:t xml:space="preserve">El sistema deberá emitir el informe final y cerrar la temporada.</w:t>
      </w:r>
      <w:r/>
    </w:p>
    <w:p>
      <w:pPr>
        <w:pStyle w:val="921"/>
        <w:pBdr/>
        <w:spacing/>
        <w:ind/>
        <w:rPr/>
      </w:pPr>
      <w:r>
        <w:rPr>
          <w:b/>
          <w:bCs/>
        </w:rPr>
        <w:t xml:space="preserve">RF-11.6 </w:t>
      </w:r>
      <w:r>
        <w:t xml:space="preserve">El sistema deberá gestionar la liguilla de consolación (campeón alterno), el partido de Campeón de Campeones y el campeón de goleo de cada categoría.</w:t>
      </w:r>
      <w:r/>
    </w:p>
    <w:p>
      <w:pPr>
        <w:pStyle w:val="921"/>
        <w:pBdr/>
        <w:spacing/>
        <w:ind/>
        <w:rPr/>
      </w:pPr>
      <w:r>
        <w:rPr>
          <w:b/>
          <w:bCs/>
        </w:rPr>
        <w:t xml:space="preserve">RF-11.7 </w:t>
      </w:r>
      <w:r>
        <w:t xml:space="preserve">El sistema deberá permitir registrar el Torneo de Copa y torneos especiales (por ejemplo, de verano), cada uno con su calendario y su tabla.</w:t>
      </w:r>
      <w:r/>
    </w:p>
    <w:p>
      <w:pPr>
        <w:pStyle w:val="918"/>
        <w:pBdr/>
        <w:spacing/>
        <w:ind/>
        <w:rPr/>
      </w:pPr>
      <w:r/>
      <w:bookmarkStart w:id="34" w:name="_Toc100034"/>
      <w:r>
        <w:t xml:space="preserve">RF-12 – Usuarios, roles, auditoría y portal público</w:t>
      </w:r>
      <w:bookmarkEnd w:id="34"/>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RF-12</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Usuarios, roles, auditoría y portal público</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27–29)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Controla el acceso al sistema, registra las acciones críticas y publica la información autorizada.</w:t>
      </w:r>
      <w:r/>
    </w:p>
    <w:p>
      <w:pPr>
        <w:pStyle w:val="921"/>
        <w:pBdr/>
        <w:spacing/>
        <w:ind/>
        <w:rPr/>
      </w:pPr>
      <w:r>
        <w:rPr>
          <w:b/>
          <w:bCs/>
        </w:rPr>
        <w:t xml:space="preserve">RF-12.1 </w:t>
      </w:r>
      <w:r>
        <w:t xml:space="preserve">El sistema deberá autenticar usuarios y asignar permisos por rol, módulo y acción (RBAC), con separación de funciones.</w:t>
      </w:r>
      <w:r/>
    </w:p>
    <w:p>
      <w:pPr>
        <w:pStyle w:val="921"/>
        <w:pBdr/>
        <w:spacing/>
        <w:ind/>
        <w:rPr/>
      </w:pPr>
      <w:r>
        <w:rPr>
          <w:b/>
          <w:bCs/>
        </w:rPr>
        <w:t xml:space="preserve">RF-12.2 </w:t>
      </w:r>
      <w:r>
        <w:t xml:space="preserve">El sistema deberá registrar quién cambió qué, cuándo y por qué en las operaciones críticas.</w:t>
      </w:r>
      <w:r/>
    </w:p>
    <w:p>
      <w:pPr>
        <w:pStyle w:val="921"/>
        <w:pBdr/>
        <w:spacing/>
        <w:ind/>
        <w:rPr/>
      </w:pPr>
      <w:r>
        <w:rPr>
          <w:b/>
          <w:bCs/>
        </w:rPr>
        <w:t xml:space="preserve">RF-12.3 </w:t>
      </w:r>
      <w:r>
        <w:t xml:space="preserve">El portal público deberá mostrar programación, resultados, tablas, estadísticas, comunicados y sanciones autorizadas, sin privilegios de edición.</w:t>
      </w:r>
      <w:r/>
    </w:p>
    <w:p>
      <w:pPr>
        <w:pStyle w:val="921"/>
        <w:pBdr/>
        <w:spacing/>
        <w:ind/>
        <w:rPr/>
      </w:pPr>
      <w:r>
        <w:rPr>
          <w:b/>
          <w:bCs/>
        </w:rPr>
        <w:t xml:space="preserve">RF-12.4 </w:t>
      </w:r>
      <w:r>
        <w:t xml:space="preserve">El sistema deberá permitir buscar por fecha, categoría y equipo, y manejar el flujo borrador → revisión → publicado.</w:t>
      </w:r>
      <w:r/>
    </w:p>
    <w:p>
      <w:pPr>
        <w:pStyle w:val="918"/>
        <w:pBdr/>
        <w:spacing/>
        <w:ind/>
        <w:rPr/>
      </w:pPr>
      <w:r/>
      <w:bookmarkStart w:id="35" w:name="_Toc100035"/>
      <w:r>
        <w:t xml:space="preserve">RF-13 – Tesorería y pagos</w:t>
      </w:r>
      <w:bookmarkEnd w:id="35"/>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RF-13</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Tesorería y pagos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(aportaciones)</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Controla cuotas y pagos que habilitan la participación de clubes, equipos y jugadores.</w:t>
      </w:r>
      <w:r/>
    </w:p>
    <w:p>
      <w:pPr>
        <w:pStyle w:val="921"/>
        <w:pBdr/>
        <w:spacing/>
        <w:ind/>
        <w:rPr/>
      </w:pPr>
      <w:r>
        <w:rPr>
          <w:b/>
          <w:bCs/>
        </w:rPr>
        <w:t xml:space="preserve">RF-13.1 </w:t>
      </w:r>
      <w:r>
        <w:t xml:space="preserve">El sistema deberá registrar cuotas de inscripción (club, equipo, jugadores) y pagos de arbitraje y canchas.</w:t>
      </w:r>
      <w:r/>
    </w:p>
    <w:p>
      <w:pPr>
        <w:pStyle w:val="921"/>
        <w:pBdr/>
        <w:spacing/>
        <w:ind/>
        <w:rPr/>
      </w:pPr>
      <w:r>
        <w:rPr>
          <w:b/>
          <w:bCs/>
        </w:rPr>
        <w:t xml:space="preserve">RF-13.2 </w:t>
      </w:r>
      <w:r>
        <w:t xml:space="preserve">El sistema deberá controlar adeudos y comprobantes de pago.</w:t>
      </w:r>
      <w:r/>
    </w:p>
    <w:p>
      <w:pPr>
        <w:pStyle w:val="921"/>
        <w:pBdr/>
        <w:spacing/>
        <w:ind/>
        <w:rPr/>
      </w:pPr>
      <w:r>
        <w:rPr>
          <w:b/>
          <w:bCs/>
        </w:rPr>
        <w:t xml:space="preserve">RF-13.3 </w:t>
      </w:r>
      <w:r>
        <w:t xml:space="preserve">El sistema deberá generar reportes financieros por temporada, club y concepto.</w:t>
      </w:r>
      <w:r/>
    </w:p>
    <w:p>
      <w:pPr>
        <w:pStyle w:val="918"/>
        <w:pBdr/>
        <w:spacing/>
        <w:ind/>
        <w:rPr/>
      </w:pPr>
      <w:r/>
      <w:bookmarkStart w:id="36" w:name="_Toc100036"/>
      <w:r>
        <w:t xml:space="preserve">RF-14 – Asambleas, delegados y acuerdos</w:t>
      </w:r>
      <w:bookmarkEnd w:id="36"/>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RF-14</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Asambleas, delegados y acuerdos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 2026–2027; levantamiento</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Baja / Opcional</w:t>
            </w:r>
            <w:r/>
          </w:p>
        </w:tc>
      </w:tr>
    </w:tbl>
    <w:p>
      <w:pPr>
        <w:pBdr/>
        <w:spacing w:after="60" w:before="0"/>
        <w:ind/>
        <w:rPr/>
      </w:pPr>
      <w:r/>
      <w:r/>
    </w:p>
    <w:p>
      <w:pPr>
        <w:pBdr/>
        <w:spacing/>
        <w:ind/>
        <w:rPr/>
      </w:pPr>
      <w:r>
        <w:rPr>
          <w:b/>
          <w:bCs/>
        </w:rPr>
        <w:t xml:space="preserve">Descripción:</w:t>
      </w:r>
      <w:r>
        <w:t xml:space="preserve"> Registra convocatorias, asistencia y acuerdos que pueden modificar el reglamento.</w:t>
      </w:r>
      <w:r/>
    </w:p>
    <w:p>
      <w:pPr>
        <w:pStyle w:val="921"/>
        <w:pBdr/>
        <w:spacing/>
        <w:ind/>
        <w:rPr/>
      </w:pPr>
      <w:r>
        <w:rPr>
          <w:b/>
          <w:bCs/>
        </w:rPr>
        <w:t xml:space="preserve">RF-14.1 </w:t>
      </w:r>
      <w:r>
        <w:t xml:space="preserve">El sistema deberá registrar convocatorias a asamblea y la asistencia de delegados.</w:t>
      </w:r>
      <w:r/>
    </w:p>
    <w:p>
      <w:pPr>
        <w:pStyle w:val="921"/>
        <w:pBdr/>
        <w:spacing/>
        <w:ind/>
        <w:rPr/>
      </w:pPr>
      <w:r>
        <w:rPr>
          <w:b/>
          <w:bCs/>
        </w:rPr>
        <w:t xml:space="preserve">RF-14.2 </w:t>
      </w:r>
      <w:r>
        <w:t xml:space="preserve">El sistema deberá registrar acuerdos y comunicados, indicando si modifican el reglamento de la temporada.</w:t>
      </w:r>
      <w:r/>
    </w:p>
    <w:p>
      <w:pPr>
        <w:pStyle w:val="921"/>
        <w:pBdr/>
        <w:spacing/>
        <w:ind/>
        <w:rPr/>
      </w:pPr>
      <w:r>
        <w:rPr>
          <w:b/>
          <w:bCs/>
        </w:rPr>
        <w:t xml:space="preserve">RF-14.3 </w:t>
      </w:r>
      <w:r>
        <w:t xml:space="preserve">El sistema no deberá convertir un acuerdo en regla permanente sin autorización.</w:t>
      </w:r>
      <w:r/>
    </w:p>
    <w:p>
      <w:pPr>
        <w:pStyle w:val="918"/>
        <w:pBdr/>
        <w:spacing/>
        <w:ind/>
        <w:rPr/>
      </w:pPr>
      <w:r>
        <w:t xml:space="preserve">RF-15 – Notificaciones por correo electrónico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RF-15</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Notificaciones por correo electrónico</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Sección 1.2 (AF-13); sección 2.3; interfaz IC-03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Envía avisos por correo electrónico a los usuarios con cuenta.</w:t>
      </w:r>
      <w:r/>
    </w:p>
    <w:p>
      <w:pPr>
        <w:pStyle w:val="921"/>
        <w:pBdr/>
        <w:spacing/>
        <w:ind/>
        <w:rPr/>
      </w:pPr>
      <w:r>
        <w:rPr>
          <w:b/>
          <w:bCs/>
        </w:rPr>
        <w:t xml:space="preserve">RF-15.1 </w:t>
      </w:r>
      <w:r>
        <w:t xml:space="preserve">El sistema deberá enviar por correo electrónico avisos de programación y de cambios de sede u horario a los delegados de los equipos involucrados.</w:t>
      </w:r>
      <w:r/>
    </w:p>
    <w:p>
      <w:pPr>
        <w:pStyle w:val="921"/>
        <w:pBdr/>
        <w:spacing/>
        <w:ind/>
        <w:rPr/>
      </w:pPr>
      <w:r>
        <w:rPr>
          <w:b/>
          <w:bCs/>
        </w:rPr>
        <w:t xml:space="preserve">RF-15.2 </w:t>
      </w:r>
      <w:r>
        <w:t xml:space="preserve">El sistema deberá enviar recordatorios de pago a los clubes con adeudos.</w:t>
      </w:r>
      <w:r/>
    </w:p>
    <w:p>
      <w:pPr>
        <w:pStyle w:val="921"/>
        <w:pBdr/>
        <w:spacing/>
        <w:ind/>
        <w:rPr/>
      </w:pPr>
      <w:r>
        <w:rPr>
          <w:b/>
          <w:bCs/>
        </w:rPr>
        <w:t xml:space="preserve">RF-15.3 </w:t>
      </w:r>
      <w:r>
        <w:t xml:space="preserve">El sistema deberá permitir enviar avisos institucionales y comunicados a los grupos de usuarios que elija el emisor autorizado.</w:t>
      </w:r>
      <w:r/>
    </w:p>
    <w:p>
      <w:pPr>
        <w:pStyle w:val="921"/>
        <w:pBdr/>
        <w:spacing/>
        <w:ind/>
        <w:rPr/>
      </w:pPr>
      <w:r>
        <w:rPr>
          <w:b/>
          <w:bCs/>
        </w:rPr>
        <w:t xml:space="preserve">RF-15.4 </w:t>
      </w:r>
      <w:r>
        <w:t xml:space="preserve">El sistema deberá registrar la fecha, los destinatarios y el estado de cada envío.</w:t>
      </w:r>
      <w:r/>
    </w:p>
    <w:p>
      <w:pPr>
        <w:pStyle w:val="918"/>
        <w:pBdr/>
        <w:spacing/>
        <w:ind/>
        <w:rPr/>
      </w:pPr>
      <w:r>
        <w:t xml:space="preserve">RF-16 – Reportes y exportación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RF-16</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Reportes y exportación</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Sección 1.2 (AF-12); interfaz IH-03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Genera los documentos oficiales y los exportables para difusión.</w:t>
      </w:r>
      <w:r/>
    </w:p>
    <w:p>
      <w:pPr>
        <w:pStyle w:val="921"/>
        <w:pBdr/>
        <w:spacing/>
        <w:ind/>
        <w:rPr/>
      </w:pPr>
      <w:r>
        <w:rPr>
          <w:b/>
          <w:bCs/>
        </w:rPr>
        <w:t xml:space="preserve">RF-16.1 </w:t>
      </w:r>
      <w:r>
        <w:t xml:space="preserve">El sistema deberá exportar la programación, las tablas de posiciones y el boletín de castigados en PDF y en imagen para su difusión.</w:t>
      </w:r>
      <w:r/>
    </w:p>
    <w:p>
      <w:pPr>
        <w:pStyle w:val="921"/>
        <w:pBdr/>
        <w:spacing/>
        <w:ind/>
        <w:rPr/>
      </w:pPr>
      <w:r>
        <w:rPr>
          <w:b/>
          <w:bCs/>
        </w:rPr>
        <w:t xml:space="preserve">RF-16.2 </w:t>
      </w:r>
      <w:r>
        <w:t xml:space="preserve">El sistema deberá generar en PDF las cédulas oficiales, los estados de cuenta por club y las constancias.</w:t>
      </w:r>
      <w:r/>
    </w:p>
    <w:p>
      <w:pPr>
        <w:pStyle w:val="916"/>
        <w:pBdr/>
        <w:spacing/>
        <w:ind/>
        <w:rPr/>
      </w:pPr>
      <w:r/>
      <w:bookmarkStart w:id="37" w:name="_Toc100037"/>
      <w:r>
        <w:t xml:space="preserve">3.3 Requisitos no funcionales</w:t>
      </w:r>
      <w:bookmarkEnd w:id="37"/>
      <w:r/>
      <w:r/>
    </w:p>
    <w:p>
      <w:pPr>
        <w:pBdr/>
        <w:spacing/>
        <w:ind/>
        <w:rPr/>
      </w:pPr>
      <w:r>
        <w:t xml:space="preserve">Los requisitos no funcionales se organizan según las nueve caracterí</w:t>
      </w:r>
      <w:r>
        <w:t xml:space="preserve">sticas del modelo de calidad del producto de ISO/IEC 25010:2023. Cada requisito incluye un criterio de aceptación medible, el método de verificación (prueba, inspección, análisis o demostración) y la prioridad (misma escala que en 3.2).</w:t>
      </w:r>
      <w:r/>
    </w:p>
    <w:p>
      <w:pPr>
        <w:pBdr/>
        <w:spacing/>
        <w:ind/>
        <w:rPr/>
      </w:pPr>
      <w:r>
        <w:t xml:space="preserve">Carga de referencia: más de 230 clubes y más de 25,000 jugadore</w:t>
      </w:r>
      <w:r>
        <w:t xml:space="preserve">s por temporada, 40 canchas en la U.D.C. y, como estimación del análisis, hasta 400 partidos por fin de semana. Los requisitos marcados «en producción» no aplican mientras el Sistema se aloje en equipos del propio equipo de desarrollo (1.2 y 4.5).</w:t>
      </w:r>
      <w:r/>
    </w:p>
    <w:p>
      <w:pPr>
        <w:pStyle w:val="917"/>
        <w:pBdr/>
        <w:spacing/>
        <w:ind/>
        <w:rPr/>
      </w:pPr>
      <w:r/>
      <w:bookmarkStart w:id="901" w:name="_Toc200901"/>
      <w:r>
        <w:t xml:space="preserve">3.3.1 Adecuación funcional</w:t>
      </w:r>
      <w:bookmarkEnd w:id="901"/>
      <w:r/>
      <w:r/>
    </w:p>
    <w:p>
      <w:pPr>
        <w:pStyle w:val="923"/>
        <w:keepNext w:val="true"/>
        <w:pBdr/>
        <w:spacing/>
        <w:ind/>
        <w:rPr/>
      </w:pPr>
      <w:r>
        <w:rPr>
          <w:b/>
          <w:bCs/>
          <w:color w:val="241a61"/>
          <w:sz w:val="18"/>
          <w:szCs w:val="18"/>
        </w:rPr>
        <w:t xml:space="preserve">Tabla 8. </w:t>
      </w:r>
      <w:r>
        <w:rPr>
          <w:sz w:val="18"/>
          <w:szCs w:val="18"/>
        </w:rPr>
        <w:t xml:space="preserve">Requisitos de adecuación funcional.</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RNF-01</w:t>
            </w:r>
            <w:r/>
          </w:p>
        </w:tc>
        <w:tc>
          <w:tcPr>
            <w:tcBorders/>
            <w:tcW w:w="3077" w:type="dxa"/>
          </w:tcPr>
          <w:p>
            <w:pPr>
              <w:pStyle w:val="922"/>
              <w:pBdr/>
              <w:spacing/>
              <w:ind/>
              <w:rPr/>
            </w:pPr>
            <w:r>
              <w:t xml:space="preserve">Las tablas de posiciones deberán calcular PJ, PG, PE, PP, GF, GC, DG, puntos y posición sin errores, incluidos resultados por default y partidos suspendidos.</w:t>
            </w:r>
            <w:r/>
          </w:p>
        </w:tc>
        <w:tc>
          <w:tcPr>
            <w:tcBorders/>
            <w:tcW w:w="2947" w:type="dxa"/>
          </w:tcPr>
          <w:p>
            <w:pPr>
              <w:pStyle w:val="922"/>
              <w:pBdr/>
              <w:spacing/>
              <w:ind/>
              <w:rPr/>
            </w:pPr>
            <w:r>
              <w:t xml:space="preserve">Con al menos 3 categorías y 2 jornadas de datos reales, la tabla generada coincide en el 100 % de las celdas con el cálculo manual de referencia.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RNF-02</w:t>
            </w:r>
            <w:r/>
          </w:p>
        </w:tc>
        <w:tc>
          <w:tcPr>
            <w:tcBorders/>
            <w:tcW w:w="3077" w:type="dxa"/>
          </w:tcPr>
          <w:p>
            <w:pPr>
              <w:pStyle w:val="922"/>
              <w:pBdr/>
              <w:spacing/>
              <w:ind/>
              <w:rPr/>
            </w:pPr>
            <w:r>
              <w:t xml:space="preserve">La validación de elegibilidad no deberá habilitar a un jugador que no cumpla las reglas.</w:t>
            </w:r>
            <w:r/>
          </w:p>
        </w:tc>
        <w:tc>
          <w:tcPr>
            <w:tcBorders/>
            <w:tcW w:w="2947" w:type="dxa"/>
          </w:tcPr>
          <w:p>
            <w:pPr>
              <w:pStyle w:val="922"/>
              <w:pBdr/>
              <w:spacing/>
              <w:ind/>
              <w:rPr/>
            </w:pPr>
            <w:r>
              <w:t xml:space="preserve">En un conjunto de casos (suspendido, sanción cumplida, registro incompleto, alineación en categoría superior) el resultado es correcto en el 100 % de los casos y muestra el motivo y la regla.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RNF-03</w:t>
            </w:r>
            <w:r/>
          </w:p>
        </w:tc>
        <w:tc>
          <w:tcPr>
            <w:tcBorders/>
            <w:tcW w:w="3077" w:type="dxa"/>
          </w:tcPr>
          <w:p>
            <w:pPr>
              <w:pStyle w:val="922"/>
              <w:pBdr/>
              <w:spacing/>
              <w:ind/>
              <w:rPr/>
            </w:pPr>
            <w:r>
              <w:t xml:space="preserve">La primera versión deberá cubrir completamente los requisitos funcionales prioritarios.</w:t>
            </w:r>
            <w:r/>
          </w:p>
        </w:tc>
        <w:tc>
          <w:tcPr>
            <w:tcBorders/>
            <w:tcW w:w="2947" w:type="dxa"/>
          </w:tcPr>
          <w:p>
            <w:pPr>
              <w:pStyle w:val="922"/>
              <w:pBdr/>
              <w:spacing/>
              <w:ind/>
              <w:rPr/>
            </w:pPr>
            <w:r>
              <w:t xml:space="preserve">El 100 % de los RF Alta/Esencial y al menos el 80 % de los Media/Deseado tienen prueba de aceptación aprobada al cierre de las 10 semanas.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bl>
    <w:p>
      <w:pPr>
        <w:pBdr/>
        <w:spacing/>
        <w:ind/>
        <w:rPr/>
      </w:pPr>
      <w:r/>
      <w:r/>
    </w:p>
    <w:p>
      <w:pPr>
        <w:pStyle w:val="917"/>
        <w:pBdr/>
        <w:spacing/>
        <w:ind/>
        <w:rPr/>
      </w:pPr>
      <w:r/>
      <w:bookmarkStart w:id="902" w:name="_Toc200902"/>
      <w:r>
        <w:t xml:space="preserve">3.3.2 Eficiencia de desempeño</w:t>
      </w:r>
      <w:bookmarkEnd w:id="902"/>
      <w:r/>
      <w:r/>
    </w:p>
    <w:p>
      <w:pPr>
        <w:pStyle w:val="923"/>
        <w:keepNext w:val="true"/>
        <w:pBdr/>
        <w:spacing/>
        <w:ind/>
        <w:rPr/>
      </w:pPr>
      <w:r>
        <w:rPr>
          <w:b/>
          <w:bCs/>
          <w:color w:val="241a61"/>
          <w:sz w:val="18"/>
          <w:szCs w:val="18"/>
        </w:rPr>
        <w:t xml:space="preserve">Tabla 9. </w:t>
      </w:r>
      <w:r>
        <w:rPr>
          <w:sz w:val="18"/>
          <w:szCs w:val="18"/>
        </w:rPr>
        <w:t xml:space="preserve">Requisitos de eficiencia de desempeño.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RNF-04</w:t>
            </w:r>
            <w:r/>
          </w:p>
        </w:tc>
        <w:tc>
          <w:tcPr>
            <w:tcBorders/>
            <w:tcW w:w="3077" w:type="dxa"/>
          </w:tcPr>
          <w:p>
            <w:pPr>
              <w:pStyle w:val="922"/>
              <w:pBdr/>
              <w:spacing/>
              <w:ind/>
              <w:rPr/>
            </w:pPr>
            <w:r>
              <w:t xml:space="preserve">Las páginas de inicio, tabla de posiciones y programación del portal público deberán cargar rápido en celulares.</w:t>
            </w:r>
            <w:r/>
          </w:p>
        </w:tc>
        <w:tc>
          <w:tcPr>
            <w:tcBorders/>
            <w:tcW w:w="2947" w:type="dxa"/>
          </w:tcPr>
          <w:p>
            <w:pPr>
              <w:pStyle w:val="922"/>
              <w:pBdr/>
              <w:spacing/>
              <w:ind/>
              <w:rPr/>
            </w:pPr>
            <w:r>
              <w:t xml:space="preserve">En celular de gama media con red 4G simulada: LCP ≤ 2.5 s, INP ≤ 200 ms y CLS ≤ 0.1 en el percentil 75.</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RNF-05</w:t>
            </w:r>
            <w:r/>
          </w:p>
        </w:tc>
        <w:tc>
          <w:tcPr>
            <w:tcBorders/>
            <w:tcW w:w="3077" w:type="dxa"/>
          </w:tcPr>
          <w:p>
            <w:pPr>
              <w:pStyle w:val="922"/>
              <w:pBdr/>
              <w:spacing/>
              <w:ind/>
              <w:rPr/>
            </w:pPr>
            <w:r>
              <w:t xml:space="preserve">En producción, el portal público deberá soportar la concurrencia de un fin de semana de jornada.</w:t>
            </w:r>
            <w:r/>
          </w:p>
        </w:tc>
        <w:tc>
          <w:tcPr>
            <w:tcBorders/>
            <w:tcW w:w="2947" w:type="dxa"/>
          </w:tcPr>
          <w:p>
            <w:pPr>
              <w:pStyle w:val="922"/>
              <w:pBdr/>
              <w:spacing/>
              <w:ind/>
              <w:rPr/>
            </w:pPr>
            <w:r>
              <w:t xml:space="preserve">Con 200 usuarios virtuales concurrentes durante 10 minutos, el 95 % de las respuestas del servidor tarda ≤ 1 s y 0 % devuelve error 5xx.</w:t>
            </w:r>
            <w:r/>
          </w:p>
        </w:tc>
        <w:tc>
          <w:tcPr>
            <w:tcBorders/>
            <w:tcW w:w="1350" w:type="dxa"/>
          </w:tcPr>
          <w:p>
            <w:pPr>
              <w:pStyle w:val="922"/>
              <w:pBdr/>
              <w:spacing/>
              <w:ind/>
              <w:rPr/>
            </w:pPr>
            <w:r>
              <w:t xml:space="preserve">Prueba de carga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RNF-06</w:t>
            </w:r>
            <w:r/>
          </w:p>
        </w:tc>
        <w:tc>
          <w:tcPr>
            <w:tcBorders/>
            <w:tcW w:w="3077" w:type="dxa"/>
          </w:tcPr>
          <w:p>
            <w:pPr>
              <w:pStyle w:val="922"/>
              <w:pBdr/>
              <w:spacing/>
              <w:ind/>
              <w:rPr/>
            </w:pPr>
            <w:r>
              <w:t xml:space="preserve">Las operaciones internas frecuentes deberán responder sin esperas perceptibles.</w:t>
            </w:r>
            <w:r/>
          </w:p>
        </w:tc>
        <w:tc>
          <w:tcPr>
            <w:tcBorders/>
            <w:tcW w:w="2947" w:type="dxa"/>
          </w:tcPr>
          <w:p>
            <w:pPr>
              <w:pStyle w:val="922"/>
              <w:pBdr/>
              <w:spacing/>
              <w:ind/>
              <w:rPr/>
            </w:pPr>
            <w:r>
              <w:t xml:space="preserve">Guardar cédula, registrar jugador o guardar programación: ≤ 2 s en el 95 % de los casos; búsquedas de jugadores y estadísticas: ≤ 1.5 s, con la base cargada con 30,000 personas y 3 temporadas simuladas.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RNF-07</w:t>
            </w:r>
            <w:r/>
          </w:p>
        </w:tc>
        <w:tc>
          <w:tcPr>
            <w:tcBorders/>
            <w:tcW w:w="3077" w:type="dxa"/>
          </w:tcPr>
          <w:p>
            <w:pPr>
              <w:pStyle w:val="922"/>
              <w:pBdr/>
              <w:spacing/>
              <w:ind/>
              <w:rPr/>
            </w:pPr>
            <w:r>
              <w:t xml:space="preserve">La generación automática de la programación deberá ser rápida y no bloquear la interfaz.</w:t>
            </w:r>
            <w:r/>
          </w:p>
        </w:tc>
        <w:tc>
          <w:tcPr>
            <w:tcBorders/>
            <w:tcW w:w="2947" w:type="dxa"/>
          </w:tcPr>
          <w:p>
            <w:pPr>
              <w:pStyle w:val="922"/>
              <w:pBdr/>
              <w:spacing/>
              <w:ind/>
              <w:rPr/>
            </w:pPr>
            <w:r>
              <w:t xml:space="preserve">Un grupo de hasta 50 equipos se calendariza en ≤ 10 s; una jornada completa de todas las categorías (≈ 400 partidos, 40 canchas) en ≤ 60 s, ejecutada en segundo plano.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RNF-08</w:t>
            </w:r>
            <w:r/>
          </w:p>
        </w:tc>
        <w:tc>
          <w:tcPr>
            <w:tcBorders/>
            <w:tcW w:w="3077" w:type="dxa"/>
          </w:tcPr>
          <w:p>
            <w:pPr>
              <w:pStyle w:val="922"/>
              <w:pBdr/>
              <w:spacing/>
              <w:ind/>
              <w:rPr/>
            </w:pPr>
            <w:r>
              <w:t xml:space="preserve">La base de datos deberá dimensionarse para el volumen real de la Liga.</w:t>
            </w:r>
            <w:r/>
          </w:p>
        </w:tc>
        <w:tc>
          <w:tcPr>
            <w:tcBorders/>
            <w:tcW w:w="2947" w:type="dxa"/>
          </w:tcPr>
          <w:p>
            <w:pPr>
              <w:pStyle w:val="922"/>
              <w:pBdr/>
              <w:spacing/>
              <w:ind/>
              <w:rPr/>
            </w:pPr>
            <w:r>
              <w:t xml:space="preserve">Sin degradar los tiempos de RNF-06, admite al menos 30,000 personas, 800 equipos y 400 partidos por fin de semana, y conserva 5 temporadas.</w:t>
            </w:r>
            <w:r/>
          </w:p>
        </w:tc>
        <w:tc>
          <w:tcPr>
            <w:tcBorders/>
            <w:tcW w:w="1350" w:type="dxa"/>
          </w:tcPr>
          <w:p>
            <w:pPr>
              <w:pStyle w:val="922"/>
              <w:pBdr/>
              <w:spacing/>
              <w:ind/>
              <w:rPr/>
            </w:pPr>
            <w:r>
              <w:t xml:space="preserve">Análisis y 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RNF-09</w:t>
            </w:r>
            <w:r/>
          </w:p>
        </w:tc>
        <w:tc>
          <w:tcPr>
            <w:tcBorders/>
            <w:tcW w:w="3077" w:type="dxa"/>
          </w:tcPr>
          <w:p>
            <w:pPr>
              <w:pStyle w:val="922"/>
              <w:pBdr/>
              <w:spacing/>
              <w:ind/>
              <w:rPr/>
            </w:pPr>
            <w:r>
              <w:t xml:space="preserve">El Sistema deberá optimizar archivos para usuarios con datos móviles.</w:t>
            </w:r>
            <w:r/>
          </w:p>
        </w:tc>
        <w:tc>
          <w:tcPr>
            <w:tcBorders/>
            <w:tcW w:w="2947" w:type="dxa"/>
          </w:tcPr>
          <w:p>
            <w:pPr>
              <w:pStyle w:val="922"/>
              <w:pBdr/>
              <w:spacing/>
              <w:ind/>
              <w:rPr/>
            </w:pPr>
            <w:r>
              <w:t xml:space="preserve">Fotos de jugadores ≤ 300 KB y ≤ 1024 px; documentos PDF ≤ 5 MB; carga inicial de una página del portal ≤ 1.5 MB transferidos.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3" w:name="_Toc200903"/>
      <w:r>
        <w:t xml:space="preserve">3.3.3 Compatibilidad</w:t>
      </w:r>
      <w:bookmarkEnd w:id="903"/>
      <w:r/>
      <w:r/>
    </w:p>
    <w:p>
      <w:pPr>
        <w:pStyle w:val="923"/>
        <w:keepNext w:val="true"/>
        <w:pBdr/>
        <w:spacing/>
        <w:ind/>
        <w:rPr/>
      </w:pPr>
      <w:r>
        <w:rPr>
          <w:b/>
          <w:bCs/>
          <w:color w:val="241a61"/>
          <w:sz w:val="18"/>
          <w:szCs w:val="18"/>
        </w:rPr>
        <w:t xml:space="preserve">Tabla 10. </w:t>
      </w:r>
      <w:r>
        <w:rPr>
          <w:sz w:val="18"/>
          <w:szCs w:val="18"/>
        </w:rPr>
        <w:t xml:space="preserve">Requisitos de compatibilidad.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RNF-10</w:t>
            </w:r>
            <w:r/>
          </w:p>
        </w:tc>
        <w:tc>
          <w:tcPr>
            <w:tcBorders/>
            <w:tcW w:w="3077" w:type="dxa"/>
          </w:tcPr>
          <w:p>
            <w:pPr>
              <w:pStyle w:val="922"/>
              <w:pBdr/>
              <w:spacing/>
              <w:ind/>
              <w:rPr/>
            </w:pPr>
            <w:r>
              <w:t xml:space="preserve">El Sistema deberá funcionar en los navegadores y dispositivos más usados.</w:t>
            </w:r>
            <w:r/>
          </w:p>
        </w:tc>
        <w:tc>
          <w:tcPr>
            <w:tcBorders/>
            <w:tcW w:w="2947" w:type="dxa"/>
          </w:tcPr>
          <w:p>
            <w:pPr>
              <w:pStyle w:val="922"/>
              <w:pBdr/>
              <w:spacing/>
              <w:ind/>
              <w:rPr/>
            </w:pPr>
            <w:r>
              <w:t xml:space="preserve">Todas las funciones operan en las dos últimas versiones estables de Chrome, Edge, Firefox y Safari, y en Chrome para Android y Safari para iOS, con ancho mínimo de 360 px y sin desplazamiento horizontal.</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RNF-11</w:t>
            </w:r>
            <w:r/>
          </w:p>
        </w:tc>
        <w:tc>
          <w:tcPr>
            <w:tcBorders/>
            <w:tcW w:w="3077" w:type="dxa"/>
          </w:tcPr>
          <w:p>
            <w:pPr>
              <w:pStyle w:val="922"/>
              <w:pBdr/>
              <w:spacing/>
              <w:ind/>
              <w:rPr/>
            </w:pPr>
            <w:r>
              <w:t xml:space="preserve">Los exportables deberán abrirse sin ajustes en los medios donde la Liga los difunde.</w:t>
            </w:r>
            <w:r/>
          </w:p>
        </w:tc>
        <w:tc>
          <w:tcPr>
            <w:tcBorders/>
            <w:tcW w:w="2947" w:type="dxa"/>
          </w:tcPr>
          <w:p>
            <w:pPr>
              <w:pStyle w:val="922"/>
              <w:pBdr/>
              <w:spacing/>
              <w:ind/>
              <w:rPr/>
            </w:pPr>
            <w:r>
              <w:t xml:space="preserve">PDF en tamaño carta legible en lectores comunes; imágenes PNG de 1080 px de ancho aptas para redes sociales y portales locales.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RNF-12</w:t>
            </w:r>
            <w:r/>
          </w:p>
        </w:tc>
        <w:tc>
          <w:tcPr>
            <w:tcBorders/>
            <w:tcW w:w="3077" w:type="dxa"/>
          </w:tcPr>
          <w:p>
            <w:pPr>
              <w:pStyle w:val="922"/>
              <w:pBdr/>
              <w:spacing/>
              <w:ind/>
              <w:rPr/>
            </w:pPr>
            <w:r>
              <w:t xml:space="preserve">Los correos del Sistema deberán llegar a la bandeja de entrada.</w:t>
            </w:r>
            <w:r/>
          </w:p>
        </w:tc>
        <w:tc>
          <w:tcPr>
            <w:tcBorders/>
            <w:tcW w:w="2947" w:type="dxa"/>
          </w:tcPr>
          <w:p>
            <w:pPr>
              <w:pStyle w:val="922"/>
              <w:pBdr/>
              <w:spacing/>
              <w:ind/>
              <w:rPr/>
            </w:pPr>
            <w:r>
              <w:t xml:space="preserve">El dominio remitente tiene SPF, DKIM y DMARC; un correo de prueba a Gmail y Outlook llega a la bandeja de entrada con los tres en «pass»; cada mensaje incluye versión HTML y de texto plano.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4" w:name="_Toc200904"/>
      <w:r>
        <w:t xml:space="preserve">3.3.4 Capacidad de interacción</w:t>
      </w:r>
      <w:bookmarkEnd w:id="904"/>
      <w:r/>
      <w:r/>
    </w:p>
    <w:p>
      <w:pPr>
        <w:pStyle w:val="923"/>
        <w:keepNext w:val="true"/>
        <w:pBdr/>
        <w:spacing/>
        <w:ind/>
        <w:rPr/>
      </w:pPr>
      <w:r>
        <w:rPr>
          <w:b/>
          <w:bCs/>
          <w:color w:val="241a61"/>
          <w:sz w:val="18"/>
          <w:szCs w:val="18"/>
        </w:rPr>
        <w:t xml:space="preserve">Tabla 11. </w:t>
      </w:r>
      <w:r>
        <w:rPr>
          <w:sz w:val="18"/>
          <w:szCs w:val="18"/>
        </w:rPr>
        <w:t xml:space="preserve">Requisitos de capacidad de interacción.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RNF-13</w:t>
            </w:r>
            <w:r/>
          </w:p>
        </w:tc>
        <w:tc>
          <w:tcPr>
            <w:tcBorders/>
            <w:tcW w:w="3077" w:type="dxa"/>
          </w:tcPr>
          <w:p>
            <w:pPr>
              <w:pStyle w:val="922"/>
              <w:pBdr/>
              <w:spacing/>
              <w:ind/>
              <w:rPr/>
            </w:pPr>
            <w:r>
              <w:t xml:space="preserve">El portal público y los formularios de cédula, registro e inicio de sesión deberán ser accesibles.</w:t>
            </w:r>
            <w:r/>
          </w:p>
        </w:tc>
        <w:tc>
          <w:tcPr>
            <w:tcBorders/>
            <w:tcW w:w="2947" w:type="dxa"/>
          </w:tcPr>
          <w:p>
            <w:pPr>
              <w:pStyle w:val="922"/>
              <w:pBdr/>
              <w:spacing/>
              <w:ind/>
              <w:rPr/>
            </w:pPr>
            <w:r>
              <w:t xml:space="preserve">Cumplen WCAG 2.2 nivel AA: contraste ≥ 4.5:1, objetivos táctiles ≥ 24 × 24 px, uso completo con teclado y autenticación sin pruebas cognitivas como CAPTCHA; puntaje de accesibilidad de Lighthouse ≥ 90.</w:t>
            </w:r>
            <w:r/>
          </w:p>
        </w:tc>
        <w:tc>
          <w:tcPr>
            <w:tcBorders/>
            <w:tcW w:w="1350" w:type="dxa"/>
          </w:tcPr>
          <w:p>
            <w:pPr>
              <w:pStyle w:val="922"/>
              <w:pBdr/>
              <w:spacing/>
              <w:ind/>
              <w:rPr/>
            </w:pPr>
            <w:r>
              <w:t xml:space="preserve">Inspección y 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RNF-14</w:t>
            </w:r>
            <w:r/>
          </w:p>
        </w:tc>
        <w:tc>
          <w:tcPr>
            <w:tcBorders/>
            <w:tcW w:w="3077" w:type="dxa"/>
          </w:tcPr>
          <w:p>
            <w:pPr>
              <w:pStyle w:val="922"/>
              <w:pBdr/>
              <w:spacing/>
              <w:ind/>
              <w:rPr/>
            </w:pPr>
            <w:r>
              <w:t xml:space="preserve">Un árbitro deberá poder capturar una cédula en la cancha sin capacitación previa.</w:t>
            </w:r>
            <w:r/>
          </w:p>
        </w:tc>
        <w:tc>
          <w:tcPr>
            <w:tcBorders/>
            <w:tcW w:w="2947" w:type="dxa"/>
          </w:tcPr>
          <w:p>
            <w:pPr>
              <w:pStyle w:val="922"/>
              <w:pBdr/>
              <w:spacing/>
              <w:ind/>
              <w:rPr/>
            </w:pPr>
            <w:r>
              <w:t xml:space="preserve">Con un instructivo de una página, al menos 4 de 5 árbitros de prueba capturan en celular una cédula completa (2 alineaciones, 4 goles y 3 tarjetas) en ≤ 5 minutos.</w:t>
            </w:r>
            <w:r/>
          </w:p>
        </w:tc>
        <w:tc>
          <w:tcPr>
            <w:tcBorders/>
            <w:tcW w:w="1350" w:type="dxa"/>
          </w:tcPr>
          <w:p>
            <w:pPr>
              <w:pStyle w:val="922"/>
              <w:pBdr/>
              <w:spacing/>
              <w:ind/>
              <w:rPr/>
            </w:pPr>
            <w:r>
              <w:t xml:space="preserve">Prueba de usabilidad</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RNF-15</w:t>
            </w:r>
            <w:r/>
          </w:p>
        </w:tc>
        <w:tc>
          <w:tcPr>
            <w:tcBorders/>
            <w:tcW w:w="3077" w:type="dxa"/>
          </w:tcPr>
          <w:p>
            <w:pPr>
              <w:pStyle w:val="922"/>
              <w:pBdr/>
              <w:spacing/>
              <w:ind/>
              <w:rPr/>
            </w:pPr>
            <w:r>
              <w:t xml:space="preserve">La captura de alineaciones no deberá exigir volver a escribir datos ya registrados.</w:t>
            </w:r>
            <w:r/>
          </w:p>
        </w:tc>
        <w:tc>
          <w:tcPr>
            <w:tcBorders/>
            <w:tcW w:w="2947" w:type="dxa"/>
          </w:tcPr>
          <w:p>
            <w:pPr>
              <w:pStyle w:val="922"/>
              <w:pBdr/>
              <w:spacing/>
              <w:ind/>
              <w:rPr/>
            </w:pPr>
            <w:r>
              <w:t xml:space="preserve">La alineación se precarga desde la plantilla registrada del equipo; el árbitro solo marca asistencia y número de camiseta, sin teclear nombres (WCAG 3.3.7).</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RNF-16</w:t>
            </w:r>
            <w:r/>
          </w:p>
        </w:tc>
        <w:tc>
          <w:tcPr>
            <w:tcBorders/>
            <w:tcW w:w="3077" w:type="dxa"/>
          </w:tcPr>
          <w:p>
            <w:pPr>
              <w:pStyle w:val="922"/>
              <w:pBdr/>
              <w:spacing/>
              <w:ind/>
              <w:rPr/>
            </w:pPr>
            <w:r>
              <w:t xml:space="preserve">El Sistema deberá prevenir errores antes de cerrar una cédula.</w:t>
            </w:r>
            <w:r/>
          </w:p>
        </w:tc>
        <w:tc>
          <w:tcPr>
            <w:tcBorders/>
            <w:tcW w:w="2947" w:type="dxa"/>
          </w:tcPr>
          <w:p>
            <w:pPr>
              <w:pStyle w:val="922"/>
              <w:pBdr/>
              <w:spacing/>
              <w:ind/>
              <w:rPr/>
            </w:pPr>
            <w:r>
              <w:t xml:space="preserve">Se detectan antes de guardar el 100 % de estos casos: jugador no registrado, jugador suspendido, goles que no suman el marcador y tarjeta a jugador no alineado; el cierre muestra un resumen para confirmar.</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RNF-17</w:t>
            </w:r>
            <w:r/>
          </w:p>
        </w:tc>
        <w:tc>
          <w:tcPr>
            <w:tcBorders/>
            <w:tcW w:w="3077" w:type="dxa"/>
          </w:tcPr>
          <w:p>
            <w:pPr>
              <w:pStyle w:val="922"/>
              <w:pBdr/>
              <w:spacing/>
              <w:ind/>
              <w:rPr/>
            </w:pPr>
            <w:r>
              <w:t xml:space="preserve">La programación de una jornada deberá ser mucho más rápida que el proceso manual.</w:t>
            </w:r>
            <w:r/>
          </w:p>
        </w:tc>
        <w:tc>
          <w:tcPr>
            <w:tcBorders/>
            <w:tcW w:w="2947" w:type="dxa"/>
          </w:tcPr>
          <w:p>
            <w:pPr>
              <w:pStyle w:val="922"/>
              <w:pBdr/>
              <w:spacing/>
              <w:ind/>
              <w:rPr/>
            </w:pPr>
            <w:r>
              <w:t xml:space="preserve">Un programador arma y publica la jornada de un grupo de 10 equipos en ≤ 15 minutos, frente a las horas del proceso actual.</w:t>
            </w:r>
            <w:r/>
          </w:p>
        </w:tc>
        <w:tc>
          <w:tcPr>
            <w:tcBorders/>
            <w:tcW w:w="1350" w:type="dxa"/>
          </w:tcPr>
          <w:p>
            <w:pPr>
              <w:pStyle w:val="922"/>
              <w:pBdr/>
              <w:spacing/>
              <w:ind/>
              <w:rPr/>
            </w:pPr>
            <w:r>
              <w:t xml:space="preserve">Prueba de usabilidad</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RNF-18</w:t>
            </w:r>
            <w:r/>
          </w:p>
        </w:tc>
        <w:tc>
          <w:tcPr>
            <w:tcBorders/>
            <w:tcW w:w="3077" w:type="dxa"/>
          </w:tcPr>
          <w:p>
            <w:pPr>
              <w:pStyle w:val="922"/>
              <w:pBdr/>
              <w:spacing/>
              <w:ind/>
              <w:rPr/>
            </w:pPr>
            <w:r>
              <w:t xml:space="preserve">La interfaz deberá usar el idioma y los formatos locales.</w:t>
            </w:r>
            <w:r/>
          </w:p>
        </w:tc>
        <w:tc>
          <w:tcPr>
            <w:tcBorders/>
            <w:tcW w:w="2947" w:type="dxa"/>
          </w:tcPr>
          <w:p>
            <w:pPr>
              <w:pStyle w:val="922"/>
              <w:pBdr/>
              <w:spacing/>
              <w:ind/>
              <w:rPr/>
            </w:pPr>
            <w:r>
              <w:t xml:space="preserve">El 100 % de los textos está en español de México; fechas dd/mm/aaaa, hora de 24 h en zona America/Mexico_City y montos en pesos con dos decimales.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RNF-19</w:t>
            </w:r>
            <w:r/>
          </w:p>
        </w:tc>
        <w:tc>
          <w:tcPr>
            <w:tcBorders/>
            <w:tcW w:w="3077" w:type="dxa"/>
          </w:tcPr>
          <w:p>
            <w:pPr>
              <w:pStyle w:val="922"/>
              <w:pBdr/>
              <w:spacing/>
              <w:ind/>
              <w:rPr/>
            </w:pPr>
            <w:r>
              <w:t xml:space="preserve">Cada bloqueo o error deberá explicar su causa y qué hacer.</w:t>
            </w:r>
            <w:r/>
          </w:p>
        </w:tc>
        <w:tc>
          <w:tcPr>
            <w:tcBorders/>
            <w:tcW w:w="2947" w:type="dxa"/>
          </w:tcPr>
          <w:p>
            <w:pPr>
              <w:pStyle w:val="922"/>
              <w:pBdr/>
              <w:spacing/>
              <w:ind/>
              <w:rPr/>
            </w:pPr>
            <w:r>
              <w:t xml:space="preserve">Todo mensaje de bloqueo indica la regla que lo origina y la acción para resolverlo; los formularios de registro, cédula y programación tienen ayuda contextual.</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5" w:name="_Toc200905"/>
      <w:r>
        <w:t xml:space="preserve">3.3.5 Fiabilidad</w:t>
      </w:r>
      <w:bookmarkEnd w:id="905"/>
      <w:r/>
      <w:r/>
    </w:p>
    <w:p>
      <w:pPr>
        <w:pStyle w:val="923"/>
        <w:keepNext w:val="true"/>
        <w:pBdr/>
        <w:spacing/>
        <w:ind/>
        <w:rPr/>
      </w:pPr>
      <w:r>
        <w:rPr>
          <w:b/>
          <w:bCs/>
          <w:color w:val="241a61"/>
          <w:sz w:val="18"/>
          <w:szCs w:val="18"/>
        </w:rPr>
        <w:t xml:space="preserve">Tabla 12. </w:t>
      </w:r>
      <w:r>
        <w:rPr>
          <w:sz w:val="18"/>
          <w:szCs w:val="18"/>
        </w:rPr>
        <w:t xml:space="preserve">Requisitos de fiabilidad.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RNF-20</w:t>
            </w:r>
            <w:r/>
          </w:p>
        </w:tc>
        <w:tc>
          <w:tcPr>
            <w:tcBorders/>
            <w:tcW w:w="3077" w:type="dxa"/>
          </w:tcPr>
          <w:p>
            <w:pPr>
              <w:pStyle w:val="922"/>
              <w:pBdr/>
              <w:spacing/>
              <w:ind/>
              <w:rPr/>
            </w:pPr>
            <w:r>
              <w:t xml:space="preserve">En producción, el Sistema deberá estar disponible en los periodos críticos.</w:t>
            </w:r>
            <w:r/>
          </w:p>
        </w:tc>
        <w:tc>
          <w:tcPr>
            <w:tcBorders/>
            <w:tcW w:w="2947" w:type="dxa"/>
          </w:tcPr>
          <w:p>
            <w:pPr>
              <w:pStyle w:val="922"/>
              <w:pBdr/>
              <w:spacing/>
              <w:ind/>
              <w:rPr/>
            </w:pPr>
            <w:r>
              <w:t xml:space="preserve">Disponibilidad ≥ 99.5 % mensual entre viernes 18:00 y martes 23:59 (jornada y captura de cédulas), medida con un monitor externo cada 5 minutos.</w:t>
            </w:r>
            <w:r/>
          </w:p>
        </w:tc>
        <w:tc>
          <w:tcPr>
            <w:tcBorders/>
            <w:tcW w:w="1350" w:type="dxa"/>
          </w:tcPr>
          <w:p>
            <w:pPr>
              <w:pStyle w:val="922"/>
              <w:pBdr/>
              <w:spacing/>
              <w:ind/>
              <w:rPr/>
            </w:pPr>
            <w:r>
              <w:t xml:space="preserve">Análisis</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RNF-21</w:t>
            </w:r>
            <w:r/>
          </w:p>
        </w:tc>
        <w:tc>
          <w:tcPr>
            <w:tcBorders/>
            <w:tcW w:w="3077" w:type="dxa"/>
          </w:tcPr>
          <w:p>
            <w:pPr>
              <w:pStyle w:val="922"/>
              <w:pBdr/>
              <w:spacing/>
              <w:ind/>
              <w:rPr/>
            </w:pPr>
            <w:r>
              <w:t xml:space="preserve">Una falla de conexión al enviar un formulario no deberá perder ni duplicar datos.</w:t>
            </w:r>
            <w:r/>
          </w:p>
        </w:tc>
        <w:tc>
          <w:tcPr>
            <w:tcBorders/>
            <w:tcW w:w="2947" w:type="dxa"/>
          </w:tcPr>
          <w:p>
            <w:pPr>
              <w:pStyle w:val="922"/>
              <w:pBdr/>
              <w:spacing/>
              <w:ind/>
              <w:rPr/>
            </w:pPr>
            <w:r>
              <w:t xml:space="preserve">Si el envío de una cédula falla, los datos capturados se conservan en el formulario y se pueden reenviar al recuperar la conexión; reenviar no crea una cédula duplicada.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RNF-22</w:t>
            </w:r>
            <w:r/>
          </w:p>
        </w:tc>
        <w:tc>
          <w:tcPr>
            <w:tcBorders/>
            <w:tcW w:w="3077" w:type="dxa"/>
          </w:tcPr>
          <w:p>
            <w:pPr>
              <w:pStyle w:val="922"/>
              <w:pBdr/>
              <w:spacing/>
              <w:ind/>
              <w:rPr/>
            </w:pPr>
            <w:r>
              <w:t xml:space="preserve">Las operaciones que afectan varios datos deberán ser atómicas.</w:t>
            </w:r>
            <w:r/>
          </w:p>
        </w:tc>
        <w:tc>
          <w:tcPr>
            <w:tcBorders/>
            <w:tcW w:w="2947" w:type="dxa"/>
          </w:tcPr>
          <w:p>
            <w:pPr>
              <w:pStyle w:val="922"/>
              <w:pBdr/>
              <w:spacing/>
              <w:ind/>
              <w:rPr/>
            </w:pPr>
            <w:r>
              <w:t xml:space="preserve">El cierre de cédula, la actualización de la tabla y el registro de incidencias se guardan en una sola transacción; al simular una falla a la mitad, no quedan datos parciales.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RNF-23</w:t>
            </w:r>
            <w:r/>
          </w:p>
        </w:tc>
        <w:tc>
          <w:tcPr>
            <w:tcBorders/>
            <w:tcW w:w="3077" w:type="dxa"/>
          </w:tcPr>
          <w:p>
            <w:pPr>
              <w:pStyle w:val="922"/>
              <w:pBdr/>
              <w:spacing/>
              <w:ind/>
              <w:rPr/>
            </w:pPr>
            <w:r>
              <w:t xml:space="preserve">La información deberá poder recuperarse ante una pérdida del servidor.</w:t>
            </w:r>
            <w:r/>
          </w:p>
        </w:tc>
        <w:tc>
          <w:tcPr>
            <w:tcBorders/>
            <w:tcW w:w="2947" w:type="dxa"/>
          </w:tcPr>
          <w:p>
            <w:pPr>
              <w:pStyle w:val="922"/>
              <w:pBdr/>
              <w:spacing/>
              <w:ind/>
              <w:rPr/>
            </w:pPr>
            <w:r>
              <w:t xml:space="preserve">Respaldo incremental diario y completo semanal de la base de datos y de los documentos, guardado fuera del equipo servidor y conservado 30 días; RPO ≤ 24 h y RTO ≤ 4 h, comprobados con una restauración de prueba mensual.</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RNF-24</w:t>
            </w:r>
            <w:r/>
          </w:p>
        </w:tc>
        <w:tc>
          <w:tcPr>
            <w:tcBorders/>
            <w:tcW w:w="3077" w:type="dxa"/>
          </w:tcPr>
          <w:p>
            <w:pPr>
              <w:pStyle w:val="922"/>
              <w:pBdr/>
              <w:spacing/>
              <w:ind/>
              <w:rPr/>
            </w:pPr>
            <w:r>
              <w:t xml:space="preserve">Cada versión liberada deberá estar libre de defectos críticos.</w:t>
            </w:r>
            <w:r/>
          </w:p>
        </w:tc>
        <w:tc>
          <w:tcPr>
            <w:tcBorders/>
            <w:tcW w:w="2947" w:type="dxa"/>
          </w:tcPr>
          <w:p>
            <w:pPr>
              <w:pStyle w:val="922"/>
              <w:pBdr/>
              <w:spacing/>
              <w:ind/>
              <w:rPr/>
            </w:pPr>
            <w:r>
              <w:t xml:space="preserve">Ninguna versión se libera con defectos abiertos de severidad crítica o alta en cédulas, tablas, sanciones o pagos.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bl>
    <w:p>
      <w:pPr>
        <w:pBdr/>
        <w:spacing/>
        <w:ind/>
        <w:rPr/>
      </w:pPr>
      <w:r/>
      <w:r/>
    </w:p>
    <w:p>
      <w:pPr>
        <w:pStyle w:val="917"/>
        <w:pBdr/>
        <w:spacing/>
        <w:ind/>
        <w:rPr/>
      </w:pPr>
      <w:r/>
      <w:bookmarkStart w:id="906" w:name="_Toc200906"/>
      <w:r>
        <w:t xml:space="preserve">3.3.6 Seguridad</w:t>
      </w:r>
      <w:bookmarkEnd w:id="906"/>
      <w:r/>
      <w:r/>
    </w:p>
    <w:p>
      <w:pPr>
        <w:pStyle w:val="923"/>
        <w:keepNext w:val="true"/>
        <w:pBdr/>
        <w:spacing/>
        <w:ind/>
        <w:rPr/>
      </w:pPr>
      <w:r>
        <w:rPr>
          <w:b/>
          <w:bCs/>
          <w:color w:val="241a61"/>
          <w:sz w:val="18"/>
          <w:szCs w:val="18"/>
        </w:rPr>
        <w:t xml:space="preserve">Tabla 13. </w:t>
      </w:r>
      <w:r>
        <w:rPr>
          <w:sz w:val="18"/>
          <w:szCs w:val="18"/>
        </w:rPr>
        <w:t xml:space="preserve">Requisitos de seguridad.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RNF-25</w:t>
            </w:r>
            <w:r/>
          </w:p>
        </w:tc>
        <w:tc>
          <w:tcPr>
            <w:tcBorders/>
            <w:tcW w:w="3077" w:type="dxa"/>
          </w:tcPr>
          <w:p>
            <w:pPr>
              <w:pStyle w:val="922"/>
              <w:pBdr/>
              <w:spacing/>
              <w:ind/>
              <w:rPr/>
            </w:pPr>
            <w:r>
              <w:t xml:space="preserve">El Sistema deberá cumplir un estándar reconocido de seguridad de aplicaciones web.</w:t>
            </w:r>
            <w:r/>
          </w:p>
        </w:tc>
        <w:tc>
          <w:tcPr>
            <w:tcBorders/>
            <w:tcW w:w="2947" w:type="dxa"/>
          </w:tcPr>
          <w:p>
            <w:pPr>
              <w:pStyle w:val="922"/>
              <w:pBdr/>
              <w:spacing/>
              <w:ind/>
              <w:rPr/>
            </w:pPr>
            <w:r>
              <w:t xml:space="preserve">Cumple todos los requisitos de nivel 1 de OWASP ASVS 5.0 y los de nivel 2 de autenticación, control de acceso y protección de datos.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RNF-26</w:t>
            </w:r>
            <w:r/>
          </w:p>
        </w:tc>
        <w:tc>
          <w:tcPr>
            <w:tcBorders/>
            <w:tcW w:w="3077" w:type="dxa"/>
          </w:tcPr>
          <w:p>
            <w:pPr>
              <w:pStyle w:val="922"/>
              <w:pBdr/>
              <w:spacing/>
              <w:ind/>
              <w:rPr/>
            </w:pPr>
            <w:r>
              <w:t xml:space="preserve">Las contraseñas deberán gestionarse según la guía vigente de NIST.</w:t>
            </w:r>
            <w:r/>
          </w:p>
        </w:tc>
        <w:tc>
          <w:tcPr>
            <w:tcBorders/>
            <w:tcW w:w="2947" w:type="dxa"/>
          </w:tcPr>
          <w:p>
            <w:pPr>
              <w:pStyle w:val="922"/>
              <w:pBdr/>
              <w:spacing/>
              <w:ind/>
              <w:rPr/>
            </w:pPr>
            <w:r>
              <w:t xml:space="preserve">Se guardan con Argon2id (o bcrypt de costo ≥ 12); mínimo 15 caracteres si la cuenta solo usa contraseña y 8 con doble factor; máximo de al menos 64; sin reglas de composición ni caducidad periódica; se rechazan contraseñas filtradas conocidas.</w:t>
            </w:r>
            <w:r/>
          </w:p>
        </w:tc>
        <w:tc>
          <w:tcPr>
            <w:tcBorders/>
            <w:tcW w:w="1350" w:type="dxa"/>
          </w:tcPr>
          <w:p>
            <w:pPr>
              <w:pStyle w:val="922"/>
              <w:pBdr/>
              <w:spacing/>
              <w:ind/>
              <w:rPr/>
            </w:pPr>
            <w:r>
              <w:t xml:space="preserve">Prueba e 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RNF-27</w:t>
            </w:r>
            <w:r/>
          </w:p>
        </w:tc>
        <w:tc>
          <w:tcPr>
            <w:tcBorders/>
            <w:tcW w:w="3077" w:type="dxa"/>
          </w:tcPr>
          <w:p>
            <w:pPr>
              <w:pStyle w:val="922"/>
              <w:pBdr/>
              <w:spacing/>
              <w:ind/>
              <w:rPr/>
            </w:pPr>
            <w:r>
              <w:t xml:space="preserve">Las cuentas con privilegios deberán usar autenticación de dos factores.</w:t>
            </w:r>
            <w:r/>
          </w:p>
        </w:tc>
        <w:tc>
          <w:tcPr>
            <w:tcBorders/>
            <w:tcW w:w="2947" w:type="dxa"/>
          </w:tcPr>
          <w:p>
            <w:pPr>
              <w:pStyle w:val="922"/>
              <w:pBdr/>
              <w:spacing/>
              <w:ind/>
              <w:rPr/>
            </w:pPr>
            <w:r>
              <w:t xml:space="preserve">Administrador, Comisión Disciplinaria, Tesorería, Secretaría y programador de partidos no pueden operar sin un segundo factor (código TOTP o enviado por correo).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RNF-28</w:t>
            </w:r>
            <w:r/>
          </w:p>
        </w:tc>
        <w:tc>
          <w:tcPr>
            <w:tcBorders/>
            <w:tcW w:w="3077" w:type="dxa"/>
          </w:tcPr>
          <w:p>
            <w:pPr>
              <w:pStyle w:val="922"/>
              <w:pBdr/>
              <w:spacing/>
              <w:ind/>
              <w:rPr/>
            </w:pPr>
            <w:r>
              <w:t xml:space="preserve">El Sistema deberá resistir ataques de fuerza bruta.</w:t>
            </w:r>
            <w:r/>
          </w:p>
        </w:tc>
        <w:tc>
          <w:tcPr>
            <w:tcBorders/>
            <w:tcW w:w="2947" w:type="dxa"/>
          </w:tcPr>
          <w:p>
            <w:pPr>
              <w:pStyle w:val="922"/>
              <w:pBdr/>
              <w:spacing/>
              <w:ind/>
              <w:rPr/>
            </w:pPr>
            <w:r>
              <w:t xml:space="preserve">Tras 5 intentos fallidos consecutivos, la cuenta se bloquea 15 minutos y se avisa al titular por correo; el inicio de sesión limita también los intentos por dirección IP.</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RNF-29</w:t>
            </w:r>
            <w:r/>
          </w:p>
        </w:tc>
        <w:tc>
          <w:tcPr>
            <w:tcBorders/>
            <w:tcW w:w="3077" w:type="dxa"/>
          </w:tcPr>
          <w:p>
            <w:pPr>
              <w:pStyle w:val="922"/>
              <w:pBdr/>
              <w:spacing/>
              <w:ind/>
              <w:rPr/>
            </w:pPr>
            <w:r>
              <w:t xml:space="preserve">Cada usuario deberá acceder solo a la información de su ámbito.</w:t>
            </w:r>
            <w:r/>
          </w:p>
        </w:tc>
        <w:tc>
          <w:tcPr>
            <w:tcBorders/>
            <w:tcW w:w="2947" w:type="dxa"/>
          </w:tcPr>
          <w:p>
            <w:pPr>
              <w:pStyle w:val="922"/>
              <w:pBdr/>
              <w:spacing/>
              <w:ind/>
              <w:rPr/>
            </w:pPr>
            <w:r>
              <w:t xml:space="preserve">Un delegado solo ve y edita su club; un árbitro solo las cédulas de sus partidos; un jugador solo sus datos. El 100 % de los intentos de acceso cruzado (cambiando identificadores en la URL) responde 403.</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RNF-30</w:t>
            </w:r>
            <w:r/>
          </w:p>
        </w:tc>
        <w:tc>
          <w:tcPr>
            <w:tcBorders/>
            <w:tcW w:w="3077" w:type="dxa"/>
          </w:tcPr>
          <w:p>
            <w:pPr>
              <w:pStyle w:val="922"/>
              <w:pBdr/>
              <w:spacing/>
              <w:ind/>
              <w:rPr/>
            </w:pPr>
            <w:r>
              <w:t xml:space="preserve">Los documentos de identidad no deberán ser accesibles públicamente.</w:t>
            </w:r>
            <w:r/>
          </w:p>
        </w:tc>
        <w:tc>
          <w:tcPr>
            <w:tcBorders/>
            <w:tcW w:w="2947" w:type="dxa"/>
          </w:tcPr>
          <w:p>
            <w:pPr>
              <w:pStyle w:val="922"/>
              <w:pBdr/>
              <w:spacing/>
              <w:ind/>
              <w:rPr/>
            </w:pPr>
            <w:r>
              <w:t xml:space="preserve">INE, CURP, actas y comprobantes se guardan fuera del directorio público y se entregan solo con enlaces temporales firmados (≤ 10 minutos) a usuarios autorizados; no son indexables.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RNF-31</w:t>
            </w:r>
            <w:r/>
          </w:p>
        </w:tc>
        <w:tc>
          <w:tcPr>
            <w:tcBorders/>
            <w:tcW w:w="3077" w:type="dxa"/>
          </w:tcPr>
          <w:p>
            <w:pPr>
              <w:pStyle w:val="922"/>
              <w:pBdr/>
              <w:spacing/>
              <w:ind/>
              <w:rPr/>
            </w:pPr>
            <w:r>
              <w:t xml:space="preserve">El portal público deberá mostrar solo los datos personales mínimos.</w:t>
            </w:r>
            <w:r/>
          </w:p>
        </w:tc>
        <w:tc>
          <w:tcPr>
            <w:tcBorders/>
            <w:tcW w:w="2947" w:type="dxa"/>
          </w:tcPr>
          <w:p>
            <w:pPr>
              <w:pStyle w:val="922"/>
              <w:pBdr/>
              <w:spacing/>
              <w:ind/>
              <w:rPr/>
            </w:pPr>
            <w:r>
              <w:t xml:space="preserve">El portal nunca muestra fecha de nacimiento, CURP, domicilio, teléfono ni fotografía de ningún jugador; de los menores de edad solo muestra nombre y equipo.</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RNF-32</w:t>
            </w:r>
            <w:r/>
          </w:p>
        </w:tc>
        <w:tc>
          <w:tcPr>
            <w:tcBorders/>
            <w:tcW w:w="3077" w:type="dxa"/>
          </w:tcPr>
          <w:p>
            <w:pPr>
              <w:pStyle w:val="922"/>
              <w:pBdr/>
              <w:spacing/>
              <w:ind/>
              <w:rPr/>
            </w:pPr>
            <w:r>
              <w:t xml:space="preserve">Toda la comunicación deberá ir cifrada.</w:t>
            </w:r>
            <w:r/>
          </w:p>
        </w:tc>
        <w:tc>
          <w:tcPr>
            <w:tcBorders/>
            <w:tcW w:w="2947" w:type="dxa"/>
          </w:tcPr>
          <w:p>
            <w:pPr>
              <w:pStyle w:val="922"/>
              <w:pBdr/>
              <w:spacing/>
              <w:ind/>
              <w:rPr/>
            </w:pPr>
            <w:r>
              <w:t xml:space="preserve">HTTPS con TLS 1.2 o superior, incluido el túnel de 4.5; HSTS activo; cookies de sesión Secure, HttpOnly y SameSite; calificación A o superior en SSL Labs.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RNF-33</w:t>
            </w:r>
            <w:r/>
          </w:p>
        </w:tc>
        <w:tc>
          <w:tcPr>
            <w:tcBorders/>
            <w:tcW w:w="3077" w:type="dxa"/>
          </w:tcPr>
          <w:p>
            <w:pPr>
              <w:pStyle w:val="922"/>
              <w:pBdr/>
              <w:spacing/>
              <w:ind/>
              <w:rPr/>
            </w:pPr>
            <w:r>
              <w:t xml:space="preserve">Los cambios críticos deberán quedar auditados de forma inalterable.</w:t>
            </w:r>
            <w:r/>
          </w:p>
        </w:tc>
        <w:tc>
          <w:tcPr>
            <w:tcBorders/>
            <w:tcW w:w="2947" w:type="dxa"/>
          </w:tcPr>
          <w:p>
            <w:pPr>
              <w:pStyle w:val="922"/>
              <w:pBdr/>
              <w:spacing/>
              <w:ind/>
              <w:rPr/>
            </w:pPr>
            <w:r>
              <w:t xml:space="preserve">Cada cambio a marcadores, sanciones, pagos y permisos registra usuario, fecha y hora, IP, valor anterior, valor nuevo y motivo; la aplicación no tiene permiso de modificar ni borrar ese registro; se conserva la temporada actual y las 3 anteriores.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RNF-34</w:t>
            </w:r>
            <w:r/>
          </w:p>
        </w:tc>
        <w:tc>
          <w:tcPr>
            <w:tcBorders/>
            <w:tcW w:w="3077" w:type="dxa"/>
          </w:tcPr>
          <w:p>
            <w:pPr>
              <w:pStyle w:val="922"/>
              <w:pBdr/>
              <w:spacing/>
              <w:ind/>
              <w:rPr/>
            </w:pPr>
            <w:r>
              <w:t xml:space="preserve">El Sistema deberá resistir los ataques web más comunes.</w:t>
            </w:r>
            <w:r/>
          </w:p>
        </w:tc>
        <w:tc>
          <w:tcPr>
            <w:tcBorders/>
            <w:tcW w:w="2947" w:type="dxa"/>
          </w:tcPr>
          <w:p>
            <w:pPr>
              <w:pStyle w:val="922"/>
              <w:pBdr/>
              <w:spacing/>
              <w:ind/>
              <w:rPr/>
            </w:pPr>
            <w:r>
              <w:t xml:space="preserve">Todos los formularios tienen protección CSRF, todas las consultas son parametrizadas y la salida se escapa; un escaneo con OWASP ZAP no reporta hallazgos de riesgo alto.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RNF-35</w:t>
            </w:r>
            <w:r/>
          </w:p>
        </w:tc>
        <w:tc>
          <w:tcPr>
            <w:tcBorders/>
            <w:tcW w:w="3077" w:type="dxa"/>
          </w:tcPr>
          <w:p>
            <w:pPr>
              <w:pStyle w:val="922"/>
              <w:pBdr/>
              <w:spacing/>
              <w:ind/>
              <w:rPr/>
            </w:pPr>
            <w:r>
              <w:t xml:space="preserve">Las sesiones deberán expirar.</w:t>
            </w:r>
            <w:r/>
          </w:p>
        </w:tc>
        <w:tc>
          <w:tcPr>
            <w:tcBorders/>
            <w:tcW w:w="2947" w:type="dxa"/>
          </w:tcPr>
          <w:p>
            <w:pPr>
              <w:pStyle w:val="922"/>
              <w:pBdr/>
              <w:spacing/>
              <w:ind/>
              <w:rPr/>
            </w:pPr>
            <w:r>
              <w:t xml:space="preserve">Las sesiones de roles con privilegios expiran tras 30 minutos de inactividad y las demás tras 8 horas; cerrar sesión invalida la sesión en el servidor.</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7" w:name="_Toc200907"/>
      <w:r>
        <w:t xml:space="preserve">3.3.7 Mantenibilidad</w:t>
      </w:r>
      <w:bookmarkEnd w:id="907"/>
      <w:r/>
      <w:r/>
    </w:p>
    <w:p>
      <w:pPr>
        <w:pStyle w:val="923"/>
        <w:keepNext w:val="true"/>
        <w:pBdr/>
        <w:spacing/>
        <w:ind/>
        <w:rPr/>
      </w:pPr>
      <w:r>
        <w:rPr>
          <w:b/>
          <w:bCs/>
          <w:color w:val="241a61"/>
          <w:sz w:val="18"/>
          <w:szCs w:val="18"/>
        </w:rPr>
        <w:t xml:space="preserve">Tabla 14. </w:t>
      </w:r>
      <w:r>
        <w:rPr>
          <w:sz w:val="18"/>
          <w:szCs w:val="18"/>
        </w:rPr>
        <w:t xml:space="preserve">Requisitos de mantenibilidad.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RNF-36</w:t>
            </w:r>
            <w:r/>
          </w:p>
        </w:tc>
        <w:tc>
          <w:tcPr>
            <w:tcBorders/>
            <w:tcW w:w="3077" w:type="dxa"/>
          </w:tcPr>
          <w:p>
            <w:pPr>
              <w:pStyle w:val="922"/>
              <w:pBdr/>
              <w:spacing/>
              <w:ind/>
              <w:rPr/>
            </w:pPr>
            <w:r>
              <w:t xml:space="preserve">Las reglas de cada temporada deberán cambiarse sin modificar el código.</w:t>
            </w:r>
            <w:r/>
          </w:p>
        </w:tc>
        <w:tc>
          <w:tcPr>
            <w:tcBorders/>
            <w:tcW w:w="2947" w:type="dxa"/>
          </w:tcPr>
          <w:p>
            <w:pPr>
              <w:pStyle w:val="922"/>
              <w:pBdr/>
              <w:spacing/>
              <w:ind/>
              <w:rPr/>
            </w:pPr>
            <w:r>
              <w:t xml:space="preserve">Puntos por resultado, desempates, cupos de liguilla, ascensos y descensos, cambios permitidos y años de nacimiento por categoría se configuran como datos versionados; la Convocatoria 2026–2027 completa se carga solo desde la interfaz administrativa.</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RNF-37</w:t>
            </w:r>
            <w:r/>
          </w:p>
        </w:tc>
        <w:tc>
          <w:tcPr>
            <w:tcBorders/>
            <w:tcW w:w="3077" w:type="dxa"/>
          </w:tcPr>
          <w:p>
            <w:pPr>
              <w:pStyle w:val="922"/>
              <w:pBdr/>
              <w:spacing/>
              <w:ind/>
              <w:rPr/>
            </w:pPr>
            <w:r>
              <w:t xml:space="preserve">El código de dominio deberá tener pruebas automatizadas.</w:t>
            </w:r>
            <w:r/>
          </w:p>
        </w:tc>
        <w:tc>
          <w:tcPr>
            <w:tcBorders/>
            <w:tcW w:w="2947" w:type="dxa"/>
          </w:tcPr>
          <w:p>
            <w:pPr>
              <w:pStyle w:val="922"/>
              <w:pBdr/>
              <w:spacing/>
              <w:ind/>
              <w:rPr/>
            </w:pPr>
            <w:r>
              <w:t xml:space="preserve">Cobertura ≥ 70 % de líneas en los módulos de reglas, tablas, sanciones y programación; al menos una prueba por RF Alta/Esencial; la suite completa corre en ≤ 5 minutos.</w:t>
            </w:r>
            <w:r/>
          </w:p>
        </w:tc>
        <w:tc>
          <w:tcPr>
            <w:tcBorders/>
            <w:tcW w:w="1350" w:type="dxa"/>
          </w:tcPr>
          <w:p>
            <w:pPr>
              <w:pStyle w:val="922"/>
              <w:pBdr/>
              <w:spacing/>
              <w:ind/>
              <w:rPr/>
            </w:pPr>
            <w:r>
              <w:t xml:space="preserve">Análisis</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RNF-38</w:t>
            </w:r>
            <w:r/>
          </w:p>
        </w:tc>
        <w:tc>
          <w:tcPr>
            <w:tcBorders/>
            <w:tcW w:w="3077" w:type="dxa"/>
          </w:tcPr>
          <w:p>
            <w:pPr>
              <w:pStyle w:val="922"/>
              <w:pBdr/>
              <w:spacing/>
              <w:ind/>
              <w:rPr/>
            </w:pPr>
            <w:r>
              <w:t xml:space="preserve">El código deberá seguir estándares verificables.</w:t>
            </w:r>
            <w:r/>
          </w:p>
        </w:tc>
        <w:tc>
          <w:tcPr>
            <w:tcBorders/>
            <w:tcW w:w="2947" w:type="dxa"/>
          </w:tcPr>
          <w:p>
            <w:pPr>
              <w:pStyle w:val="922"/>
              <w:pBdr/>
              <w:spacing/>
              <w:ind/>
              <w:rPr/>
            </w:pPr>
            <w:r>
              <w:t xml:space="preserve">Sin errores en Laravel Pint (PSR-12) ni en análisis estático (Larastan nivel 5 o superior); todo cambio pasa por git con revisión de otro integrante.</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RNF-39</w:t>
            </w:r>
            <w:r/>
          </w:p>
        </w:tc>
        <w:tc>
          <w:tcPr>
            <w:tcBorders/>
            <w:tcW w:w="3077" w:type="dxa"/>
          </w:tcPr>
          <w:p>
            <w:pPr>
              <w:pStyle w:val="922"/>
              <w:pBdr/>
              <w:spacing/>
              <w:ind/>
              <w:rPr/>
            </w:pPr>
            <w:r>
              <w:t xml:space="preserve">Los errores deberán poder diagnosticarse.</w:t>
            </w:r>
            <w:r/>
          </w:p>
        </w:tc>
        <w:tc>
          <w:tcPr>
            <w:tcBorders/>
            <w:tcW w:w="2947" w:type="dxa"/>
          </w:tcPr>
          <w:p>
            <w:pPr>
              <w:pStyle w:val="922"/>
              <w:pBdr/>
              <w:spacing/>
              <w:ind/>
              <w:rPr/>
            </w:pPr>
            <w:r>
              <w:t xml:space="preserve">Los registros incluyen nivel, fecha y hora, usuario e identificador de solicitud; un error 500 guarda la traza completa sin mostrarla al usuario.</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RNF-40</w:t>
            </w:r>
            <w:r/>
          </w:p>
        </w:tc>
        <w:tc>
          <w:tcPr>
            <w:tcBorders/>
            <w:tcW w:w="3077" w:type="dxa"/>
          </w:tcPr>
          <w:p>
            <w:pPr>
              <w:pStyle w:val="922"/>
              <w:pBdr/>
              <w:spacing/>
              <w:ind/>
              <w:rPr/>
            </w:pPr>
            <w:r>
              <w:t xml:space="preserve">El Sistema deberá entregarse documentado.</w:t>
            </w:r>
            <w:r/>
          </w:p>
        </w:tc>
        <w:tc>
          <w:tcPr>
            <w:tcBorders/>
            <w:tcW w:w="2947" w:type="dxa"/>
          </w:tcPr>
          <w:p>
            <w:pPr>
              <w:pStyle w:val="922"/>
              <w:pBdr/>
              <w:spacing/>
              <w:ind/>
              <w:rPr/>
            </w:pPr>
            <w:r>
              <w:t xml:space="preserve">Se entregan un manual técnico de instalación y un manual de usuario por rol, revisados por un integrante que no los redactó.</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8" w:name="_Toc200908"/>
      <w:r>
        <w:t xml:space="preserve">3.3.8 Flexibilidad</w:t>
      </w:r>
      <w:bookmarkEnd w:id="908"/>
      <w:r/>
      <w:r/>
    </w:p>
    <w:p>
      <w:pPr>
        <w:pStyle w:val="923"/>
        <w:keepNext w:val="true"/>
        <w:pBdr/>
        <w:spacing/>
        <w:ind/>
        <w:rPr/>
      </w:pPr>
      <w:r>
        <w:rPr>
          <w:b/>
          <w:bCs/>
          <w:color w:val="241a61"/>
          <w:sz w:val="18"/>
          <w:szCs w:val="18"/>
        </w:rPr>
        <w:t xml:space="preserve">Tabla 15. </w:t>
      </w:r>
      <w:r>
        <w:rPr>
          <w:sz w:val="18"/>
          <w:szCs w:val="18"/>
        </w:rPr>
        <w:t xml:space="preserve">Requisitos de flexibilidad.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RNF-41</w:t>
            </w:r>
            <w:r/>
          </w:p>
        </w:tc>
        <w:tc>
          <w:tcPr>
            <w:tcBorders/>
            <w:tcW w:w="3077" w:type="dxa"/>
          </w:tcPr>
          <w:p>
            <w:pPr>
              <w:pStyle w:val="922"/>
              <w:pBdr/>
              <w:spacing/>
              <w:ind/>
              <w:rPr/>
            </w:pPr>
            <w:r>
              <w:t xml:space="preserve">El Sistema deberá instalarse con facilidad en un equipo nuevo.</w:t>
            </w:r>
            <w:r/>
          </w:p>
        </w:tc>
        <w:tc>
          <w:tcPr>
            <w:tcBorders/>
            <w:tcW w:w="2947" w:type="dxa"/>
          </w:tcPr>
          <w:p>
            <w:pPr>
              <w:pStyle w:val="922"/>
              <w:pBdr/>
              <w:spacing/>
              <w:ind/>
              <w:rPr/>
            </w:pPr>
            <w:r>
              <w:t xml:space="preserve">Siguiendo el manual técnico, una persona del equipo lo instala con migraciones y datos de ejemplo en ≤ 1 hora en un equipo con las versiones de PHP y MariaDB definidas.</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RNF-42</w:t>
            </w:r>
            <w:r/>
          </w:p>
        </w:tc>
        <w:tc>
          <w:tcPr>
            <w:tcBorders/>
            <w:tcW w:w="3077" w:type="dxa"/>
          </w:tcPr>
          <w:p>
            <w:pPr>
              <w:pStyle w:val="922"/>
              <w:pBdr/>
              <w:spacing/>
              <w:ind/>
              <w:rPr/>
            </w:pPr>
            <w:r>
              <w:t xml:space="preserve">El Sistema deberá poder pasar a producción sin cambiar el código.</w:t>
            </w:r>
            <w:r/>
          </w:p>
        </w:tc>
        <w:tc>
          <w:tcPr>
            <w:tcBorders/>
            <w:tcW w:w="2947" w:type="dxa"/>
          </w:tcPr>
          <w:p>
            <w:pPr>
              <w:pStyle w:val="922"/>
              <w:pBdr/>
              <w:spacing/>
              <w:ind/>
              <w:rPr/>
            </w:pPr>
            <w:r>
              <w:t xml:space="preserve">Toda configuración dependiente del entorno (base de datos, correo, dominio, túnel) se define en variables de entorno; el mismo código corre en el equipo local con túnel y en un hospedaje de producción.</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9" w:name="_Toc200909"/>
      <w:r>
        <w:t xml:space="preserve">3.3.9 Protección</w:t>
      </w:r>
      <w:bookmarkEnd w:id="909"/>
      <w:r/>
      <w:r/>
    </w:p>
    <w:p>
      <w:pPr>
        <w:pStyle w:val="923"/>
        <w:keepNext w:val="true"/>
        <w:pBdr/>
        <w:spacing/>
        <w:ind/>
        <w:rPr/>
      </w:pPr>
      <w:r>
        <w:rPr>
          <w:b/>
          <w:bCs/>
          <w:color w:val="241a61"/>
          <w:sz w:val="18"/>
          <w:szCs w:val="18"/>
        </w:rPr>
        <w:t xml:space="preserve">Tabla 16. </w:t>
      </w:r>
      <w:r>
        <w:rPr>
          <w:sz w:val="18"/>
          <w:szCs w:val="18"/>
        </w:rPr>
        <w:t xml:space="preserve">Requisitos de protección.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RNF-43</w:t>
            </w:r>
            <w:r/>
          </w:p>
        </w:tc>
        <w:tc>
          <w:tcPr>
            <w:tcBorders/>
            <w:tcW w:w="3077" w:type="dxa"/>
          </w:tcPr>
          <w:p>
            <w:pPr>
              <w:pStyle w:val="922"/>
              <w:pBdr/>
              <w:spacing/>
              <w:ind/>
              <w:rPr/>
            </w:pPr>
            <w:r>
              <w:t xml:space="preserve">Ante una duda sobre la elegibilidad, el Sistema deberá fallar del lado seguro.</w:t>
            </w:r>
            <w:r/>
          </w:p>
        </w:tc>
        <w:tc>
          <w:tcPr>
            <w:tcBorders/>
            <w:tcW w:w="2947" w:type="dxa"/>
          </w:tcPr>
          <w:p>
            <w:pPr>
              <w:pStyle w:val="922"/>
              <w:pBdr/>
              <w:spacing/>
              <w:ind/>
              <w:rPr/>
            </w:pPr>
            <w:r>
              <w:t xml:space="preserve">Si no puede determinar la elegibilidad de un jugador (datos incompletos o error interno), lo marca como «no verificado» y alerta al árbitro y al delegado; nunca lo marca como habilitado.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RNF-44</w:t>
            </w:r>
            <w:r/>
          </w:p>
        </w:tc>
        <w:tc>
          <w:tcPr>
            <w:tcBorders/>
            <w:tcW w:w="3077" w:type="dxa"/>
          </w:tcPr>
          <w:p>
            <w:pPr>
              <w:pStyle w:val="922"/>
              <w:pBdr/>
              <w:spacing/>
              <w:ind/>
              <w:rPr/>
            </w:pPr>
            <w:r>
              <w:t xml:space="preserve">El boletín de castigados no deberá publicarse sin validación.</w:t>
            </w:r>
            <w:r/>
          </w:p>
        </w:tc>
        <w:tc>
          <w:tcPr>
            <w:tcBorders/>
            <w:tcW w:w="2947" w:type="dxa"/>
          </w:tcPr>
          <w:p>
            <w:pPr>
              <w:pStyle w:val="922"/>
              <w:pBdr/>
              <w:spacing/>
              <w:ind/>
              <w:rPr/>
            </w:pPr>
            <w:r>
              <w:t xml:space="preserve">Ninguna sanción aparece en el portal antes de que la Comisión Disciplinaria la valide; cada publicación registra quién la autorizó.</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bl>
    <w:p>
      <w:pPr>
        <w:pBdr/>
        <w:spacing/>
        <w:ind/>
        <w:rPr/>
      </w:pPr>
      <w:r/>
      <w:r/>
    </w:p>
    <w:p>
      <w:pPr>
        <w:pStyle w:val="916"/>
        <w:pBdr/>
        <w:spacing/>
        <w:ind/>
        <w:rPr/>
      </w:pPr>
      <w:r/>
      <w:bookmarkStart w:id="42" w:name="_Toc100042"/>
      <w:r>
        <w:t xml:space="preserve">3.4 Otros requisitos</w:t>
      </w:r>
      <w:bookmarkEnd w:id="42"/>
      <w:r/>
      <w:r/>
    </w:p>
    <w:p>
      <w:pPr>
        <w:pStyle w:val="917"/>
        <w:pBdr/>
        <w:spacing/>
        <w:ind/>
        <w:rPr/>
      </w:pPr>
      <w:r/>
      <w:bookmarkStart w:id="43" w:name="_Toc100043"/>
      <w:r>
        <w:t xml:space="preserve">3.4.1 Requisitos legales y de privacidad</w:t>
      </w:r>
      <w:bookmarkEnd w:id="43"/>
      <w:r/>
      <w:r/>
    </w:p>
    <w:p>
      <w:pPr>
        <w:pStyle w:val="920"/>
        <w:numPr>
          <w:ilvl w:val="0"/>
          <w:numId w:val="1"/>
        </w:numPr>
        <w:pBdr/>
        <w:spacing/>
        <w:ind/>
        <w:rPr/>
      </w:pPr>
      <w:r>
        <w:rPr>
          <w:b/>
          <w:bCs/>
        </w:rPr>
        <w:t xml:space="preserve">OR-01:</w:t>
      </w:r>
      <w:r>
        <w:t xml:space="preserve"> El </w:t>
      </w:r>
      <w:r>
        <w:t xml:space="preserve">sistema deberá cumplir con las normativas</w:t>
      </w:r>
      <w:r>
        <w:t xml:space="preserve"> de protección de datos personales vigentes, mostrando un aviso de privacidad al momento del registro de jugadores y recabando el consentimiento digital de los delegados y tutores en el caso de jugadores menores de edad (rama infantil y categoría Juvenil).</w:t>
      </w:r>
      <w:r/>
    </w:p>
    <w:p>
      <w:pPr>
        <w:pStyle w:val="915"/>
        <w:pageBreakBefore w:val="true"/>
        <w:pBdr/>
        <w:spacing/>
        <w:ind/>
        <w:rPr/>
      </w:pPr>
      <w:r/>
      <w:bookmarkStart w:id="44" w:name="_Toc100044"/>
      <w:r>
        <w:t xml:space="preserve">4. Modelado del sistema</w:t>
      </w:r>
      <w:bookmarkEnd w:id="44"/>
      <w:r/>
      <w:r/>
    </w:p>
    <w:p>
      <w:pPr>
        <w:pStyle w:val="916"/>
        <w:pBdr/>
        <w:spacing/>
        <w:ind/>
        <w:rPr/>
      </w:pPr>
      <w:r/>
      <w:bookmarkStart w:id="45" w:name="_Toc100045"/>
      <w:r>
        <w:t xml:space="preserve">4.1 Diagrama BPMN</w:t>
      </w:r>
      <w:bookmarkEnd w:id="45"/>
      <w:r>
        <w:rPr>
          <w:lang w:val="es-ES"/>
        </w:rPr>
      </w:r>
      <w:r/>
    </w:p>
    <w:p>
      <w:pPr>
        <w:pStyle w:val="916"/>
        <w:pBdr/>
        <w:spacing/>
        <w:ind/>
        <w:rPr/>
      </w:pPr>
      <w:r/>
      <w:bookmarkStart w:id="46" w:name="_Toc100046"/>
      <w:r>
        <w:t xml:space="preserve">4.2 Diseño de Interfaz</w:t>
      </w:r>
      <w:bookmarkEnd w:id="46"/>
      <w:r/>
      <w:r/>
    </w:p>
    <w:p>
      <w:pPr>
        <w:pStyle w:val="916"/>
        <w:pBdr/>
        <w:spacing/>
        <w:ind/>
        <w:rPr/>
      </w:pPr>
      <w:r/>
      <w:bookmarkStart w:id="47" w:name="_Toc100047"/>
      <w:r>
        <w:t xml:space="preserve">4.3 Diseño de Base de Datos</w:t>
      </w:r>
      <w:bookmarkEnd w:id="47"/>
      <w:r/>
      <w:r/>
    </w:p>
    <w:p>
      <w:pPr>
        <w:pStyle w:val="916"/>
        <w:pBdr/>
        <w:spacing/>
        <w:ind/>
        <w:rPr/>
      </w:pPr>
      <w:r/>
      <w:bookmarkStart w:id="48" w:name="_Toc100048"/>
      <w:r>
        <w:t xml:space="preserve">4.4 Diseño jerárquico</w:t>
      </w:r>
      <w:bookmarkEnd w:id="48"/>
      <w:r/>
      <w:r/>
    </w:p>
    <w:p>
      <w:pPr>
        <w:pBdr/>
        <w:spacing/>
        <w:ind/>
        <w:rPr/>
      </w:pPr>
      <w:r>
        <w:t xml:space="preserve">El sistema se orga</w:t>
      </w:r>
      <w:r>
        <w:t xml:space="preserve">niza desde la plataforma hacia módulos, submódulos y operaciones. Esta jerarquía de navegación y estructura de información evita mezclar responsabilidades y permite que el framework Laravel refleje directamente el dominio del negocio de la Liga Municipal. </w:t>
      </w:r>
      <w:r/>
    </w:p>
    <w:p>
      <w:pPr>
        <w:pStyle w:val="920"/>
        <w:numPr>
          <w:ilvl w:val="0"/>
          <w:numId w:val="1"/>
        </w:numPr>
        <w:pBdr/>
        <w:spacing/>
        <w:ind/>
        <w:rPr/>
      </w:pPr>
      <w:r>
        <w:rPr>
          <w:b/>
          <w:bCs/>
        </w:rPr>
        <w:t xml:space="preserve">Jerarquía de Módulos (Estructura del Sistema)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5"/>
        <w:gridCol w:w="1915"/>
        <w:gridCol w:w="6684"/>
      </w:tblGrid>
      <w:tr>
        <w:trPr>
          <w:cantSplit/>
          <w:tblHeader/>
        </w:trPr>
        <w:tc>
          <w:tcPr>
            <w:shd w:val="clear" w:color="auto" w:fill="241a61"/>
            <w:tcBorders/>
            <w:tcW w:w="805" w:type="dxa"/>
          </w:tcPr>
          <w:p>
            <w:pPr>
              <w:pStyle w:val="922"/>
              <w:pBdr/>
              <w:spacing/>
              <w:ind/>
              <w:rPr/>
            </w:pPr>
            <w:r>
              <w:rPr>
                <w:b/>
                <w:bCs/>
                <w:color w:val="ffffff"/>
              </w:rPr>
              <w:t xml:space="preserve">Nivel</w:t>
            </w:r>
            <w:r/>
          </w:p>
        </w:tc>
        <w:tc>
          <w:tcPr>
            <w:shd w:val="clear" w:color="auto" w:fill="241a61"/>
            <w:tcBorders/>
            <w:tcW w:w="1915" w:type="dxa"/>
          </w:tcPr>
          <w:p>
            <w:pPr>
              <w:pStyle w:val="922"/>
              <w:pBdr/>
              <w:spacing/>
              <w:ind/>
              <w:rPr/>
            </w:pPr>
            <w:r>
              <w:rPr>
                <w:b/>
                <w:bCs/>
                <w:color w:val="ffffff"/>
              </w:rPr>
              <w:t xml:space="preserve">Elemento</w:t>
            </w:r>
            <w:r/>
          </w:p>
        </w:tc>
        <w:tc>
          <w:tcPr>
            <w:shd w:val="clear" w:color="auto" w:fill="241a61"/>
            <w:tcBorders/>
            <w:tcW w:w="6684" w:type="dxa"/>
          </w:tcPr>
          <w:p>
            <w:pPr>
              <w:pStyle w:val="922"/>
              <w:pBdr/>
              <w:spacing/>
              <w:ind/>
              <w:rPr/>
            </w:pPr>
            <w:r>
              <w:rPr>
                <w:b/>
                <w:bCs/>
                <w:color w:val="ffffff"/>
              </w:rPr>
              <w:t xml:space="preserve">Subelementos</w:t>
            </w:r>
            <w:r/>
          </w:p>
        </w:tc>
      </w:tr>
      <w:tr>
        <w:trPr>
          <w:cantSplit/>
        </w:trPr>
        <w:tc>
          <w:tcPr>
            <w:tcBorders/>
            <w:tcW w:w="805" w:type="dxa"/>
          </w:tcPr>
          <w:p>
            <w:pPr>
              <w:pStyle w:val="922"/>
              <w:pBdr/>
              <w:spacing/>
              <w:ind/>
              <w:rPr/>
            </w:pPr>
            <w:r>
              <w:t xml:space="preserve">0</w:t>
            </w:r>
            <w:r/>
          </w:p>
        </w:tc>
        <w:tc>
          <w:tcPr>
            <w:tcBorders/>
            <w:tcW w:w="1915" w:type="dxa"/>
          </w:tcPr>
          <w:p>
            <w:pPr>
              <w:pStyle w:val="922"/>
              <w:pBdr/>
              <w:spacing/>
              <w:ind/>
              <w:rPr/>
            </w:pPr>
            <w:r>
              <w:t xml:space="preserve">Sistema Gestor</w:t>
            </w:r>
            <w:r/>
          </w:p>
        </w:tc>
        <w:tc>
          <w:tcPr>
            <w:tcBorders/>
            <w:tcW w:w="6684" w:type="dxa"/>
          </w:tcPr>
          <w:p>
            <w:pPr>
              <w:pStyle w:val="922"/>
              <w:pBdr/>
              <w:spacing/>
              <w:ind/>
              <w:rPr/>
            </w:pPr>
            <w:r>
              <w:t xml:space="preserve">Portal interno + Portal público + API/servicios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Core</w:t>
            </w:r>
            <w:r/>
          </w:p>
        </w:tc>
        <w:tc>
          <w:tcPr>
            <w:tcBorders/>
            <w:tcW w:w="6684" w:type="dxa"/>
          </w:tcPr>
          <w:p>
            <w:pPr>
              <w:pStyle w:val="922"/>
              <w:pBdr/>
              <w:spacing/>
              <w:ind/>
              <w:rPr/>
            </w:pPr>
            <w:r>
              <w:t xml:space="preserve">Liga, usuarios, roles, permisos, sesiones, auditoría</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Temporada</w:t>
            </w:r>
            <w:r/>
          </w:p>
        </w:tc>
        <w:tc>
          <w:tcPr>
            <w:tcBorders/>
            <w:tcW w:w="6684" w:type="dxa"/>
          </w:tcPr>
          <w:p>
            <w:pPr>
              <w:pStyle w:val="922"/>
              <w:pBdr/>
              <w:spacing/>
              <w:ind/>
              <w:rPr/>
            </w:pPr>
            <w:r>
              <w:t xml:space="preserve">Temporadas, convocatorias, categorías, grupos, reglas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Clubes/Finanzas</w:t>
            </w:r>
            <w:r/>
          </w:p>
        </w:tc>
        <w:tc>
          <w:tcPr>
            <w:tcBorders/>
            <w:tcW w:w="6684" w:type="dxa"/>
          </w:tcPr>
          <w:p>
            <w:pPr>
              <w:pStyle w:val="922"/>
              <w:pBdr/>
              <w:spacing/>
              <w:ind/>
              <w:rPr/>
            </w:pPr>
            <w:r>
              <w:t xml:space="preserve">Afiliación, tarjetón, directiva, venta, cargos, pagos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Jugadores</w:t>
            </w:r>
            <w:r/>
          </w:p>
        </w:tc>
        <w:tc>
          <w:tcPr>
            <w:tcBorders/>
            <w:tcW w:w="6684" w:type="dxa"/>
          </w:tcPr>
          <w:p>
            <w:pPr>
              <w:pStyle w:val="922"/>
              <w:pBdr/>
              <w:spacing/>
              <w:ind/>
              <w:rPr/>
            </w:pPr>
            <w:r>
              <w:t xml:space="preserve">Personas, expedientes, documentos, plantillas, elegibilidad</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Logística</w:t>
            </w:r>
            <w:r/>
          </w:p>
        </w:tc>
        <w:tc>
          <w:tcPr>
            <w:tcBorders/>
            <w:tcW w:w="6684" w:type="dxa"/>
          </w:tcPr>
          <w:p>
            <w:pPr>
              <w:pStyle w:val="922"/>
              <w:pBdr/>
              <w:spacing/>
              <w:ind/>
              <w:rPr/>
            </w:pPr>
            <w:r>
              <w:t xml:space="preserve">Canchas, sedes, bloqueos, preferencias, préstamos, árbitros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Fixture</w:t>
            </w:r>
            <w:r/>
          </w:p>
        </w:tc>
        <w:tc>
          <w:tcPr>
            <w:tcBorders/>
            <w:tcW w:w="6684" w:type="dxa"/>
          </w:tcPr>
          <w:p>
            <w:pPr>
              <w:pStyle w:val="922"/>
              <w:pBdr/>
              <w:spacing/>
              <w:ind/>
              <w:rPr/>
            </w:pPr>
            <w:r>
              <w:t xml:space="preserve">Jornadas, enfrentamientos, restricciones, asignaciones, conflictos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Partidos</w:t>
            </w:r>
            <w:r/>
          </w:p>
        </w:tc>
        <w:tc>
          <w:tcPr>
            <w:tcBorders/>
            <w:tcW w:w="6684" w:type="dxa"/>
          </w:tcPr>
          <w:p>
            <w:pPr>
              <w:pStyle w:val="922"/>
              <w:pBdr/>
              <w:spacing/>
              <w:ind/>
              <w:rPr/>
            </w:pPr>
            <w:r>
              <w:t xml:space="preserve">Estados, cédulas, alineaciones, eventos, resultados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Disciplina</w:t>
            </w:r>
            <w:r/>
          </w:p>
        </w:tc>
        <w:tc>
          <w:tcPr>
            <w:tcBorders/>
            <w:tcW w:w="6684" w:type="dxa"/>
          </w:tcPr>
          <w:p>
            <w:pPr>
              <w:pStyle w:val="922"/>
              <w:pBdr/>
              <w:spacing/>
              <w:ind/>
              <w:rPr/>
            </w:pPr>
            <w:r>
              <w:t xml:space="preserve">Incidentes, artículos, expedientes, sanciones, recursos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Competencia</w:t>
            </w:r>
            <w:r/>
          </w:p>
        </w:tc>
        <w:tc>
          <w:tcPr>
            <w:tcBorders/>
            <w:tcW w:w="6684" w:type="dxa"/>
          </w:tcPr>
          <w:p>
            <w:pPr>
              <w:pStyle w:val="922"/>
              <w:pBdr/>
              <w:spacing/>
              <w:ind/>
              <w:rPr/>
            </w:pPr>
            <w:r>
              <w:t xml:space="preserve">Tablas, estadísticas, liguilla, ascenso/descenso</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Publicación</w:t>
            </w:r>
            <w:r/>
          </w:p>
        </w:tc>
        <w:tc>
          <w:tcPr>
            <w:tcBorders/>
            <w:tcW w:w="6684" w:type="dxa"/>
          </w:tcPr>
          <w:p>
            <w:pPr>
              <w:pStyle w:val="922"/>
              <w:pBdr/>
              <w:spacing/>
              <w:ind/>
              <w:rPr/>
            </w:pPr>
            <w:r>
              <w:t xml:space="preserve">Noticias, comunicados, roles, resultados, tablas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Reportes</w:t>
            </w:r>
            <w:r/>
          </w:p>
        </w:tc>
        <w:tc>
          <w:tcPr>
            <w:tcBorders/>
            <w:tcW w:w="6684" w:type="dxa"/>
          </w:tcPr>
          <w:p>
            <w:pPr>
              <w:pStyle w:val="922"/>
              <w:pBdr/>
              <w:spacing/>
              <w:ind/>
              <w:rPr/>
            </w:pPr>
            <w:r>
              <w:t xml:space="preserve">PDF, Excel/CSV, históricos, auditoría</w:t>
            </w:r>
            <w:r/>
          </w:p>
        </w:tc>
      </w:tr>
    </w:tbl>
    <w:p>
      <w:pPr>
        <w:pBdr/>
        <w:spacing w:after="60" w:before="0"/>
        <w:ind/>
        <w:rPr/>
      </w:pPr>
      <w:r/>
      <w:r/>
    </w:p>
    <w:p>
      <w:pPr>
        <w:pStyle w:val="920"/>
        <w:numPr>
          <w:ilvl w:val="0"/>
          <w:numId w:val="1"/>
        </w:numPr>
        <w:pBdr/>
        <w:spacing/>
        <w:ind/>
        <w:rPr/>
      </w:pPr>
      <w:r>
        <w:rPr>
          <w:b/>
          <w:bCs/>
        </w:rPr>
        <w:t xml:space="preserve">Jerarquía Funcional y Trazabilidad de Datos</w:t>
      </w:r>
      <w:r/>
    </w:p>
    <w:p>
      <w:pPr>
        <w:pBdr/>
        <w:spacing/>
        <w:ind/>
        <w:rPr/>
      </w:pPr>
      <w:r>
        <w:t xml:space="preserve">El sistema respeta el siguiente flujo de dependencias. Un eslabón no puede existir sin que el anterior haya sido creado y validado:</w:t>
      </w:r>
      <w:r/>
    </w:p>
    <w:p>
      <w:pPr>
        <w:pBdr/>
        <w:spacing/>
        <w:ind/>
        <w:rPr/>
      </w:pPr>
      <w:r>
        <w:rPr>
          <w:color w:val="188038"/>
        </w:rPr>
        <w:t xml:space="preserve">Sistema → Liga → Temporada → Convocatoria/Reglas → Categoría → Grupo → Equipo → Partido → Cédula → Incidente → Artículo → Expediente → Resolución/Sanción → Elegibilidad → Tabla/Clasificación → Liguilla → Campeón/Ascenso/Descenso</w:t>
      </w:r>
      <w:r/>
    </w:p>
    <w:p>
      <w:pPr>
        <w:pStyle w:val="916"/>
        <w:pBdr/>
        <w:spacing/>
        <w:ind/>
        <w:rPr/>
      </w:pPr>
      <w:r/>
      <w:bookmarkStart w:id="49" w:name="_Toc100049"/>
      <w:r>
        <w:t xml:space="preserve">4.5 Arquitectura</w:t>
      </w:r>
      <w:bookmarkEnd w:id="49"/>
      <w:r/>
      <w:r/>
    </w:p>
    <w:p>
      <w:pPr>
        <w:pBdr/>
        <w:spacing/>
        <w:ind/>
        <w:rPr/>
      </w:pPr>
      <w:r>
        <w:t xml:space="preserve">Se propone una </w:t>
      </w:r>
      <w:r>
        <w:rPr>
          <w:b/>
          <w:bCs/>
        </w:rPr>
        <w:t xml:space="preserve">arquitectura modular monolítica</w:t>
      </w:r>
      <w:r>
        <w:t xml:space="preserve"> sep</w:t>
      </w:r>
      <w:r>
        <w:t xml:space="preserve">arada en Laravel para el proyecto. Esta decisión arquitectónica es más simple de desplegar y mantener, y mantiene los "servicios de dominio" independientes para poder extraerlos o escalarlos en el futuro si la plataforma crece hacia otras ligas del estado.</w:t>
      </w:r>
      <w:r/>
    </w:p>
    <w:p>
      <w:pPr>
        <w:pBdr/>
        <w:spacing/>
        <w:ind/>
        <w:rPr/>
      </w:pPr>
      <w:r>
        <w:t xml:space="preserve">El sistema contempla un backend/API modular, base de datos relacional, motor de reglas desacoplado, servicio de programación automatizado y almacenamiento documental seguro.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55"/>
        <w:gridCol w:w="2772"/>
        <w:gridCol w:w="4277"/>
      </w:tblGrid>
      <w:tr>
        <w:trPr>
          <w:cantSplit/>
          <w:tblHeader/>
        </w:trPr>
        <w:tc>
          <w:tcPr>
            <w:shd w:val="clear" w:color="auto" w:fill="241a61"/>
            <w:tcBorders/>
            <w:tcW w:w="2355" w:type="dxa"/>
          </w:tcPr>
          <w:p>
            <w:pPr>
              <w:pStyle w:val="922"/>
              <w:pBdr/>
              <w:spacing/>
              <w:ind/>
              <w:rPr/>
            </w:pPr>
            <w:r>
              <w:rPr>
                <w:b/>
                <w:bCs/>
                <w:color w:val="ffffff"/>
              </w:rPr>
              <w:t xml:space="preserve">Capa Tecnológica</w:t>
            </w:r>
            <w:r/>
          </w:p>
        </w:tc>
        <w:tc>
          <w:tcPr>
            <w:shd w:val="clear" w:color="auto" w:fill="241a61"/>
            <w:tcBorders/>
            <w:tcW w:w="2772" w:type="dxa"/>
          </w:tcPr>
          <w:p>
            <w:pPr>
              <w:pStyle w:val="922"/>
              <w:pBdr/>
              <w:spacing/>
              <w:ind/>
              <w:rPr/>
            </w:pPr>
            <w:r>
              <w:rPr>
                <w:b/>
                <w:bCs/>
                <w:color w:val="ffffff"/>
              </w:rPr>
              <w:t xml:space="preserve">Tecnología / Componente</w:t>
            </w:r>
            <w:r/>
          </w:p>
        </w:tc>
        <w:tc>
          <w:tcPr>
            <w:shd w:val="clear" w:color="auto" w:fill="241a61"/>
            <w:tcBorders/>
            <w:tcW w:w="4277" w:type="dxa"/>
          </w:tcPr>
          <w:p>
            <w:pPr>
              <w:pStyle w:val="922"/>
              <w:pBdr/>
              <w:spacing/>
              <w:ind/>
              <w:rPr/>
            </w:pPr>
            <w:r>
              <w:rPr>
                <w:b/>
                <w:bCs/>
                <w:color w:val="ffffff"/>
              </w:rPr>
              <w:t xml:space="preserve">Responsabilidad Funcional</w:t>
            </w:r>
            <w:r/>
          </w:p>
        </w:tc>
      </w:tr>
      <w:tr>
        <w:trPr>
          <w:cantSplit/>
        </w:trPr>
        <w:tc>
          <w:tcPr>
            <w:tcBorders/>
            <w:tcW w:w="2355" w:type="dxa"/>
          </w:tcPr>
          <w:p>
            <w:pPr>
              <w:pStyle w:val="922"/>
              <w:pBdr/>
              <w:spacing/>
              <w:ind/>
              <w:rPr/>
            </w:pPr>
            <w:r>
              <w:t xml:space="preserve">Presentación UI</w:t>
            </w:r>
            <w:r/>
          </w:p>
        </w:tc>
        <w:tc>
          <w:tcPr>
            <w:tcBorders/>
            <w:tcW w:w="2772" w:type="dxa"/>
          </w:tcPr>
          <w:p>
            <w:pPr>
              <w:pStyle w:val="922"/>
              <w:pBdr/>
              <w:spacing/>
              <w:ind/>
              <w:rPr/>
            </w:pPr>
            <w:r>
              <w:t xml:space="preserve">Laravel Blade + HTML5/CSS/JS</w:t>
            </w:r>
            <w:r/>
          </w:p>
        </w:tc>
        <w:tc>
          <w:tcPr>
            <w:tcBorders/>
            <w:tcW w:w="4277" w:type="dxa"/>
          </w:tcPr>
          <w:p>
            <w:pPr>
              <w:pStyle w:val="922"/>
              <w:pBdr/>
              <w:spacing/>
              <w:ind/>
              <w:rPr/>
            </w:pPr>
            <w:r>
              <w:t xml:space="preserve">Renderizado de pantallas, formularios rápidos, tablas responsivas y vistas móviles para árbitros</w:t>
            </w:r>
            <w:r/>
          </w:p>
        </w:tc>
      </w:tr>
      <w:tr>
        <w:trPr>
          <w:cantSplit/>
        </w:trPr>
        <w:tc>
          <w:tcPr>
            <w:tcBorders/>
            <w:tcW w:w="2355" w:type="dxa"/>
          </w:tcPr>
          <w:p>
            <w:pPr>
              <w:pStyle w:val="922"/>
              <w:pBdr/>
              <w:spacing/>
              <w:ind/>
              <w:rPr/>
            </w:pPr>
            <w:r>
              <w:t xml:space="preserve">Autorización (Security)</w:t>
            </w:r>
            <w:r/>
          </w:p>
        </w:tc>
        <w:tc>
          <w:tcPr>
            <w:tcBorders/>
            <w:tcW w:w="2772" w:type="dxa"/>
          </w:tcPr>
          <w:p>
            <w:pPr>
              <w:pStyle w:val="922"/>
              <w:pBdr/>
              <w:spacing/>
              <w:ind/>
              <w:rPr/>
            </w:pPr>
            <w:r>
              <w:t xml:space="preserve">Middleware / Policies / Gates</w:t>
            </w:r>
            <w:r/>
          </w:p>
        </w:tc>
        <w:tc>
          <w:tcPr>
            <w:tcBorders/>
            <w:tcW w:w="4277" w:type="dxa"/>
          </w:tcPr>
          <w:p>
            <w:pPr>
              <w:pStyle w:val="922"/>
              <w:pBdr/>
              <w:spacing/>
              <w:ind/>
              <w:rPr/>
            </w:pPr>
            <w:r>
              <w:t xml:space="preserve">Control de acceso basado en roles (RBAC), validación de contexto (ej. un delegado solo edita su club) y protección CSRF</w:t>
            </w:r>
            <w:r/>
          </w:p>
        </w:tc>
      </w:tr>
      <w:tr>
        <w:trPr>
          <w:cantSplit/>
        </w:trPr>
        <w:tc>
          <w:tcPr>
            <w:tcBorders/>
            <w:tcW w:w="2355" w:type="dxa"/>
          </w:tcPr>
          <w:p>
            <w:pPr>
              <w:pStyle w:val="922"/>
              <w:pBdr/>
              <w:spacing/>
              <w:ind/>
              <w:rPr/>
            </w:pPr>
            <w:r>
              <w:t xml:space="preserve">HTTP y Ruteo</w:t>
            </w:r>
            <w:r/>
          </w:p>
        </w:tc>
        <w:tc>
          <w:tcPr>
            <w:tcBorders/>
            <w:tcW w:w="2772" w:type="dxa"/>
          </w:tcPr>
          <w:p>
            <w:pPr>
              <w:pStyle w:val="922"/>
              <w:pBdr/>
              <w:spacing/>
              <w:ind/>
              <w:rPr/>
            </w:pPr>
            <w:r>
              <w:t xml:space="preserve">Controllers / Form Requests</w:t>
            </w:r>
            <w:r/>
          </w:p>
        </w:tc>
        <w:tc>
          <w:tcPr>
            <w:tcBorders/>
            <w:tcW w:w="4277" w:type="dxa"/>
          </w:tcPr>
          <w:p>
            <w:pPr>
              <w:pStyle w:val="922"/>
              <w:pBdr/>
              <w:spacing/>
              <w:ind/>
              <w:rPr/>
            </w:pPr>
            <w:r>
              <w:t xml:space="preserve">Gestión de endpoints, validación de entrada de datos (tipos, longitudes) y sanitización</w:t>
            </w:r>
            <w:r/>
          </w:p>
        </w:tc>
      </w:tr>
      <w:tr>
        <w:trPr>
          <w:cantSplit/>
        </w:trPr>
        <w:tc>
          <w:tcPr>
            <w:tcBorders/>
            <w:tcW w:w="2355" w:type="dxa"/>
          </w:tcPr>
          <w:p>
            <w:pPr>
              <w:pStyle w:val="922"/>
              <w:pBdr/>
              <w:spacing/>
              <w:ind/>
              <w:rPr/>
            </w:pPr>
            <w:r>
              <w:t xml:space="preserve">Aplicación (Use Cases)</w:t>
            </w:r>
            <w:r/>
          </w:p>
        </w:tc>
        <w:tc>
          <w:tcPr>
            <w:tcBorders/>
            <w:tcW w:w="2772" w:type="dxa"/>
          </w:tcPr>
          <w:p>
            <w:pPr>
              <w:pStyle w:val="922"/>
              <w:pBdr/>
              <w:spacing/>
              <w:ind/>
              <w:rPr/>
            </w:pPr>
            <w:r>
              <w:t xml:space="preserve">Services / Actions</w:t>
            </w:r>
            <w:r/>
          </w:p>
        </w:tc>
        <w:tc>
          <w:tcPr>
            <w:tcBorders/>
            <w:tcW w:w="4277" w:type="dxa"/>
          </w:tcPr>
          <w:p>
            <w:pPr>
              <w:pStyle w:val="922"/>
              <w:pBdr/>
              <w:spacing/>
              <w:ind/>
              <w:rPr/>
            </w:pPr>
            <w:r>
              <w:t xml:space="preserve">Ejecución de casos de uso transaccionales complejos (ej. DarDeAltaJugadorService)</w:t>
            </w:r>
            <w:r/>
          </w:p>
        </w:tc>
      </w:tr>
      <w:tr>
        <w:trPr>
          <w:cantSplit/>
        </w:trPr>
        <w:tc>
          <w:tcPr>
            <w:tcBorders/>
            <w:tcW w:w="2355" w:type="dxa"/>
          </w:tcPr>
          <w:p>
            <w:pPr>
              <w:pStyle w:val="922"/>
              <w:pBdr/>
              <w:spacing/>
              <w:ind/>
              <w:rPr/>
            </w:pPr>
            <w:r>
              <w:t xml:space="preserve">Dominio (Business Logic)</w:t>
            </w:r>
            <w:r/>
          </w:p>
        </w:tc>
        <w:tc>
          <w:tcPr>
            <w:tcBorders/>
            <w:tcW w:w="2772" w:type="dxa"/>
          </w:tcPr>
          <w:p>
            <w:pPr>
              <w:pStyle w:val="922"/>
              <w:pBdr/>
              <w:spacing/>
              <w:ind/>
              <w:rPr/>
            </w:pPr>
            <w:r>
              <w:t xml:space="preserve">Rules / Policies / Engines</w:t>
            </w:r>
            <w:r/>
          </w:p>
        </w:tc>
        <w:tc>
          <w:tcPr>
            <w:tcBorders/>
            <w:tcW w:w="4277" w:type="dxa"/>
          </w:tcPr>
          <w:p>
            <w:pPr>
              <w:pStyle w:val="922"/>
              <w:pBdr/>
              <w:spacing/>
              <w:ind/>
              <w:rPr/>
            </w:pPr>
            <w:r>
              <w:t xml:space="preserve">Aislamiento de las reglas deportivas y disciplinarias puras (ej. ReglaSaltoCategoria)</w:t>
            </w:r>
            <w:r/>
          </w:p>
        </w:tc>
      </w:tr>
      <w:tr>
        <w:trPr>
          <w:cantSplit/>
        </w:trPr>
        <w:tc>
          <w:tcPr>
            <w:tcBorders/>
            <w:tcW w:w="2355" w:type="dxa"/>
          </w:tcPr>
          <w:p>
            <w:pPr>
              <w:pStyle w:val="922"/>
              <w:pBdr/>
              <w:spacing/>
              <w:ind/>
              <w:rPr/>
            </w:pPr>
            <w:r>
              <w:t xml:space="preserve">Fixture Engine</w:t>
            </w:r>
            <w:r/>
          </w:p>
        </w:tc>
        <w:tc>
          <w:tcPr>
            <w:tcBorders/>
            <w:tcW w:w="2772" w:type="dxa"/>
          </w:tcPr>
          <w:p>
            <w:pPr>
              <w:pStyle w:val="922"/>
              <w:pBdr/>
              <w:spacing/>
              <w:ind/>
              <w:rPr/>
            </w:pPr>
            <w:r>
              <w:t xml:space="preserve">FixtureService + Constraint Engine</w:t>
            </w:r>
            <w:r/>
          </w:p>
        </w:tc>
        <w:tc>
          <w:tcPr>
            <w:tcBorders/>
            <w:tcW w:w="4277" w:type="dxa"/>
          </w:tcPr>
          <w:p>
            <w:pPr>
              <w:pStyle w:val="922"/>
              <w:pBdr/>
              <w:spacing/>
              <w:ind/>
              <w:rPr/>
            </w:pPr>
            <w:r>
              <w:t xml:space="preserve">Módulo algorítmico independiente para generar enfrentamientos evaluando restricciones y preferencias</w:t>
            </w:r>
            <w:r/>
          </w:p>
        </w:tc>
      </w:tr>
      <w:tr>
        <w:trPr>
          <w:cantSplit/>
        </w:trPr>
        <w:tc>
          <w:tcPr>
            <w:tcBorders/>
            <w:tcW w:w="2355" w:type="dxa"/>
          </w:tcPr>
          <w:p>
            <w:pPr>
              <w:pStyle w:val="922"/>
              <w:pBdr/>
              <w:spacing/>
              <w:ind/>
              <w:rPr/>
            </w:pPr>
            <w:r>
              <w:t xml:space="preserve">Persistencia (Datos)</w:t>
            </w:r>
            <w:r/>
          </w:p>
        </w:tc>
        <w:tc>
          <w:tcPr>
            <w:tcBorders/>
            <w:tcW w:w="2772" w:type="dxa"/>
          </w:tcPr>
          <w:p>
            <w:pPr>
              <w:pStyle w:val="922"/>
              <w:pBdr/>
              <w:spacing/>
              <w:ind/>
              <w:rPr/>
            </w:pPr>
            <w:r>
              <w:t xml:space="preserve">Eloquent ORM + MariaDB</w:t>
            </w:r>
            <w:r/>
          </w:p>
        </w:tc>
        <w:tc>
          <w:tcPr>
            <w:tcBorders/>
            <w:tcW w:w="4277" w:type="dxa"/>
          </w:tcPr>
          <w:p>
            <w:pPr>
              <w:pStyle w:val="922"/>
              <w:pBdr/>
              <w:spacing/>
              <w:ind/>
              <w:rPr/>
            </w:pPr>
            <w:r>
              <w:t xml:space="preserve">Mapeo objeto-relacional, gestión de migraciones y ejecución de transacciones seguras (ACID)</w:t>
            </w:r>
            <w:r/>
          </w:p>
        </w:tc>
      </w:tr>
      <w:tr>
        <w:trPr>
          <w:cantSplit/>
        </w:trPr>
        <w:tc>
          <w:tcPr>
            <w:tcBorders/>
            <w:tcW w:w="2355" w:type="dxa"/>
          </w:tcPr>
          <w:p>
            <w:pPr>
              <w:pStyle w:val="922"/>
              <w:pBdr/>
              <w:spacing/>
              <w:ind/>
              <w:rPr/>
            </w:pPr>
            <w:r>
              <w:t xml:space="preserve">Documentos (Storage)</w:t>
            </w:r>
            <w:r/>
          </w:p>
        </w:tc>
        <w:tc>
          <w:tcPr>
            <w:tcBorders/>
            <w:tcW w:w="2772" w:type="dxa"/>
          </w:tcPr>
          <w:p>
            <w:pPr>
              <w:pStyle w:val="922"/>
              <w:pBdr/>
              <w:spacing/>
              <w:ind/>
              <w:rPr/>
            </w:pPr>
            <w:r>
              <w:t xml:space="preserve">Laravel Storage (Disco Privado)</w:t>
            </w:r>
            <w:r/>
          </w:p>
        </w:tc>
        <w:tc>
          <w:tcPr>
            <w:tcBorders/>
            <w:tcW w:w="4277" w:type="dxa"/>
          </w:tcPr>
          <w:p>
            <w:pPr>
              <w:pStyle w:val="922"/>
              <w:pBdr/>
              <w:spacing/>
              <w:ind/>
              <w:rPr/>
            </w:pPr>
            <w:r>
              <w:t xml:space="preserve">Almacenamiento seguro, aislado de URLs públicas, para resguardar INEs, CURPs, firmas y cartas de venta</w:t>
            </w:r>
            <w:r/>
          </w:p>
        </w:tc>
      </w:tr>
      <w:tr>
        <w:trPr>
          <w:cantSplit/>
        </w:trPr>
        <w:tc>
          <w:tcPr>
            <w:tcBorders/>
            <w:tcW w:w="2355" w:type="dxa"/>
          </w:tcPr>
          <w:p>
            <w:pPr>
              <w:pStyle w:val="922"/>
              <w:pBdr/>
              <w:spacing/>
              <w:ind/>
              <w:rPr/>
            </w:pPr>
            <w:r>
              <w:t xml:space="preserve">Observabilidad</w:t>
            </w:r>
            <w:r/>
          </w:p>
        </w:tc>
        <w:tc>
          <w:tcPr>
            <w:tcBorders/>
            <w:tcW w:w="2772" w:type="dxa"/>
          </w:tcPr>
          <w:p>
            <w:pPr>
              <w:pStyle w:val="922"/>
              <w:pBdr/>
              <w:spacing/>
              <w:ind/>
              <w:rPr/>
            </w:pPr>
            <w:r>
              <w:t xml:space="preserve">Logs + Audit Service</w:t>
            </w:r>
            <w:r/>
          </w:p>
        </w:tc>
        <w:tc>
          <w:tcPr>
            <w:tcBorders/>
            <w:tcW w:w="4277" w:type="dxa"/>
          </w:tcPr>
          <w:p>
            <w:pPr>
              <w:pStyle w:val="922"/>
              <w:pBdr/>
              <w:spacing/>
              <w:ind/>
              <w:rPr/>
            </w:pPr>
            <w:r>
              <w:t xml:space="preserve">Registro de errores técnicos, captura de eventos críticos de negocio y soporte a la tabla de trazabilidad</w:t>
            </w:r>
            <w:r/>
          </w:p>
        </w:tc>
      </w:tr>
      <w:tr>
        <w:trPr>
          <w:cantSplit/>
        </w:trPr>
        <w:tc>
          <w:tcPr>
            <w:tcBorders/>
            <w:tcW w:w="2355" w:type="dxa"/>
          </w:tcPr>
          <w:p>
            <w:pPr>
              <w:pStyle w:val="922"/>
              <w:pBdr/>
              <w:spacing/>
              <w:ind/>
              <w:rPr/>
            </w:pPr>
            <w:r>
              <w:t xml:space="preserve">Infraestructura (Despliegue Ágil) -&gt; por definir</w:t>
            </w:r>
            <w:r/>
          </w:p>
        </w:tc>
        <w:tc>
          <w:tcPr>
            <w:tcBorders/>
            <w:tcW w:w="2772" w:type="dxa"/>
          </w:tcPr>
          <w:p>
            <w:pPr>
              <w:pStyle w:val="922"/>
              <w:pBdr/>
              <w:spacing/>
              <w:ind/>
              <w:rPr/>
            </w:pPr>
            <w:r>
              <w:t xml:space="preserve">Servidor local PHP + MariaDB + Ngrok / Cloudflare Tunnels</w:t>
            </w:r>
            <w:r/>
          </w:p>
        </w:tc>
        <w:tc>
          <w:tcPr>
            <w:tcBorders/>
            <w:tcW w:w="4277" w:type="dxa"/>
          </w:tcPr>
          <w:p>
            <w:pPr>
              <w:pStyle w:val="922"/>
              <w:pBdr/>
              <w:spacing/>
              <w:ind/>
              <w:rPr/>
            </w:pPr>
            <w:r>
              <w:t xml:space="preserve">Alojamiento del entorno de pruebas alojado localmente y expuesto a internet mediante un túnel seguro cifrado (https).</w:t>
            </w:r>
            <w:r/>
          </w:p>
          <w:p>
            <w:pPr>
              <w:pStyle w:val="922"/>
              <w:pBdr/>
              <w:spacing/>
              <w:ind/>
              <w:rPr/>
            </w:pPr>
            <w:r>
              <w:t xml:space="preserve">Permite revisiones semanales de los Sprint a costo cero y sin latencia de despliegue</w:t>
            </w:r>
            <w:r/>
          </w:p>
        </w:tc>
      </w:tr>
    </w:tbl>
    <w:p>
      <w:pPr>
        <w:pBdr/>
        <w:spacing w:after="60" w:before="0"/>
        <w:ind/>
        <w:rPr/>
      </w:pPr>
      <w:r/>
      <w:r/>
    </w:p>
    <w:p>
      <w:pPr>
        <w:pStyle w:val="915"/>
        <w:pageBreakBefore w:val="true"/>
        <w:pBdr/>
        <w:spacing/>
        <w:ind/>
        <w:rPr/>
      </w:pPr>
      <w:r/>
      <w:bookmarkStart w:id="50" w:name="_Toc100050"/>
      <w:r>
        <w:t xml:space="preserve">Anexo A. Matriz de trazabilidad de requisitos funcionales</w:t>
      </w:r>
      <w:bookmarkEnd w:id="50"/>
      <w:r/>
      <w:r/>
    </w:p>
    <w:p>
      <w:pPr>
        <w:keepNext w:val="true"/>
        <w:pBdr/>
        <w:spacing/>
        <w:ind/>
        <w:rPr/>
      </w:pPr>
      <w:r>
        <w:t xml:space="preserve">Relaciona cada requisito funcional con el proceso de la Liga al que corresponde (propuesta del equipo), el caso de uso crítico del documento base y el actor principal. Donde el documento base no define un caso de uso, se indica «Por definir».</w:t>
      </w:r>
      <w:r/>
    </w:p>
    <w:p>
      <w:pPr>
        <w:pStyle w:val="923"/>
        <w:keepNext w:val="true"/>
        <w:pBdr/>
        <w:spacing/>
        <w:ind/>
        <w:rPr/>
      </w:pPr>
      <w:r>
        <w:rPr>
          <w:b/>
          <w:bCs/>
          <w:color w:val="241a61"/>
          <w:sz w:val="18"/>
          <w:szCs w:val="18"/>
        </w:rPr>
        <w:t xml:space="preserve">Tabla 17. </w:t>
      </w:r>
      <w:r>
        <w:rPr>
          <w:sz w:val="18"/>
          <w:szCs w:val="18"/>
        </w:rPr>
        <w:t xml:space="preserve">Matriz de trazabilidad de requisitos funcionales.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106"/>
        <w:gridCol w:w="3135"/>
        <w:gridCol w:w="2950"/>
        <w:gridCol w:w="2213"/>
      </w:tblGrid>
      <w:tr>
        <w:trPr>
          <w:cantSplit/>
          <w:tblHeader/>
        </w:trPr>
        <w:tc>
          <w:tcPr>
            <w:shd w:val="clear" w:color="auto" w:fill="241a61"/>
            <w:tcBorders/>
            <w:tcW w:w="1106" w:type="dxa"/>
          </w:tcPr>
          <w:p>
            <w:pPr>
              <w:pStyle w:val="922"/>
              <w:pBdr/>
              <w:spacing/>
              <w:ind/>
              <w:rPr/>
            </w:pPr>
            <w:r>
              <w:rPr>
                <w:b/>
                <w:bCs/>
                <w:color w:val="ffffff"/>
              </w:rPr>
              <w:t xml:space="preserve">RF</w:t>
            </w:r>
            <w:r/>
          </w:p>
        </w:tc>
        <w:tc>
          <w:tcPr>
            <w:shd w:val="clear" w:color="auto" w:fill="241a61"/>
            <w:tcBorders/>
            <w:tcW w:w="3135" w:type="dxa"/>
          </w:tcPr>
          <w:p>
            <w:pPr>
              <w:pStyle w:val="922"/>
              <w:pBdr/>
              <w:spacing/>
              <w:ind/>
              <w:rPr/>
            </w:pPr>
            <w:r>
              <w:rPr>
                <w:b/>
                <w:bCs/>
                <w:color w:val="ffffff"/>
              </w:rPr>
              <w:t xml:space="preserve">Proceso de la Liga</w:t>
            </w:r>
            <w:r/>
          </w:p>
        </w:tc>
        <w:tc>
          <w:tcPr>
            <w:shd w:val="clear" w:color="auto" w:fill="241a61"/>
            <w:tcBorders/>
            <w:tcW w:w="2950" w:type="dxa"/>
          </w:tcPr>
          <w:p>
            <w:pPr>
              <w:pStyle w:val="922"/>
              <w:pBdr/>
              <w:spacing/>
              <w:ind/>
              <w:rPr/>
            </w:pPr>
            <w:r>
              <w:rPr>
                <w:b/>
                <w:bCs/>
                <w:color w:val="ffffff"/>
              </w:rPr>
              <w:t xml:space="preserve">Caso de uso</w:t>
            </w:r>
            <w:r/>
          </w:p>
        </w:tc>
        <w:tc>
          <w:tcPr>
            <w:shd w:val="clear" w:color="auto" w:fill="241a61"/>
            <w:tcBorders/>
            <w:tcW w:w="2213" w:type="dxa"/>
          </w:tcPr>
          <w:p>
            <w:pPr>
              <w:pStyle w:val="922"/>
              <w:pBdr/>
              <w:spacing/>
              <w:ind/>
              <w:rPr/>
            </w:pPr>
            <w:r>
              <w:rPr>
                <w:b/>
                <w:bCs/>
                <w:color w:val="ffffff"/>
              </w:rPr>
              <w:t xml:space="preserve">Actor principal</w:t>
            </w:r>
            <w:r/>
          </w:p>
        </w:tc>
      </w:tr>
      <w:tr>
        <w:trPr>
          <w:cantSplit/>
        </w:trPr>
        <w:tc>
          <w:tcPr>
            <w:shd w:val="clear" w:color="auto" w:fill="f3f2f8"/>
            <w:tcBorders/>
            <w:tcW w:w="1106" w:type="dxa"/>
          </w:tcPr>
          <w:p>
            <w:pPr>
              <w:pStyle w:val="922"/>
              <w:pBdr/>
              <w:spacing/>
              <w:ind/>
              <w:rPr/>
            </w:pPr>
            <w:r>
              <w:rPr>
                <w:b/>
                <w:bCs/>
              </w:rPr>
              <w:t xml:space="preserve">RF-01</w:t>
            </w:r>
            <w:r/>
          </w:p>
        </w:tc>
        <w:tc>
          <w:tcPr>
            <w:tcBorders/>
            <w:tcW w:w="3135" w:type="dxa"/>
          </w:tcPr>
          <w:p>
            <w:pPr>
              <w:pStyle w:val="922"/>
              <w:pBdr/>
              <w:spacing/>
              <w:ind/>
              <w:rPr/>
            </w:pPr>
            <w:r>
              <w:t xml:space="preserve">Paso 1. Convocatoria / temporada</w:t>
            </w:r>
            <w:r/>
          </w:p>
        </w:tc>
        <w:tc>
          <w:tcPr>
            <w:tcBorders/>
            <w:tcW w:w="2950" w:type="dxa"/>
          </w:tcPr>
          <w:p>
            <w:pPr>
              <w:pStyle w:val="922"/>
              <w:pBdr/>
              <w:spacing/>
              <w:ind/>
              <w:rPr/>
            </w:pPr>
            <w:r>
              <w:t xml:space="preserve">Registrar temporada</w:t>
            </w:r>
            <w:r/>
          </w:p>
        </w:tc>
        <w:tc>
          <w:tcPr>
            <w:tcBorders/>
            <w:tcW w:w="2213" w:type="dxa"/>
          </w:tcPr>
          <w:p>
            <w:pPr>
              <w:pStyle w:val="922"/>
              <w:pBdr/>
              <w:spacing/>
              <w:ind/>
              <w:rPr/>
            </w:pPr>
            <w:r>
              <w:t xml:space="preserve">Administrador, Secretario</w:t>
            </w:r>
            <w:r/>
          </w:p>
        </w:tc>
      </w:tr>
      <w:tr>
        <w:trPr>
          <w:cantSplit/>
        </w:trPr>
        <w:tc>
          <w:tcPr>
            <w:shd w:val="clear" w:color="auto" w:fill="f3f2f8"/>
            <w:tcBorders/>
            <w:tcW w:w="1106" w:type="dxa"/>
          </w:tcPr>
          <w:p>
            <w:pPr>
              <w:pStyle w:val="922"/>
              <w:pBdr/>
              <w:spacing/>
              <w:ind/>
              <w:rPr/>
            </w:pPr>
            <w:r>
              <w:rPr>
                <w:b/>
                <w:bCs/>
              </w:rPr>
              <w:t xml:space="preserve">RF-02</w:t>
            </w:r>
            <w:r/>
          </w:p>
        </w:tc>
        <w:tc>
          <w:tcPr>
            <w:tcBorders/>
            <w:tcW w:w="3135" w:type="dxa"/>
          </w:tcPr>
          <w:p>
            <w:pPr>
              <w:pStyle w:val="922"/>
              <w:pBdr/>
              <w:spacing/>
              <w:ind/>
              <w:rPr/>
            </w:pPr>
            <w:r>
              <w:t xml:space="preserve">Paso 4. Estructura deportiva</w:t>
            </w:r>
            <w:r/>
          </w:p>
        </w:tc>
        <w:tc>
          <w:tcPr>
            <w:tcBorders/>
            <w:tcW w:w="2950" w:type="dxa"/>
          </w:tcPr>
          <w:p>
            <w:pPr>
              <w:pStyle w:val="922"/>
              <w:pBdr/>
              <w:spacing/>
              <w:ind/>
              <w:rPr/>
            </w:pPr>
            <w:r>
              <w:t xml:space="preserve">Configurar categoría/grupo</w:t>
            </w:r>
            <w:r/>
          </w:p>
        </w:tc>
        <w:tc>
          <w:tcPr>
            <w:tcBorders/>
            <w:tcW w:w="2213" w:type="dxa"/>
          </w:tcPr>
          <w:p>
            <w:pPr>
              <w:pStyle w:val="922"/>
              <w:pBdr/>
              <w:spacing/>
              <w:ind/>
              <w:rPr/>
            </w:pPr>
            <w:r>
              <w:t xml:space="preserve">Administrador</w:t>
            </w:r>
            <w:r/>
          </w:p>
        </w:tc>
      </w:tr>
      <w:tr>
        <w:trPr>
          <w:cantSplit/>
        </w:trPr>
        <w:tc>
          <w:tcPr>
            <w:shd w:val="clear" w:color="auto" w:fill="f3f2f8"/>
            <w:tcBorders/>
            <w:tcW w:w="1106" w:type="dxa"/>
          </w:tcPr>
          <w:p>
            <w:pPr>
              <w:pStyle w:val="922"/>
              <w:pBdr/>
              <w:spacing/>
              <w:ind/>
              <w:rPr/>
            </w:pPr>
            <w:r>
              <w:rPr>
                <w:b/>
                <w:bCs/>
              </w:rPr>
              <w:t xml:space="preserve">RF-03</w:t>
            </w:r>
            <w:r/>
          </w:p>
        </w:tc>
        <w:tc>
          <w:tcPr>
            <w:tcBorders/>
            <w:tcW w:w="3135" w:type="dxa"/>
          </w:tcPr>
          <w:p>
            <w:pPr>
              <w:pStyle w:val="922"/>
              <w:pBdr/>
              <w:spacing/>
              <w:ind/>
              <w:rPr/>
            </w:pPr>
            <w:r>
              <w:t xml:space="preserve">Paso 2. Alta de club y equipos</w:t>
            </w:r>
            <w:r/>
          </w:p>
        </w:tc>
        <w:tc>
          <w:tcPr>
            <w:tcBorders/>
            <w:tcW w:w="2950" w:type="dxa"/>
          </w:tcPr>
          <w:p>
            <w:pPr>
              <w:pStyle w:val="922"/>
              <w:pBdr/>
              <w:spacing/>
              <w:ind/>
              <w:rPr/>
            </w:pPr>
            <w:r>
              <w:t xml:space="preserve">Registrar club/equipo</w:t>
            </w:r>
            <w:r/>
          </w:p>
        </w:tc>
        <w:tc>
          <w:tcPr>
            <w:tcBorders/>
            <w:tcW w:w="2213" w:type="dxa"/>
          </w:tcPr>
          <w:p>
            <w:pPr>
              <w:pStyle w:val="922"/>
              <w:pBdr/>
              <w:spacing/>
              <w:ind/>
              <w:rPr/>
            </w:pPr>
            <w:r>
              <w:t xml:space="preserve">Delegado de club, Secretario</w:t>
            </w:r>
            <w:r/>
          </w:p>
        </w:tc>
      </w:tr>
      <w:tr>
        <w:trPr>
          <w:cantSplit/>
        </w:trPr>
        <w:tc>
          <w:tcPr>
            <w:shd w:val="clear" w:color="auto" w:fill="f3f2f8"/>
            <w:tcBorders/>
            <w:tcW w:w="1106" w:type="dxa"/>
          </w:tcPr>
          <w:p>
            <w:pPr>
              <w:pStyle w:val="922"/>
              <w:pBdr/>
              <w:spacing/>
              <w:ind/>
              <w:rPr/>
            </w:pPr>
            <w:r>
              <w:rPr>
                <w:b/>
                <w:bCs/>
              </w:rPr>
              <w:t xml:space="preserve">RF-04</w:t>
            </w:r>
            <w:r/>
          </w:p>
        </w:tc>
        <w:tc>
          <w:tcPr>
            <w:tcBorders/>
            <w:tcW w:w="3135" w:type="dxa"/>
          </w:tcPr>
          <w:p>
            <w:pPr>
              <w:pStyle w:val="922"/>
              <w:pBdr/>
              <w:spacing/>
              <w:ind/>
              <w:rPr/>
            </w:pPr>
            <w:r>
              <w:t xml:space="preserve">Paso 3. Registro y habilitación de jugadores</w:t>
            </w:r>
            <w:r/>
          </w:p>
        </w:tc>
        <w:tc>
          <w:tcPr>
            <w:tcBorders/>
            <w:tcW w:w="2950" w:type="dxa"/>
          </w:tcPr>
          <w:p>
            <w:pPr>
              <w:pStyle w:val="922"/>
              <w:pBdr/>
              <w:spacing/>
              <w:ind/>
              <w:rPr/>
            </w:pPr>
            <w:r>
              <w:t xml:space="preserve">Registrar jugador</w:t>
            </w:r>
            <w:r/>
          </w:p>
        </w:tc>
        <w:tc>
          <w:tcPr>
            <w:tcBorders/>
            <w:tcW w:w="2213" w:type="dxa"/>
          </w:tcPr>
          <w:p>
            <w:pPr>
              <w:pStyle w:val="922"/>
              <w:pBdr/>
              <w:spacing/>
              <w:ind/>
              <w:rPr/>
            </w:pPr>
            <w:r>
              <w:t xml:space="preserve">Delegado de club, Secretario</w:t>
            </w:r>
            <w:r/>
          </w:p>
        </w:tc>
      </w:tr>
      <w:tr>
        <w:trPr>
          <w:cantSplit/>
        </w:trPr>
        <w:tc>
          <w:tcPr>
            <w:shd w:val="clear" w:color="auto" w:fill="f3f2f8"/>
            <w:tcBorders/>
            <w:tcW w:w="1106" w:type="dxa"/>
          </w:tcPr>
          <w:p>
            <w:pPr>
              <w:pStyle w:val="922"/>
              <w:pBdr/>
              <w:spacing/>
              <w:ind/>
              <w:rPr/>
            </w:pPr>
            <w:r>
              <w:rPr>
                <w:b/>
                <w:bCs/>
              </w:rPr>
              <w:t xml:space="preserve">RF-05</w:t>
            </w:r>
            <w:r/>
          </w:p>
        </w:tc>
        <w:tc>
          <w:tcPr>
            <w:tcBorders/>
            <w:tcW w:w="3135" w:type="dxa"/>
          </w:tcPr>
          <w:p>
            <w:pPr>
              <w:pStyle w:val="922"/>
              <w:pBdr/>
              <w:spacing/>
              <w:ind/>
              <w:rPr/>
            </w:pPr>
            <w:r>
              <w:t xml:space="preserve">Proceso transversal: canchas y disponibilidad</w:t>
            </w:r>
            <w:r/>
          </w:p>
        </w:tc>
        <w:tc>
          <w:tcPr>
            <w:tcBorders/>
            <w:tcW w:w="2950" w:type="dxa"/>
          </w:tcPr>
          <w:p>
            <w:pPr>
              <w:pStyle w:val="922"/>
              <w:pBdr/>
              <w:spacing/>
              <w:ind/>
              <w:rPr/>
            </w:pPr>
            <w:r>
              <w:t xml:space="preserve">Registrar cancha</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RF-06</w:t>
            </w:r>
            <w:r/>
          </w:p>
        </w:tc>
        <w:tc>
          <w:tcPr>
            <w:tcBorders/>
            <w:tcW w:w="3135" w:type="dxa"/>
          </w:tcPr>
          <w:p>
            <w:pPr>
              <w:pStyle w:val="922"/>
              <w:pBdr/>
              <w:spacing/>
              <w:ind/>
              <w:rPr/>
            </w:pPr>
            <w:r>
              <w:t xml:space="preserve">Paso 5. Programación semanal</w:t>
            </w:r>
            <w:r/>
          </w:p>
        </w:tc>
        <w:tc>
          <w:tcPr>
            <w:tcBorders/>
            <w:tcW w:w="2950" w:type="dxa"/>
          </w:tcPr>
          <w:p>
            <w:pPr>
              <w:pStyle w:val="922"/>
              <w:pBdr/>
              <w:spacing/>
              <w:ind/>
              <w:rPr/>
            </w:pPr>
            <w:r>
              <w:t xml:space="preserve">Publicar programación</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RF-07</w:t>
            </w:r>
            <w:r/>
          </w:p>
        </w:tc>
        <w:tc>
          <w:tcPr>
            <w:tcBorders/>
            <w:tcW w:w="3135" w:type="dxa"/>
          </w:tcPr>
          <w:p>
            <w:pPr>
              <w:pStyle w:val="922"/>
              <w:pBdr/>
              <w:spacing/>
              <w:ind/>
              <w:rPr/>
            </w:pPr>
            <w:r>
              <w:t xml:space="preserve">Paso 5. Programación semanal</w:t>
            </w:r>
            <w:r/>
          </w:p>
        </w:tc>
        <w:tc>
          <w:tcPr>
            <w:tcBorders/>
            <w:tcW w:w="2950" w:type="dxa"/>
          </w:tcPr>
          <w:p>
            <w:pPr>
              <w:pStyle w:val="922"/>
              <w:pBdr/>
              <w:spacing/>
              <w:ind/>
              <w:rPr/>
            </w:pPr>
            <w:r>
              <w:t xml:space="preserve">Generar programación</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RF-08</w:t>
            </w:r>
            <w:r/>
          </w:p>
        </w:tc>
        <w:tc>
          <w:tcPr>
            <w:tcBorders/>
            <w:tcW w:w="3135" w:type="dxa"/>
          </w:tcPr>
          <w:p>
            <w:pPr>
              <w:pStyle w:val="922"/>
              <w:pBdr/>
              <w:spacing/>
              <w:ind/>
              <w:rPr/>
            </w:pPr>
            <w:r>
              <w:t xml:space="preserve">Pasos 6 y 7. Partido y cédula arbitral</w:t>
            </w:r>
            <w:r/>
          </w:p>
        </w:tc>
        <w:tc>
          <w:tcPr>
            <w:tcBorders/>
            <w:tcW w:w="2950" w:type="dxa"/>
          </w:tcPr>
          <w:p>
            <w:pPr>
              <w:pStyle w:val="922"/>
              <w:pBdr/>
              <w:spacing/>
              <w:ind/>
              <w:rPr/>
            </w:pPr>
            <w:r>
              <w:t xml:space="preserve">Registrar resultado; Capturar cédula</w:t>
            </w:r>
            <w:r/>
          </w:p>
        </w:tc>
        <w:tc>
          <w:tcPr>
            <w:tcBorders/>
            <w:tcW w:w="2213" w:type="dxa"/>
          </w:tcPr>
          <w:p>
            <w:pPr>
              <w:pStyle w:val="922"/>
              <w:pBdr/>
              <w:spacing/>
              <w:ind/>
              <w:rPr/>
            </w:pPr>
            <w:r>
              <w:t xml:space="preserve">Árbitro, Capturista</w:t>
            </w:r>
            <w:r/>
          </w:p>
        </w:tc>
      </w:tr>
      <w:tr>
        <w:trPr>
          <w:cantSplit/>
        </w:trPr>
        <w:tc>
          <w:tcPr>
            <w:shd w:val="clear" w:color="auto" w:fill="f3f2f8"/>
            <w:tcBorders/>
            <w:tcW w:w="1106" w:type="dxa"/>
          </w:tcPr>
          <w:p>
            <w:pPr>
              <w:pStyle w:val="922"/>
              <w:pBdr/>
              <w:spacing/>
              <w:ind/>
              <w:rPr/>
            </w:pPr>
            <w:r>
              <w:rPr>
                <w:b/>
                <w:bCs/>
              </w:rPr>
              <w:t xml:space="preserve">RF-09</w:t>
            </w:r>
            <w:r/>
          </w:p>
        </w:tc>
        <w:tc>
          <w:tcPr>
            <w:tcBorders/>
            <w:tcW w:w="3135" w:type="dxa"/>
          </w:tcPr>
          <w:p>
            <w:pPr>
              <w:pStyle w:val="922"/>
              <w:pBdr/>
              <w:spacing/>
              <w:ind/>
              <w:rPr/>
            </w:pPr>
            <w:r>
              <w:t xml:space="preserve">Paso 8. Resultados y estadísticas</w:t>
            </w:r>
            <w:r/>
          </w:p>
        </w:tc>
        <w:tc>
          <w:tcPr>
            <w:tcBorders/>
            <w:tcW w:w="2950" w:type="dxa"/>
          </w:tcPr>
          <w:p>
            <w:pPr>
              <w:pStyle w:val="922"/>
              <w:pBdr/>
              <w:spacing/>
              <w:ind/>
              <w:rPr/>
            </w:pPr>
            <w:r>
              <w:t xml:space="preserve">Calcular tabla</w:t>
            </w:r>
            <w:r/>
          </w:p>
        </w:tc>
        <w:tc>
          <w:tcPr>
            <w:tcBorders/>
            <w:tcW w:w="2213" w:type="dxa"/>
          </w:tcPr>
          <w:p>
            <w:pPr>
              <w:pStyle w:val="922"/>
              <w:pBdr/>
              <w:spacing/>
              <w:ind/>
              <w:rPr/>
            </w:pPr>
            <w:r>
              <w:t xml:space="preserve">Capturista, Sistema</w:t>
            </w:r>
            <w:r/>
          </w:p>
        </w:tc>
      </w:tr>
      <w:tr>
        <w:trPr>
          <w:cantSplit/>
        </w:trPr>
        <w:tc>
          <w:tcPr>
            <w:shd w:val="clear" w:color="auto" w:fill="f3f2f8"/>
            <w:tcBorders/>
            <w:tcW w:w="1106" w:type="dxa"/>
          </w:tcPr>
          <w:p>
            <w:pPr>
              <w:pStyle w:val="922"/>
              <w:pBdr/>
              <w:spacing/>
              <w:ind/>
              <w:rPr/>
            </w:pPr>
            <w:r>
              <w:rPr>
                <w:b/>
                <w:bCs/>
              </w:rPr>
              <w:t xml:space="preserve">RF-10</w:t>
            </w:r>
            <w:r/>
          </w:p>
        </w:tc>
        <w:tc>
          <w:tcPr>
            <w:tcBorders/>
            <w:tcW w:w="3135" w:type="dxa"/>
          </w:tcPr>
          <w:p>
            <w:pPr>
              <w:pStyle w:val="922"/>
              <w:pBdr/>
              <w:spacing/>
              <w:ind/>
              <w:rPr/>
            </w:pPr>
            <w:r>
              <w:t xml:space="preserve">Paso 10. Disciplina e inconformidades</w:t>
            </w:r>
            <w:r/>
          </w:p>
        </w:tc>
        <w:tc>
          <w:tcPr>
            <w:tcBorders/>
            <w:tcW w:w="2950" w:type="dxa"/>
          </w:tcPr>
          <w:p>
            <w:pPr>
              <w:pStyle w:val="922"/>
              <w:pBdr/>
              <w:spacing/>
              <w:ind/>
              <w:rPr/>
            </w:pPr>
            <w:r>
              <w:t xml:space="preserve">Resolver sanción; Publicar castigados; Resolver recurso</w:t>
            </w:r>
            <w:r/>
          </w:p>
        </w:tc>
        <w:tc>
          <w:tcPr>
            <w:tcBorders/>
            <w:tcW w:w="2213" w:type="dxa"/>
          </w:tcPr>
          <w:p>
            <w:pPr>
              <w:pStyle w:val="922"/>
              <w:pBdr/>
              <w:spacing/>
              <w:ind/>
              <w:rPr/>
            </w:pPr>
            <w:r>
              <w:t xml:space="preserve">Comisión Disciplinaria</w:t>
            </w:r>
            <w:r/>
          </w:p>
        </w:tc>
      </w:tr>
      <w:tr>
        <w:trPr>
          <w:cantSplit/>
        </w:trPr>
        <w:tc>
          <w:tcPr>
            <w:shd w:val="clear" w:color="auto" w:fill="f3f2f8"/>
            <w:tcBorders/>
            <w:tcW w:w="1106" w:type="dxa"/>
          </w:tcPr>
          <w:p>
            <w:pPr>
              <w:pStyle w:val="922"/>
              <w:pBdr/>
              <w:spacing/>
              <w:ind/>
              <w:rPr/>
            </w:pPr>
            <w:r>
              <w:rPr>
                <w:b/>
                <w:bCs/>
              </w:rPr>
              <w:t xml:space="preserve">RF-11</w:t>
            </w:r>
            <w:r/>
          </w:p>
        </w:tc>
        <w:tc>
          <w:tcPr>
            <w:tcBorders/>
            <w:tcW w:w="3135" w:type="dxa"/>
          </w:tcPr>
          <w:p>
            <w:pPr>
              <w:pStyle w:val="922"/>
              <w:pBdr/>
              <w:spacing/>
              <w:ind/>
              <w:rPr/>
            </w:pPr>
            <w:r>
              <w:t xml:space="preserve">Pasos 12 y 13. Liguilla y cierre de temporada</w:t>
            </w:r>
            <w:r/>
          </w:p>
        </w:tc>
        <w:tc>
          <w:tcPr>
            <w:tcBorders/>
            <w:tcW w:w="2950" w:type="dxa"/>
          </w:tcPr>
          <w:p>
            <w:pPr>
              <w:pStyle w:val="922"/>
              <w:pBdr/>
              <w:spacing/>
              <w:ind/>
              <w:rPr/>
            </w:pPr>
            <w:r>
              <w:t xml:space="preserve">Determinar clasificación/ascenso/descenso</w:t>
            </w:r>
            <w:r/>
          </w:p>
        </w:tc>
        <w:tc>
          <w:tcPr>
            <w:tcBorders/>
            <w:tcW w:w="2213" w:type="dxa"/>
          </w:tcPr>
          <w:p>
            <w:pPr>
              <w:pStyle w:val="922"/>
              <w:pBdr/>
              <w:spacing/>
              <w:ind/>
              <w:rPr/>
            </w:pPr>
            <w:r>
              <w:t xml:space="preserve">Comité Ejecutivo</w:t>
            </w:r>
            <w:r/>
          </w:p>
        </w:tc>
      </w:tr>
      <w:tr>
        <w:trPr>
          <w:cantSplit/>
        </w:trPr>
        <w:tc>
          <w:tcPr>
            <w:shd w:val="clear" w:color="auto" w:fill="f3f2f8"/>
            <w:tcBorders/>
            <w:tcW w:w="1106" w:type="dxa"/>
          </w:tcPr>
          <w:p>
            <w:pPr>
              <w:pStyle w:val="922"/>
              <w:pBdr/>
              <w:spacing/>
              <w:ind/>
              <w:rPr/>
            </w:pPr>
            <w:r>
              <w:rPr>
                <w:b/>
                <w:bCs/>
              </w:rPr>
              <w:t xml:space="preserve">RF-12</w:t>
            </w:r>
            <w:r/>
          </w:p>
        </w:tc>
        <w:tc>
          <w:tcPr>
            <w:tcBorders/>
            <w:tcW w:w="3135" w:type="dxa"/>
          </w:tcPr>
          <w:p>
            <w:pPr>
              <w:pStyle w:val="922"/>
              <w:pBdr/>
              <w:spacing/>
              <w:ind/>
              <w:rPr/>
            </w:pPr>
            <w:r>
              <w:t xml:space="preserve">Auditoría y trazabilidad; portal público</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Administrador general, Usuario público</w:t>
            </w:r>
            <w:r/>
          </w:p>
        </w:tc>
      </w:tr>
      <w:tr>
        <w:trPr>
          <w:cantSplit/>
        </w:trPr>
        <w:tc>
          <w:tcPr>
            <w:shd w:val="clear" w:color="auto" w:fill="f3f2f8"/>
            <w:tcBorders/>
            <w:tcW w:w="1106" w:type="dxa"/>
          </w:tcPr>
          <w:p>
            <w:pPr>
              <w:pStyle w:val="922"/>
              <w:pBdr/>
              <w:spacing/>
              <w:ind/>
              <w:rPr/>
            </w:pPr>
            <w:r>
              <w:rPr>
                <w:b/>
                <w:bCs/>
              </w:rPr>
              <w:t xml:space="preserve">RF-13</w:t>
            </w:r>
            <w:r/>
          </w:p>
        </w:tc>
        <w:tc>
          <w:tcPr>
            <w:tcBorders/>
            <w:tcW w:w="3135" w:type="dxa"/>
          </w:tcPr>
          <w:p>
            <w:pPr>
              <w:pStyle w:val="922"/>
              <w:pBdr/>
              <w:spacing/>
              <w:ind/>
              <w:rPr/>
            </w:pPr>
            <w:r>
              <w:t xml:space="preserve">Proceso transversal: tesorería y pagos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Tesorero</w:t>
            </w:r>
            <w:r/>
          </w:p>
        </w:tc>
      </w:tr>
      <w:tr>
        <w:trPr>
          <w:cantSplit/>
        </w:trPr>
        <w:tc>
          <w:tcPr>
            <w:shd w:val="clear" w:color="auto" w:fill="f3f2f8"/>
            <w:tcBorders/>
            <w:tcW w:w="1106" w:type="dxa"/>
          </w:tcPr>
          <w:p>
            <w:pPr>
              <w:pStyle w:val="922"/>
              <w:pBdr/>
              <w:spacing/>
              <w:ind/>
              <w:rPr/>
            </w:pPr>
            <w:r>
              <w:rPr>
                <w:b/>
                <w:bCs/>
              </w:rPr>
              <w:t xml:space="preserve">RF-14</w:t>
            </w:r>
            <w:r/>
          </w:p>
        </w:tc>
        <w:tc>
          <w:tcPr>
            <w:tcBorders/>
            <w:tcW w:w="3135" w:type="dxa"/>
          </w:tcPr>
          <w:p>
            <w:pPr>
              <w:pStyle w:val="922"/>
              <w:pBdr/>
              <w:spacing/>
              <w:ind/>
              <w:rPr/>
            </w:pPr>
            <w:r>
              <w:t xml:space="preserve">Proceso transversal: asambleas y acuerdos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w:t>
            </w:r>
            <w:r/>
          </w:p>
        </w:tc>
      </w:tr>
      <w:tr>
        <w:trPr>
          <w:cantSplit/>
        </w:trPr>
        <w:tc>
          <w:tcPr>
            <w:shd w:val="clear" w:color="auto" w:fill="f3f2f8"/>
            <w:tcBorders/>
            <w:tcW w:w="1106" w:type="dxa"/>
          </w:tcPr>
          <w:p>
            <w:pPr>
              <w:pStyle w:val="922"/>
              <w:pBdr/>
              <w:spacing/>
              <w:ind/>
              <w:rPr/>
            </w:pPr>
            <w:r>
              <w:rPr>
                <w:b/>
                <w:bCs/>
              </w:rPr>
              <w:t xml:space="preserve">RF-15</w:t>
            </w:r>
            <w:r/>
          </w:p>
        </w:tc>
        <w:tc>
          <w:tcPr>
            <w:tcBorders/>
            <w:tcW w:w="3135" w:type="dxa"/>
          </w:tcPr>
          <w:p>
            <w:pPr>
              <w:pStyle w:val="922"/>
              <w:pBdr/>
              <w:spacing/>
              <w:ind/>
              <w:rPr/>
            </w:pPr>
            <w:r>
              <w:t xml:space="preserve">Proceso transversal: notificaciones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 Tesorero, Sistema</w:t>
            </w:r>
            <w:r/>
          </w:p>
        </w:tc>
      </w:tr>
      <w:tr>
        <w:trPr>
          <w:cantSplit/>
        </w:trPr>
        <w:tc>
          <w:tcPr>
            <w:shd w:val="clear" w:color="auto" w:fill="f3f2f8"/>
            <w:tcBorders/>
            <w:tcW w:w="1106" w:type="dxa"/>
          </w:tcPr>
          <w:p>
            <w:pPr>
              <w:pStyle w:val="922"/>
              <w:pBdr/>
              <w:spacing/>
              <w:ind/>
              <w:rPr/>
            </w:pPr>
            <w:r>
              <w:rPr>
                <w:b/>
                <w:bCs/>
              </w:rPr>
              <w:t xml:space="preserve">RF-16</w:t>
            </w:r>
            <w:r/>
          </w:p>
        </w:tc>
        <w:tc>
          <w:tcPr>
            <w:tcBorders/>
            <w:tcW w:w="3135" w:type="dxa"/>
          </w:tcPr>
          <w:p>
            <w:pPr>
              <w:pStyle w:val="922"/>
              <w:pBdr/>
              <w:spacing/>
              <w:ind/>
              <w:rPr/>
            </w:pPr>
            <w:r>
              <w:t xml:space="preserve">Proceso transversal: reportes y difusión</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 Tesorero, Programador de partidos</w:t>
            </w:r>
            <w:r/>
          </w:p>
        </w:tc>
      </w:tr>
    </w:tbl>
    <w:p>
      <w:pPr>
        <w:pBdr/>
        <w:spacing w:after="60" w:before="0"/>
        <w:ind/>
        <w:rPr/>
      </w:pPr>
      <w:r/>
      <w:r/>
    </w:p>
    <w:p>
      <w:pPr>
        <w:pStyle w:val="915"/>
        <w:pBdr/>
        <w:spacing/>
        <w:ind/>
        <w:rPr/>
      </w:pPr>
      <w:r/>
      <w:bookmarkStart w:id="51" w:name="_Toc100051"/>
      <w:r>
        <w:t xml:space="preserve">Anexo B. Puntos por validar con la Liga</w:t>
      </w:r>
      <w:bookmarkEnd w:id="51"/>
      <w:r/>
      <w:r/>
    </w:p>
    <w:p>
      <w:pPr>
        <w:keepNext w:val="true"/>
        <w:pBdr/>
        <w:spacing/>
        <w:ind/>
        <w:rPr/>
      </w:pPr>
      <w:r>
        <w:t xml:space="preserve">Lo que las fuentes (convocatorias, programación oficial y reglamentos de referencia) no definen de forma explícita no se convierte en requisito definitivo hasta confirmarlo con la Liga. Mientras tanto, se usa el supuesto de trabajo indicado.</w:t>
      </w:r>
      <w:r/>
    </w:p>
    <w:p>
      <w:pPr>
        <w:pStyle w:val="923"/>
        <w:keepNext w:val="true"/>
        <w:pBdr/>
        <w:spacing/>
        <w:ind/>
        <w:rPr/>
      </w:pPr>
      <w:r>
        <w:rPr>
          <w:b/>
          <w:bCs/>
          <w:color w:val="241a61"/>
          <w:sz w:val="18"/>
          <w:szCs w:val="18"/>
        </w:rPr>
        <w:t xml:space="preserve">Tabla 18. </w:t>
      </w:r>
      <w:r>
        <w:rPr>
          <w:sz w:val="18"/>
          <w:szCs w:val="18"/>
        </w:rPr>
        <w:t xml:space="preserve">Puntos por validar con la Liga.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553"/>
        <w:gridCol w:w="3688"/>
        <w:gridCol w:w="1475"/>
        <w:gridCol w:w="3688"/>
      </w:tblGrid>
      <w:tr>
        <w:trPr>
          <w:cantSplit/>
          <w:tblHeader/>
        </w:trPr>
        <w:tc>
          <w:tcPr>
            <w:shd w:val="clear" w:color="auto" w:fill="241a61"/>
            <w:tcBorders/>
            <w:tcW w:w="553" w:type="dxa"/>
          </w:tcPr>
          <w:p>
            <w:pPr>
              <w:pStyle w:val="922"/>
              <w:pBdr/>
              <w:spacing/>
              <w:ind/>
              <w:rPr/>
            </w:pPr>
            <w:r>
              <w:rPr>
                <w:b/>
                <w:bCs/>
                <w:color w:val="ffffff"/>
              </w:rPr>
              <w:t xml:space="preserve">#</w:t>
            </w:r>
            <w:r/>
          </w:p>
        </w:tc>
        <w:tc>
          <w:tcPr>
            <w:shd w:val="clear" w:color="auto" w:fill="241a61"/>
            <w:tcBorders/>
            <w:tcW w:w="3688" w:type="dxa"/>
          </w:tcPr>
          <w:p>
            <w:pPr>
              <w:pStyle w:val="922"/>
              <w:pBdr/>
              <w:spacing/>
              <w:ind/>
              <w:rPr/>
            </w:pPr>
            <w:r>
              <w:rPr>
                <w:b/>
                <w:bCs/>
                <w:color w:val="ffffff"/>
              </w:rPr>
              <w:t xml:space="preserve">Pregunta por validar</w:t>
            </w:r>
            <w:r/>
          </w:p>
        </w:tc>
        <w:tc>
          <w:tcPr>
            <w:shd w:val="clear" w:color="auto" w:fill="241a61"/>
            <w:tcBorders/>
            <w:tcW w:w="1475" w:type="dxa"/>
          </w:tcPr>
          <w:p>
            <w:pPr>
              <w:pStyle w:val="922"/>
              <w:pBdr/>
              <w:spacing/>
              <w:ind/>
              <w:rPr/>
            </w:pPr>
            <w:r>
              <w:rPr>
                <w:b/>
                <w:bCs/>
                <w:color w:val="ffffff"/>
              </w:rPr>
              <w:t xml:space="preserve">RF</w:t>
            </w:r>
            <w:r/>
          </w:p>
        </w:tc>
        <w:tc>
          <w:tcPr>
            <w:shd w:val="clear" w:color="auto" w:fill="241a61"/>
            <w:tcBorders/>
            <w:tcW w:w="3688" w:type="dxa"/>
          </w:tcPr>
          <w:p>
            <w:pPr>
              <w:pStyle w:val="922"/>
              <w:pBdr/>
              <w:spacing/>
              <w:ind/>
              <w:rPr/>
            </w:pPr>
            <w:r>
              <w:rPr>
                <w:b/>
                <w:bCs/>
                <w:color w:val="ffffff"/>
              </w:rPr>
              <w:t xml:space="preserve">Supuesto de trabajo</w:t>
            </w:r>
            <w:r/>
          </w:p>
        </w:tc>
      </w:tr>
      <w:tr>
        <w:trPr>
          <w:cantSplit/>
        </w:trPr>
        <w:tc>
          <w:tcPr>
            <w:tcBorders/>
            <w:tcW w:w="553" w:type="dxa"/>
          </w:tcPr>
          <w:p>
            <w:pPr>
              <w:pStyle w:val="922"/>
              <w:pBdr/>
              <w:spacing/>
              <w:ind/>
              <w:rPr/>
            </w:pPr>
            <w:r>
              <w:t xml:space="preserve">1</w:t>
            </w:r>
            <w:r/>
          </w:p>
        </w:tc>
        <w:tc>
          <w:tcPr>
            <w:tcBorders/>
            <w:tcW w:w="3688" w:type="dxa"/>
          </w:tcPr>
          <w:p>
            <w:pPr>
              <w:pStyle w:val="922"/>
              <w:pBdr/>
              <w:spacing/>
              <w:ind/>
              <w:rPr/>
            </w:pPr>
            <w:r>
              <w:t xml:space="preserve">¿Quién crea y quién aprueba la programación?</w:t>
            </w:r>
            <w:r/>
          </w:p>
        </w:tc>
        <w:tc>
          <w:tcPr>
            <w:tcBorders/>
            <w:tcW w:w="1475" w:type="dxa"/>
          </w:tcPr>
          <w:p>
            <w:pPr>
              <w:pStyle w:val="922"/>
              <w:pBdr/>
              <w:spacing/>
              <w:ind/>
              <w:rPr/>
            </w:pPr>
            <w:r>
              <w:t xml:space="preserve">RF-06, RF-07</w:t>
            </w:r>
            <w:r/>
          </w:p>
        </w:tc>
        <w:tc>
          <w:tcPr>
            <w:tcBorders/>
            <w:tcW w:w="3688" w:type="dxa"/>
          </w:tcPr>
          <w:p>
            <w:pPr>
              <w:pStyle w:val="922"/>
              <w:pBdr/>
              <w:spacing/>
              <w:ind/>
              <w:rPr/>
            </w:pPr>
            <w:r>
              <w:t xml:space="preserve">Un programador la crea y el Comité Ejecutivo la aprueba antes de publicarla.</w:t>
            </w:r>
            <w:r/>
          </w:p>
        </w:tc>
      </w:tr>
      <w:tr>
        <w:trPr>
          <w:cantSplit/>
        </w:trPr>
        <w:tc>
          <w:tcPr>
            <w:tcBorders/>
            <w:tcW w:w="553" w:type="dxa"/>
          </w:tcPr>
          <w:p>
            <w:pPr>
              <w:pStyle w:val="922"/>
              <w:pBdr/>
              <w:spacing/>
              <w:ind/>
              <w:rPr/>
            </w:pPr>
            <w:r>
              <w:t xml:space="preserve">2</w:t>
            </w:r>
            <w:r/>
          </w:p>
        </w:tc>
        <w:tc>
          <w:tcPr>
            <w:tcBorders/>
            <w:tcW w:w="3688" w:type="dxa"/>
          </w:tcPr>
          <w:p>
            <w:pPr>
              <w:pStyle w:val="922"/>
              <w:pBdr/>
              <w:spacing/>
              <w:ind/>
              <w:rPr/>
            </w:pPr>
            <w:r>
              <w:t xml:space="preserve">¿Qué datos son obligatorios para poder programar un partido?</w:t>
            </w:r>
            <w:r/>
          </w:p>
        </w:tc>
        <w:tc>
          <w:tcPr>
            <w:tcBorders/>
            <w:tcW w:w="1475" w:type="dxa"/>
          </w:tcPr>
          <w:p>
            <w:pPr>
              <w:pStyle w:val="922"/>
              <w:pBdr/>
              <w:spacing/>
              <w:ind/>
              <w:rPr/>
            </w:pPr>
            <w:r>
              <w:t xml:space="preserve">RF-06</w:t>
            </w:r>
            <w:r/>
          </w:p>
        </w:tc>
        <w:tc>
          <w:tcPr>
            <w:tcBorders/>
            <w:tcW w:w="3688" w:type="dxa"/>
          </w:tcPr>
          <w:p>
            <w:pPr>
              <w:pStyle w:val="922"/>
              <w:pBdr/>
              <w:spacing/>
              <w:ind/>
              <w:rPr/>
            </w:pPr>
            <w:r>
              <w:t xml:space="preserve">Equipos, categoría/grupo, cancha disponible, fecha y hora.</w:t>
            </w:r>
            <w:r/>
          </w:p>
        </w:tc>
      </w:tr>
      <w:tr>
        <w:trPr>
          <w:cantSplit/>
        </w:trPr>
        <w:tc>
          <w:tcPr>
            <w:tcBorders/>
            <w:tcW w:w="553" w:type="dxa"/>
          </w:tcPr>
          <w:p>
            <w:pPr>
              <w:pStyle w:val="922"/>
              <w:pBdr/>
              <w:spacing/>
              <w:ind/>
              <w:rPr/>
            </w:pPr>
            <w:r>
              <w:t xml:space="preserve">3</w:t>
            </w:r>
            <w:r/>
          </w:p>
        </w:tc>
        <w:tc>
          <w:tcPr>
            <w:tcBorders/>
            <w:tcW w:w="3688" w:type="dxa"/>
          </w:tcPr>
          <w:p>
            <w:pPr>
              <w:pStyle w:val="922"/>
              <w:pBdr/>
              <w:spacing/>
              <w:ind/>
              <w:rPr/>
            </w:pPr>
            <w:r>
              <w:t xml:space="preserve">¿Qué ocurre con los partidos ya programados si se bloquea una cancha?</w:t>
            </w:r>
            <w:r/>
          </w:p>
        </w:tc>
        <w:tc>
          <w:tcPr>
            <w:tcBorders/>
            <w:tcW w:w="1475" w:type="dxa"/>
          </w:tcPr>
          <w:p>
            <w:pPr>
              <w:pStyle w:val="922"/>
              <w:pBdr/>
              <w:spacing/>
              <w:ind/>
              <w:rPr/>
            </w:pPr>
            <w:r>
              <w:t xml:space="preserve">RF-05, RF-06</w:t>
            </w:r>
            <w:r/>
          </w:p>
        </w:tc>
        <w:tc>
          <w:tcPr>
            <w:tcBorders/>
            <w:tcW w:w="3688" w:type="dxa"/>
          </w:tcPr>
          <w:p>
            <w:pPr>
              <w:pStyle w:val="922"/>
              <w:pBdr/>
              <w:spacing/>
              <w:ind/>
              <w:rPr/>
            </w:pPr>
            <w:r>
              <w:t xml:space="preserve">El sistema avisa y el partido pasa a reprogramación manual.</w:t>
            </w:r>
            <w:r/>
          </w:p>
        </w:tc>
      </w:tr>
      <w:tr>
        <w:trPr>
          <w:cantSplit/>
        </w:trPr>
        <w:tc>
          <w:tcPr>
            <w:tcBorders/>
            <w:tcW w:w="553" w:type="dxa"/>
          </w:tcPr>
          <w:p>
            <w:pPr>
              <w:pStyle w:val="922"/>
              <w:pBdr/>
              <w:spacing/>
              <w:ind/>
              <w:rPr/>
            </w:pPr>
            <w:r>
              <w:t xml:space="preserve">4</w:t>
            </w:r>
            <w:r/>
          </w:p>
        </w:tc>
        <w:tc>
          <w:tcPr>
            <w:tcBorders/>
            <w:tcW w:w="3688" w:type="dxa"/>
          </w:tcPr>
          <w:p>
            <w:pPr>
              <w:pStyle w:val="922"/>
              <w:pBdr/>
              <w:spacing/>
              <w:ind/>
              <w:rPr/>
            </w:pPr>
            <w:r>
              <w:t xml:space="preserve">¿Quién puede modificar un resultado ya capturado?</w:t>
            </w:r>
            <w:r/>
          </w:p>
        </w:tc>
        <w:tc>
          <w:tcPr>
            <w:tcBorders/>
            <w:tcW w:w="1475" w:type="dxa"/>
          </w:tcPr>
          <w:p>
            <w:pPr>
              <w:pStyle w:val="922"/>
              <w:pBdr/>
              <w:spacing/>
              <w:ind/>
              <w:rPr/>
            </w:pPr>
            <w:r>
              <w:t xml:space="preserve">RF-08</w:t>
            </w:r>
            <w:r/>
          </w:p>
        </w:tc>
        <w:tc>
          <w:tcPr>
            <w:tcBorders/>
            <w:tcW w:w="3688" w:type="dxa"/>
          </w:tcPr>
          <w:p>
            <w:pPr>
              <w:pStyle w:val="922"/>
              <w:pBdr/>
              <w:spacing/>
              <w:ind/>
              <w:rPr/>
            </w:pPr>
            <w:r>
              <w:t xml:space="preserve">Solo un usuario autorizado distinto del capturista, con auditoría.</w:t>
            </w:r>
            <w:r/>
          </w:p>
        </w:tc>
      </w:tr>
      <w:tr>
        <w:trPr>
          <w:cantSplit/>
        </w:trPr>
        <w:tc>
          <w:tcPr>
            <w:tcBorders/>
            <w:tcW w:w="553" w:type="dxa"/>
          </w:tcPr>
          <w:p>
            <w:pPr>
              <w:pStyle w:val="922"/>
              <w:pBdr/>
              <w:spacing/>
              <w:ind/>
              <w:rPr/>
            </w:pPr>
            <w:r>
              <w:t xml:space="preserve">5</w:t>
            </w:r>
            <w:r/>
          </w:p>
        </w:tc>
        <w:tc>
          <w:tcPr>
            <w:tcBorders/>
            <w:tcW w:w="3688" w:type="dxa"/>
          </w:tcPr>
          <w:p>
            <w:pPr>
              <w:pStyle w:val="922"/>
              <w:pBdr/>
              <w:spacing/>
              <w:ind/>
              <w:rPr/>
            </w:pPr>
            <w:r>
              <w:t xml:space="preserve">¿Cuándo un resultado se considera oficial?</w:t>
            </w:r>
            <w:r/>
          </w:p>
        </w:tc>
        <w:tc>
          <w:tcPr>
            <w:tcBorders/>
            <w:tcW w:w="1475" w:type="dxa"/>
          </w:tcPr>
          <w:p>
            <w:pPr>
              <w:pStyle w:val="922"/>
              <w:pBdr/>
              <w:spacing/>
              <w:ind/>
              <w:rPr/>
            </w:pPr>
            <w:r>
              <w:t xml:space="preserve">RF-08, RF-09</w:t>
            </w:r>
            <w:r/>
          </w:p>
        </w:tc>
        <w:tc>
          <w:tcPr>
            <w:tcBorders/>
            <w:tcW w:w="3688" w:type="dxa"/>
          </w:tcPr>
          <w:p>
            <w:pPr>
              <w:pStyle w:val="922"/>
              <w:pBdr/>
              <w:spacing/>
              <w:ind/>
              <w:rPr/>
            </w:pPr>
            <w:r>
              <w:t xml:space="preserve">Al ser validado; solo entonces actualiza la tabla.</w:t>
            </w:r>
            <w:r/>
          </w:p>
        </w:tc>
      </w:tr>
      <w:tr>
        <w:trPr>
          <w:cantSplit/>
        </w:trPr>
        <w:tc>
          <w:tcPr>
            <w:tcBorders/>
            <w:tcW w:w="553" w:type="dxa"/>
          </w:tcPr>
          <w:p>
            <w:pPr>
              <w:pStyle w:val="922"/>
              <w:pBdr/>
              <w:spacing/>
              <w:ind/>
              <w:rPr/>
            </w:pPr>
            <w:r>
              <w:t xml:space="preserve">6</w:t>
            </w:r>
            <w:r/>
          </w:p>
        </w:tc>
        <w:tc>
          <w:tcPr>
            <w:tcBorders/>
            <w:tcW w:w="3688" w:type="dxa"/>
          </w:tcPr>
          <w:p>
            <w:pPr>
              <w:pStyle w:val="922"/>
              <w:pBdr/>
              <w:spacing/>
              <w:ind/>
              <w:rPr/>
            </w:pPr>
            <w:r>
              <w:t xml:space="preserve">¿Quién resuelve las sanciones?</w:t>
            </w:r>
            <w:r/>
          </w:p>
        </w:tc>
        <w:tc>
          <w:tcPr>
            <w:tcBorders/>
            <w:tcW w:w="1475" w:type="dxa"/>
          </w:tcPr>
          <w:p>
            <w:pPr>
              <w:pStyle w:val="922"/>
              <w:pBdr/>
              <w:spacing/>
              <w:ind/>
              <w:rPr/>
            </w:pPr>
            <w:r>
              <w:t xml:space="preserve">RF-10</w:t>
            </w:r>
            <w:r/>
          </w:p>
        </w:tc>
        <w:tc>
          <w:tcPr>
            <w:tcBorders/>
            <w:tcW w:w="3688" w:type="dxa"/>
          </w:tcPr>
          <w:p>
            <w:pPr>
              <w:pStyle w:val="922"/>
              <w:pBdr/>
              <w:spacing/>
              <w:ind/>
              <w:rPr/>
            </w:pPr>
            <w:r>
              <w:t xml:space="preserve">La Comisión Disciplinaria.</w:t>
            </w:r>
            <w:r/>
          </w:p>
        </w:tc>
      </w:tr>
      <w:tr>
        <w:trPr>
          <w:cantSplit/>
        </w:trPr>
        <w:tc>
          <w:tcPr>
            <w:tcBorders/>
            <w:tcW w:w="553" w:type="dxa"/>
          </w:tcPr>
          <w:p>
            <w:pPr>
              <w:pStyle w:val="922"/>
              <w:pBdr/>
              <w:spacing/>
              <w:ind/>
              <w:rPr/>
            </w:pPr>
            <w:r>
              <w:t xml:space="preserve">7</w:t>
            </w:r>
            <w:r/>
          </w:p>
        </w:tc>
        <w:tc>
          <w:tcPr>
            <w:tcBorders/>
            <w:tcW w:w="3688" w:type="dxa"/>
          </w:tcPr>
          <w:p>
            <w:pPr>
              <w:pStyle w:val="922"/>
              <w:pBdr/>
              <w:spacing/>
              <w:ind/>
              <w:rPr/>
            </w:pPr>
            <w:r>
              <w:t xml:space="preserve">¿Qué sanciones son públicas?</w:t>
            </w:r>
            <w:r/>
          </w:p>
        </w:tc>
        <w:tc>
          <w:tcPr>
            <w:tcBorders/>
            <w:tcW w:w="1475" w:type="dxa"/>
          </w:tcPr>
          <w:p>
            <w:pPr>
              <w:pStyle w:val="922"/>
              <w:pBdr/>
              <w:spacing/>
              <w:ind/>
              <w:rPr/>
            </w:pPr>
            <w:r>
              <w:t xml:space="preserve">RF-10, RF-12</w:t>
            </w:r>
            <w:r/>
          </w:p>
        </w:tc>
        <w:tc>
          <w:tcPr>
            <w:tcBorders/>
            <w:tcW w:w="3688" w:type="dxa"/>
          </w:tcPr>
          <w:p>
            <w:pPr>
              <w:pStyle w:val="922"/>
              <w:pBdr/>
              <w:spacing/>
              <w:ind/>
              <w:rPr/>
            </w:pPr>
            <w:r>
              <w:t xml:space="preserve">Solo las resoluciones autorizadas para publicación.</w:t>
            </w:r>
            <w:r/>
          </w:p>
        </w:tc>
      </w:tr>
      <w:tr>
        <w:trPr>
          <w:cantSplit/>
        </w:trPr>
        <w:tc>
          <w:tcPr>
            <w:tcBorders/>
            <w:tcW w:w="553" w:type="dxa"/>
          </w:tcPr>
          <w:p>
            <w:pPr>
              <w:pStyle w:val="922"/>
              <w:pBdr/>
              <w:spacing/>
              <w:ind/>
              <w:rPr/>
            </w:pPr>
            <w:r>
              <w:t xml:space="preserve">8</w:t>
            </w:r>
            <w:r/>
          </w:p>
        </w:tc>
        <w:tc>
          <w:tcPr>
            <w:tcBorders/>
            <w:tcW w:w="3688" w:type="dxa"/>
          </w:tcPr>
          <w:p>
            <w:pPr>
              <w:pStyle w:val="922"/>
              <w:pBdr/>
              <w:spacing/>
              <w:ind/>
              <w:rPr/>
            </w:pPr>
            <w:r>
              <w:t xml:space="preserve">¿Cómo se presentan las inconformidades y los recursos, y en qué plazos?</w:t>
            </w:r>
            <w:r/>
          </w:p>
        </w:tc>
        <w:tc>
          <w:tcPr>
            <w:tcBorders/>
            <w:tcW w:w="1475" w:type="dxa"/>
          </w:tcPr>
          <w:p>
            <w:pPr>
              <w:pStyle w:val="922"/>
              <w:pBdr/>
              <w:spacing/>
              <w:ind/>
              <w:rPr/>
            </w:pPr>
            <w:r>
              <w:t xml:space="preserve">RF-10</w:t>
            </w:r>
            <w:r/>
          </w:p>
        </w:tc>
        <w:tc>
          <w:tcPr>
            <w:tcBorders/>
            <w:tcW w:w="3688" w:type="dxa"/>
          </w:tcPr>
          <w:p>
            <w:pPr>
              <w:pStyle w:val="922"/>
              <w:pBdr/>
              <w:spacing/>
              <w:ind/>
              <w:rPr/>
            </w:pPr>
            <w:r>
              <w:t xml:space="preserve">Se registran en el sistema y reabren el expediente; plazos por definir.</w:t>
            </w:r>
            <w:r/>
          </w:p>
        </w:tc>
      </w:tr>
      <w:tr>
        <w:trPr>
          <w:cantSplit/>
        </w:trPr>
        <w:tc>
          <w:tcPr>
            <w:tcBorders/>
            <w:tcW w:w="553" w:type="dxa"/>
          </w:tcPr>
          <w:p>
            <w:pPr>
              <w:pStyle w:val="922"/>
              <w:pBdr/>
              <w:spacing/>
              <w:ind/>
              <w:rPr/>
            </w:pPr>
            <w:r>
              <w:t xml:space="preserve">9</w:t>
            </w:r>
            <w:r/>
          </w:p>
        </w:tc>
        <w:tc>
          <w:tcPr>
            <w:tcBorders/>
            <w:tcW w:w="3688" w:type="dxa"/>
          </w:tcPr>
          <w:p>
            <w:pPr>
              <w:pStyle w:val="922"/>
              <w:pBdr/>
              <w:spacing/>
              <w:ind/>
              <w:rPr/>
            </w:pPr>
            <w:r>
              <w:t xml:space="preserve">¿Qué criterios de desempate aplican?</w:t>
            </w:r>
            <w:r/>
          </w:p>
        </w:tc>
        <w:tc>
          <w:tcPr>
            <w:tcBorders/>
            <w:tcW w:w="1475" w:type="dxa"/>
          </w:tcPr>
          <w:p>
            <w:pPr>
              <w:pStyle w:val="922"/>
              <w:pBdr/>
              <w:spacing/>
              <w:ind/>
              <w:rPr/>
            </w:pPr>
            <w:r>
              <w:t xml:space="preserve">RF-09, RF-11</w:t>
            </w:r>
            <w:r/>
          </w:p>
        </w:tc>
        <w:tc>
          <w:tcPr>
            <w:tcBorders/>
            <w:tcW w:w="3688" w:type="dxa"/>
          </w:tcPr>
          <w:p>
            <w:pPr>
              <w:pStyle w:val="922"/>
              <w:pBdr/>
              <w:spacing/>
              <w:ind/>
              <w:rPr/>
            </w:pPr>
            <w:r>
              <w:t xml:space="preserve">Configurables por temporada.</w:t>
            </w:r>
            <w:r/>
          </w:p>
        </w:tc>
      </w:tr>
      <w:tr>
        <w:trPr>
          <w:cantSplit/>
        </w:trPr>
        <w:tc>
          <w:tcPr>
            <w:tcBorders/>
            <w:tcW w:w="553" w:type="dxa"/>
          </w:tcPr>
          <w:p>
            <w:pPr>
              <w:pStyle w:val="922"/>
              <w:pBdr/>
              <w:spacing/>
              <w:ind/>
              <w:rPr/>
            </w:pPr>
            <w:r>
              <w:t xml:space="preserve">10</w:t>
            </w:r>
            <w:r/>
          </w:p>
        </w:tc>
        <w:tc>
          <w:tcPr>
            <w:tcBorders/>
            <w:tcW w:w="3688" w:type="dxa"/>
          </w:tcPr>
          <w:p>
            <w:pPr>
              <w:pStyle w:val="922"/>
              <w:pBdr/>
              <w:spacing/>
              <w:ind/>
              <w:rPr/>
            </w:pPr>
            <w:r>
              <w:t xml:space="preserve">¿Qué impide ascender o descender a un equipo? ¿Qué excepciones existen?</w:t>
            </w:r>
            <w:r/>
          </w:p>
        </w:tc>
        <w:tc>
          <w:tcPr>
            <w:tcBorders/>
            <w:tcW w:w="1475" w:type="dxa"/>
          </w:tcPr>
          <w:p>
            <w:pPr>
              <w:pStyle w:val="922"/>
              <w:pBdr/>
              <w:spacing/>
              <w:ind/>
              <w:rPr/>
            </w:pPr>
            <w:r>
              <w:t xml:space="preserve">RF-11</w:t>
            </w:r>
            <w:r/>
          </w:p>
        </w:tc>
        <w:tc>
          <w:tcPr>
            <w:tcBorders/>
            <w:tcW w:w="3688" w:type="dxa"/>
          </w:tcPr>
          <w:p>
            <w:pPr>
              <w:pStyle w:val="922"/>
              <w:pBdr/>
              <w:spacing/>
              <w:ind/>
              <w:rPr/>
            </w:pPr>
            <w:r>
              <w:t xml:space="preserve">Reglas configurables por convocatoria; lo ambiguo requiere validación humana.</w:t>
            </w:r>
            <w:r/>
          </w:p>
        </w:tc>
      </w:tr>
      <w:tr>
        <w:trPr>
          <w:cantSplit/>
        </w:trPr>
        <w:tc>
          <w:tcPr>
            <w:tcBorders/>
            <w:tcW w:w="553" w:type="dxa"/>
          </w:tcPr>
          <w:p>
            <w:pPr>
              <w:pStyle w:val="922"/>
              <w:pBdr/>
              <w:spacing/>
              <w:ind/>
              <w:rPr/>
            </w:pPr>
            <w:r>
              <w:t xml:space="preserve">11</w:t>
            </w:r>
            <w:r/>
          </w:p>
        </w:tc>
        <w:tc>
          <w:tcPr>
            <w:tcBorders/>
            <w:tcW w:w="3688" w:type="dxa"/>
          </w:tcPr>
          <w:p>
            <w:pPr>
              <w:pStyle w:val="922"/>
              <w:pBdr/>
              <w:spacing/>
              <w:ind/>
              <w:rPr/>
            </w:pPr>
            <w:r>
              <w:t xml:space="preserve">¿Una sanción afecta solo la participación del jugador, la programación del club o ambas?</w:t>
            </w:r>
            <w:r/>
          </w:p>
        </w:tc>
        <w:tc>
          <w:tcPr>
            <w:tcBorders/>
            <w:tcW w:w="1475" w:type="dxa"/>
          </w:tcPr>
          <w:p>
            <w:pPr>
              <w:pStyle w:val="922"/>
              <w:pBdr/>
              <w:spacing/>
              <w:ind/>
              <w:rPr/>
            </w:pPr>
            <w:r>
              <w:t xml:space="preserve">RF-04, RF-10</w:t>
            </w:r>
            <w:r/>
          </w:p>
        </w:tc>
        <w:tc>
          <w:tcPr>
            <w:tcBorders/>
            <w:tcW w:w="3688" w:type="dxa"/>
          </w:tcPr>
          <w:p>
            <w:pPr>
              <w:pStyle w:val="922"/>
              <w:pBdr/>
              <w:spacing/>
              <w:ind/>
              <w:rPr/>
            </w:pPr>
            <w:r>
              <w:t xml:space="preserve">Bloquea la participación del jugador; lo demás por definir.</w:t>
            </w:r>
            <w:r/>
          </w:p>
        </w:tc>
      </w:tr>
      <w:tr>
        <w:trPr>
          <w:cantSplit/>
        </w:trPr>
        <w:tc>
          <w:tcPr>
            <w:tcBorders/>
            <w:tcW w:w="553" w:type="dxa"/>
          </w:tcPr>
          <w:p>
            <w:pPr>
              <w:pStyle w:val="922"/>
              <w:pBdr/>
              <w:spacing/>
              <w:ind/>
              <w:rPr/>
            </w:pPr>
            <w:r>
              <w:t xml:space="preserve">12</w:t>
            </w:r>
            <w:r/>
          </w:p>
        </w:tc>
        <w:tc>
          <w:tcPr>
            <w:tcBorders/>
            <w:tcW w:w="3688" w:type="dxa"/>
          </w:tcPr>
          <w:p>
            <w:pPr>
              <w:pStyle w:val="922"/>
              <w:pBdr/>
              <w:spacing/>
              <w:ind/>
              <w:rPr/>
            </w:pPr>
            <w:r>
              <w:t xml:space="preserve">¿Qué documentos exige la Liga para registrar a un jugador?</w:t>
            </w:r>
            <w:r/>
          </w:p>
        </w:tc>
        <w:tc>
          <w:tcPr>
            <w:tcBorders/>
            <w:tcW w:w="1475" w:type="dxa"/>
          </w:tcPr>
          <w:p>
            <w:pPr>
              <w:pStyle w:val="922"/>
              <w:pBdr/>
              <w:spacing/>
              <w:ind/>
              <w:rPr/>
            </w:pPr>
            <w:r>
              <w:t xml:space="preserve">RF-04</w:t>
            </w:r>
            <w:r/>
          </w:p>
        </w:tc>
        <w:tc>
          <w:tcPr>
            <w:tcBorders/>
            <w:tcW w:w="3688" w:type="dxa"/>
          </w:tcPr>
          <w:p>
            <w:pPr>
              <w:pStyle w:val="922"/>
              <w:pBdr/>
              <w:spacing/>
              <w:ind/>
              <w:rPr/>
            </w:pPr>
            <w:r>
              <w:t xml:space="preserve">Identificación, fotografía y comprobante de cuota; lista final por definir.</w:t>
            </w:r>
            <w:r/>
          </w:p>
        </w:tc>
      </w:tr>
    </w:tbl>
    <w:p>
      <w:pPr>
        <w:pBdr/>
        <w:spacing w:after="60" w:before="0"/>
        <w:ind/>
        <w:rPr/>
      </w:pPr>
      <w:r/>
      <w:r/>
    </w:p>
    <w:sectPr>
      <w:headerReference w:type="default" r:id="rId9"/>
      <w:footerReference w:type="default" r:id="rId10"/>
      <w:footnotePr/>
      <w:endnotePr/>
      <w:type w:val="nextPage"/>
      <w:pgSz w:h="15840" w:orient="portrait" w:w="12240"/>
      <w:pgMar w:top="1418" w:right="1418" w:bottom="1276" w:left="1418" w:header="708" w:footer="567"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tabs>
        <w:tab w:val="right" w:leader="none" w:pos="9404"/>
      </w:tabs>
      <w:spacing/>
      <w:ind/>
      <w:rPr/>
    </w:pPr>
    <w:r>
      <w:rPr>
        <w:color w:val="595959"/>
        <w:sz w:val="16"/>
        <w:szCs w:val="16"/>
      </w:rPr>
      <w:t xml:space="preserve">Liga Municipal de Fútbol Amateur de Morelia, A.C.</w:t>
    </w:r>
    <w:r>
      <w:rPr>
        <w:sz w:val="16"/>
        <w:szCs w:val="16"/>
      </w:rPr>
      <w:tab/>
    </w:r>
    <w:r>
      <w:rPr>
        <w:color w:val="595959"/>
        <w:sz w:val="16"/>
        <w:szCs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 xml:space="preserve">1</w:t>
    </w:r>
    <w:r>
      <w:rPr>
        <w:color w:val="595959"/>
        <w:sz w:val="16"/>
      </w:rPr>
      <w:fldChar w:fldCharType="end"/>
    </w:r>
    <w:r>
      <w:rPr>
        <w:color w:val="595959"/>
        <w:sz w:val="16"/>
        <w:szCs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 xml:space="preserve">1</w:t>
    </w:r>
    <w:r>
      <w:rPr>
        <w:color w:val="595959"/>
        <w:sz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7"/>
      <w:pBdr>
        <w:bottom w:val="single" w:color="bfbfbf" w:sz="4" w:space="4"/>
      </w:pBdr>
      <w:spacing/>
      <w:ind/>
      <w:jc w:val="right"/>
      <w:rPr/>
    </w:pPr>
    <w:r>
      <w:rPr>
        <w:color w:val="595959"/>
        <w:sz w:val="16"/>
        <w:szCs w:val="16"/>
      </w:rPr>
      <w:t xml:space="preserve">ERS · Sistema de Gestión para la Liga Municipal de Morelia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3" w:left="567"/>
      </w:pPr>
      <w:rPr>
        <w:rFonts w:hint="default"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170" w:left="198"/>
      </w:pPr>
      <w:rPr>
        <w:rFonts w:hint="default"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lang w:val="es-MX" w:eastAsia="es-MX"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Table Grid"/>
    <w:basedOn w:val="7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9">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0">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1">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2">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3">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4">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5"/>
    <w:basedOn w:val="914"/>
    <w:next w:val="914"/>
    <w:link w:val="87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6">
    <w:name w:val="Heading 6"/>
    <w:basedOn w:val="914"/>
    <w:next w:val="914"/>
    <w:link w:val="87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7">
    <w:name w:val="Heading 7"/>
    <w:basedOn w:val="914"/>
    <w:next w:val="914"/>
    <w:link w:val="87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14"/>
    <w:next w:val="914"/>
    <w:link w:val="87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14"/>
    <w:next w:val="914"/>
    <w:link w:val="88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default="1">
    <w:name w:val="Default Paragraph Font"/>
    <w:uiPriority w:val="1"/>
    <w:semiHidden/>
    <w:unhideWhenUsed/>
    <w:pPr>
      <w:pBdr/>
      <w:spacing/>
      <w:ind/>
    </w:pPr>
  </w:style>
  <w:style w:type="numbering" w:styleId="871" w:default="1">
    <w:name w:val="No List"/>
    <w:uiPriority w:val="99"/>
    <w:semiHidden/>
    <w:unhideWhenUsed/>
    <w:pPr>
      <w:pBdr/>
      <w:spacing/>
      <w:ind/>
    </w:pPr>
  </w:style>
  <w:style w:type="character" w:styleId="872">
    <w:name w:val="Heading 1 Char"/>
    <w:basedOn w:val="870"/>
    <w:link w:val="915"/>
    <w:uiPriority w:val="9"/>
    <w:pPr>
      <w:pBdr/>
      <w:spacing/>
      <w:ind/>
    </w:pPr>
    <w:rPr>
      <w:rFonts w:ascii="Arial" w:hAnsi="Arial" w:eastAsia="Arial" w:cs="Arial"/>
      <w:color w:val="0f4761" w:themeColor="accent1" w:themeShade="BF"/>
      <w:sz w:val="40"/>
      <w:szCs w:val="40"/>
    </w:rPr>
  </w:style>
  <w:style w:type="character" w:styleId="873">
    <w:name w:val="Heading 2 Char"/>
    <w:basedOn w:val="870"/>
    <w:link w:val="916"/>
    <w:uiPriority w:val="9"/>
    <w:pPr>
      <w:pBdr/>
      <w:spacing/>
      <w:ind/>
    </w:pPr>
    <w:rPr>
      <w:rFonts w:ascii="Arial" w:hAnsi="Arial" w:eastAsia="Arial" w:cs="Arial"/>
      <w:color w:val="0f4761" w:themeColor="accent1" w:themeShade="BF"/>
      <w:sz w:val="32"/>
      <w:szCs w:val="32"/>
    </w:rPr>
  </w:style>
  <w:style w:type="character" w:styleId="874">
    <w:name w:val="Heading 3 Char"/>
    <w:basedOn w:val="870"/>
    <w:link w:val="917"/>
    <w:uiPriority w:val="9"/>
    <w:pPr>
      <w:pBdr/>
      <w:spacing/>
      <w:ind/>
    </w:pPr>
    <w:rPr>
      <w:rFonts w:ascii="Arial" w:hAnsi="Arial" w:eastAsia="Arial" w:cs="Arial"/>
      <w:color w:val="0f4761" w:themeColor="accent1" w:themeShade="BF"/>
      <w:sz w:val="28"/>
      <w:szCs w:val="28"/>
    </w:rPr>
  </w:style>
  <w:style w:type="character" w:styleId="875">
    <w:name w:val="Heading 4 Char"/>
    <w:basedOn w:val="870"/>
    <w:link w:val="918"/>
    <w:uiPriority w:val="9"/>
    <w:pPr>
      <w:pBdr/>
      <w:spacing/>
      <w:ind/>
    </w:pPr>
    <w:rPr>
      <w:rFonts w:ascii="Arial" w:hAnsi="Arial" w:eastAsia="Arial" w:cs="Arial"/>
      <w:i/>
      <w:iCs/>
      <w:color w:val="0f4761" w:themeColor="accent1" w:themeShade="BF"/>
    </w:rPr>
  </w:style>
  <w:style w:type="character" w:styleId="876">
    <w:name w:val="Heading 5 Char"/>
    <w:basedOn w:val="870"/>
    <w:link w:val="865"/>
    <w:uiPriority w:val="9"/>
    <w:pPr>
      <w:pBdr/>
      <w:spacing/>
      <w:ind/>
    </w:pPr>
    <w:rPr>
      <w:rFonts w:ascii="Arial" w:hAnsi="Arial" w:eastAsia="Arial" w:cs="Arial"/>
      <w:color w:val="0f4761" w:themeColor="accent1" w:themeShade="BF"/>
    </w:rPr>
  </w:style>
  <w:style w:type="character" w:styleId="877">
    <w:name w:val="Heading 6 Char"/>
    <w:basedOn w:val="870"/>
    <w:link w:val="866"/>
    <w:uiPriority w:val="9"/>
    <w:pPr>
      <w:pBdr/>
      <w:spacing/>
      <w:ind/>
    </w:pPr>
    <w:rPr>
      <w:rFonts w:ascii="Arial" w:hAnsi="Arial" w:eastAsia="Arial" w:cs="Arial"/>
      <w:i/>
      <w:iCs/>
      <w:color w:val="595959" w:themeColor="text1" w:themeTint="A6"/>
    </w:rPr>
  </w:style>
  <w:style w:type="character" w:styleId="878">
    <w:name w:val="Heading 7 Char"/>
    <w:basedOn w:val="870"/>
    <w:link w:val="867"/>
    <w:uiPriority w:val="9"/>
    <w:pPr>
      <w:pBdr/>
      <w:spacing/>
      <w:ind/>
    </w:pPr>
    <w:rPr>
      <w:rFonts w:ascii="Arial" w:hAnsi="Arial" w:eastAsia="Arial" w:cs="Arial"/>
      <w:color w:val="595959" w:themeColor="text1" w:themeTint="A6"/>
    </w:rPr>
  </w:style>
  <w:style w:type="character" w:styleId="879">
    <w:name w:val="Heading 8 Char"/>
    <w:basedOn w:val="870"/>
    <w:link w:val="868"/>
    <w:uiPriority w:val="9"/>
    <w:pPr>
      <w:pBdr/>
      <w:spacing/>
      <w:ind/>
    </w:pPr>
    <w:rPr>
      <w:rFonts w:ascii="Arial" w:hAnsi="Arial" w:eastAsia="Arial" w:cs="Arial"/>
      <w:i/>
      <w:iCs/>
      <w:color w:val="272727" w:themeColor="text1" w:themeTint="D8"/>
    </w:rPr>
  </w:style>
  <w:style w:type="character" w:styleId="880">
    <w:name w:val="Heading 9 Char"/>
    <w:basedOn w:val="870"/>
    <w:link w:val="869"/>
    <w:uiPriority w:val="9"/>
    <w:pPr>
      <w:pBdr/>
      <w:spacing/>
      <w:ind/>
    </w:pPr>
    <w:rPr>
      <w:rFonts w:ascii="Arial" w:hAnsi="Arial" w:eastAsia="Arial" w:cs="Arial"/>
      <w:i/>
      <w:iCs/>
      <w:color w:val="272727" w:themeColor="text1" w:themeTint="D8"/>
    </w:rPr>
  </w:style>
  <w:style w:type="character" w:styleId="881">
    <w:name w:val="Title Char"/>
    <w:basedOn w:val="870"/>
    <w:link w:val="919"/>
    <w:uiPriority w:val="10"/>
    <w:pPr>
      <w:pBdr/>
      <w:spacing/>
      <w:ind/>
    </w:pPr>
    <w:rPr>
      <w:rFonts w:ascii="Arial" w:hAnsi="Arial" w:eastAsia="Arial" w:cs="Arial"/>
      <w:spacing w:val="-10"/>
      <w:sz w:val="56"/>
      <w:szCs w:val="56"/>
    </w:rPr>
  </w:style>
  <w:style w:type="paragraph" w:styleId="882">
    <w:name w:val="Subtitle"/>
    <w:basedOn w:val="914"/>
    <w:next w:val="914"/>
    <w:link w:val="883"/>
    <w:uiPriority w:val="11"/>
    <w:qFormat/>
    <w:pPr>
      <w:numPr>
        <w:ilvl w:val="1"/>
      </w:numPr>
      <w:pBdr/>
      <w:spacing/>
      <w:ind/>
    </w:pPr>
    <w:rPr>
      <w:color w:val="595959" w:themeColor="text1" w:themeTint="A6"/>
      <w:spacing w:val="15"/>
      <w:sz w:val="28"/>
      <w:szCs w:val="28"/>
    </w:rPr>
  </w:style>
  <w:style w:type="character" w:styleId="883">
    <w:name w:val="Subtitle Char"/>
    <w:basedOn w:val="870"/>
    <w:link w:val="882"/>
    <w:uiPriority w:val="11"/>
    <w:pPr>
      <w:pBdr/>
      <w:spacing/>
      <w:ind/>
    </w:pPr>
    <w:rPr>
      <w:color w:val="595959" w:themeColor="text1" w:themeTint="A6"/>
      <w:spacing w:val="15"/>
      <w:sz w:val="28"/>
      <w:szCs w:val="28"/>
    </w:rPr>
  </w:style>
  <w:style w:type="paragraph" w:styleId="884">
    <w:name w:val="Quote"/>
    <w:basedOn w:val="914"/>
    <w:next w:val="914"/>
    <w:link w:val="885"/>
    <w:uiPriority w:val="29"/>
    <w:qFormat/>
    <w:pPr>
      <w:pBdr/>
      <w:spacing w:before="160"/>
      <w:ind/>
      <w:jc w:val="center"/>
    </w:pPr>
    <w:rPr>
      <w:i/>
      <w:iCs/>
      <w:color w:val="404040" w:themeColor="text1" w:themeTint="BF"/>
    </w:rPr>
  </w:style>
  <w:style w:type="character" w:styleId="885">
    <w:name w:val="Quote Char"/>
    <w:basedOn w:val="870"/>
    <w:link w:val="884"/>
    <w:uiPriority w:val="29"/>
    <w:pPr>
      <w:pBdr/>
      <w:spacing/>
      <w:ind/>
    </w:pPr>
    <w:rPr>
      <w:i/>
      <w:iCs/>
      <w:color w:val="404040" w:themeColor="text1" w:themeTint="BF"/>
    </w:rPr>
  </w:style>
  <w:style w:type="character" w:styleId="886">
    <w:name w:val="Intense Emphasis"/>
    <w:basedOn w:val="870"/>
    <w:uiPriority w:val="21"/>
    <w:qFormat/>
    <w:pPr>
      <w:pBdr/>
      <w:spacing/>
      <w:ind/>
    </w:pPr>
    <w:rPr>
      <w:i/>
      <w:iCs/>
      <w:color w:val="0f4761" w:themeColor="accent1" w:themeShade="BF"/>
    </w:rPr>
  </w:style>
  <w:style w:type="paragraph" w:styleId="887">
    <w:name w:val="Intense Quote"/>
    <w:basedOn w:val="914"/>
    <w:next w:val="914"/>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870"/>
    <w:link w:val="887"/>
    <w:uiPriority w:val="30"/>
    <w:pPr>
      <w:pBdr/>
      <w:spacing/>
      <w:ind/>
    </w:pPr>
    <w:rPr>
      <w:i/>
      <w:iCs/>
      <w:color w:val="0f4761" w:themeColor="accent1" w:themeShade="BF"/>
    </w:rPr>
  </w:style>
  <w:style w:type="character" w:styleId="889">
    <w:name w:val="Intense Reference"/>
    <w:basedOn w:val="870"/>
    <w:uiPriority w:val="32"/>
    <w:qFormat/>
    <w:pPr>
      <w:pBdr/>
      <w:spacing/>
      <w:ind/>
    </w:pPr>
    <w:rPr>
      <w:b/>
      <w:bCs/>
      <w:smallCaps/>
      <w:color w:val="0f4761" w:themeColor="accent1" w:themeShade="BF"/>
      <w:spacing w:val="5"/>
    </w:rPr>
  </w:style>
  <w:style w:type="paragraph" w:styleId="890">
    <w:name w:val="No Spacing"/>
    <w:basedOn w:val="914"/>
    <w:uiPriority w:val="1"/>
    <w:qFormat/>
    <w:pPr>
      <w:pBdr/>
      <w:spacing w:after="0" w:line="240" w:lineRule="auto"/>
      <w:ind/>
    </w:pPr>
  </w:style>
  <w:style w:type="character" w:styleId="891">
    <w:name w:val="Subtle Emphasis"/>
    <w:basedOn w:val="870"/>
    <w:uiPriority w:val="19"/>
    <w:qFormat/>
    <w:pPr>
      <w:pBdr/>
      <w:spacing/>
      <w:ind/>
    </w:pPr>
    <w:rPr>
      <w:i/>
      <w:iCs/>
      <w:color w:val="404040" w:themeColor="text1" w:themeTint="BF"/>
    </w:rPr>
  </w:style>
  <w:style w:type="character" w:styleId="892">
    <w:name w:val="Emphasis"/>
    <w:basedOn w:val="870"/>
    <w:uiPriority w:val="20"/>
    <w:qFormat/>
    <w:pPr>
      <w:pBdr/>
      <w:spacing/>
      <w:ind/>
    </w:pPr>
    <w:rPr>
      <w:i/>
      <w:iCs/>
    </w:rPr>
  </w:style>
  <w:style w:type="character" w:styleId="893">
    <w:name w:val="Strong"/>
    <w:basedOn w:val="870"/>
    <w:uiPriority w:val="22"/>
    <w:qFormat/>
    <w:pPr>
      <w:pBdr/>
      <w:spacing/>
      <w:ind/>
    </w:pPr>
    <w:rPr>
      <w:b/>
      <w:bCs/>
    </w:rPr>
  </w:style>
  <w:style w:type="character" w:styleId="894">
    <w:name w:val="Subtle Reference"/>
    <w:basedOn w:val="870"/>
    <w:uiPriority w:val="31"/>
    <w:qFormat/>
    <w:pPr>
      <w:pBdr/>
      <w:spacing/>
      <w:ind/>
    </w:pPr>
    <w:rPr>
      <w:smallCaps/>
      <w:color w:val="5a5a5a" w:themeColor="text1" w:themeTint="A5"/>
    </w:rPr>
  </w:style>
  <w:style w:type="character" w:styleId="895">
    <w:name w:val="Book Title"/>
    <w:basedOn w:val="870"/>
    <w:uiPriority w:val="33"/>
    <w:qFormat/>
    <w:pPr>
      <w:pBdr/>
      <w:spacing/>
      <w:ind/>
    </w:pPr>
    <w:rPr>
      <w:b/>
      <w:bCs/>
      <w:i/>
      <w:iCs/>
      <w:spacing w:val="5"/>
    </w:rPr>
  </w:style>
  <w:style w:type="character" w:styleId="896">
    <w:name w:val="Header Char"/>
    <w:basedOn w:val="870"/>
    <w:link w:val="927"/>
    <w:uiPriority w:val="99"/>
    <w:pPr>
      <w:pBdr/>
      <w:spacing/>
      <w:ind/>
    </w:pPr>
  </w:style>
  <w:style w:type="character" w:styleId="897">
    <w:name w:val="Footer Char"/>
    <w:basedOn w:val="870"/>
    <w:link w:val="928"/>
    <w:uiPriority w:val="99"/>
    <w:pPr>
      <w:pBdr/>
      <w:spacing/>
      <w:ind/>
    </w:pPr>
  </w:style>
  <w:style w:type="paragraph" w:styleId="898">
    <w:name w:val="footnote text"/>
    <w:basedOn w:val="914"/>
    <w:link w:val="899"/>
    <w:uiPriority w:val="99"/>
    <w:semiHidden/>
    <w:unhideWhenUsed/>
    <w:pPr>
      <w:pBdr/>
      <w:spacing w:after="0" w:line="240" w:lineRule="auto"/>
      <w:ind/>
    </w:pPr>
    <w:rPr>
      <w:sz w:val="20"/>
      <w:szCs w:val="20"/>
    </w:rPr>
  </w:style>
  <w:style w:type="character" w:styleId="899">
    <w:name w:val="Footnote Text Char"/>
    <w:basedOn w:val="870"/>
    <w:link w:val="898"/>
    <w:uiPriority w:val="99"/>
    <w:semiHidden/>
    <w:pPr>
      <w:pBdr/>
      <w:spacing/>
      <w:ind/>
    </w:pPr>
    <w:rPr>
      <w:sz w:val="20"/>
      <w:szCs w:val="20"/>
    </w:rPr>
  </w:style>
  <w:style w:type="character" w:styleId="900">
    <w:name w:val="footnote reference"/>
    <w:basedOn w:val="870"/>
    <w:uiPriority w:val="99"/>
    <w:semiHidden/>
    <w:unhideWhenUsed/>
    <w:pPr>
      <w:pBdr/>
      <w:spacing/>
      <w:ind/>
    </w:pPr>
    <w:rPr>
      <w:vertAlign w:val="superscript"/>
    </w:rPr>
  </w:style>
  <w:style w:type="paragraph" w:styleId="901">
    <w:name w:val="endnote text"/>
    <w:basedOn w:val="914"/>
    <w:link w:val="902"/>
    <w:uiPriority w:val="99"/>
    <w:semiHidden/>
    <w:unhideWhenUsed/>
    <w:pPr>
      <w:pBdr/>
      <w:spacing w:after="0" w:line="240" w:lineRule="auto"/>
      <w:ind/>
    </w:pPr>
    <w:rPr>
      <w:sz w:val="20"/>
      <w:szCs w:val="20"/>
    </w:rPr>
  </w:style>
  <w:style w:type="character" w:styleId="902">
    <w:name w:val="Endnote Text Char"/>
    <w:basedOn w:val="870"/>
    <w:link w:val="901"/>
    <w:uiPriority w:val="99"/>
    <w:semiHidden/>
    <w:pPr>
      <w:pBdr/>
      <w:spacing/>
      <w:ind/>
    </w:pPr>
    <w:rPr>
      <w:sz w:val="20"/>
      <w:szCs w:val="20"/>
    </w:rPr>
  </w:style>
  <w:style w:type="character" w:styleId="903">
    <w:name w:val="endnote reference"/>
    <w:basedOn w:val="870"/>
    <w:uiPriority w:val="99"/>
    <w:semiHidden/>
    <w:unhideWhenUsed/>
    <w:pPr>
      <w:pBdr/>
      <w:spacing/>
      <w:ind/>
    </w:pPr>
    <w:rPr>
      <w:vertAlign w:val="superscript"/>
    </w:rPr>
  </w:style>
  <w:style w:type="character" w:styleId="904">
    <w:name w:val="FollowedHyperlink"/>
    <w:basedOn w:val="870"/>
    <w:uiPriority w:val="99"/>
    <w:semiHidden/>
    <w:unhideWhenUsed/>
    <w:pPr>
      <w:pBdr/>
      <w:spacing/>
      <w:ind/>
    </w:pPr>
    <w:rPr>
      <w:color w:val="954f72" w:themeColor="followedHyperlink"/>
      <w:u w:val="single"/>
    </w:rPr>
  </w:style>
  <w:style w:type="paragraph" w:styleId="905">
    <w:name w:val="toc 4"/>
    <w:basedOn w:val="914"/>
    <w:next w:val="914"/>
    <w:uiPriority w:val="39"/>
    <w:unhideWhenUsed/>
    <w:pPr>
      <w:pBdr/>
      <w:spacing w:after="100"/>
      <w:ind w:left="660"/>
    </w:pPr>
  </w:style>
  <w:style w:type="paragraph" w:styleId="906">
    <w:name w:val="toc 5"/>
    <w:basedOn w:val="914"/>
    <w:next w:val="914"/>
    <w:uiPriority w:val="39"/>
    <w:unhideWhenUsed/>
    <w:pPr>
      <w:pBdr/>
      <w:spacing w:after="100"/>
      <w:ind w:left="880"/>
    </w:pPr>
  </w:style>
  <w:style w:type="paragraph" w:styleId="907">
    <w:name w:val="toc 6"/>
    <w:basedOn w:val="914"/>
    <w:next w:val="914"/>
    <w:uiPriority w:val="39"/>
    <w:unhideWhenUsed/>
    <w:pPr>
      <w:pBdr/>
      <w:spacing w:after="100"/>
      <w:ind w:left="1100"/>
    </w:pPr>
  </w:style>
  <w:style w:type="paragraph" w:styleId="908">
    <w:name w:val="toc 7"/>
    <w:basedOn w:val="914"/>
    <w:next w:val="914"/>
    <w:uiPriority w:val="39"/>
    <w:unhideWhenUsed/>
    <w:pPr>
      <w:pBdr/>
      <w:spacing w:after="100"/>
      <w:ind w:left="1320"/>
    </w:pPr>
  </w:style>
  <w:style w:type="paragraph" w:styleId="909">
    <w:name w:val="toc 8"/>
    <w:basedOn w:val="914"/>
    <w:next w:val="914"/>
    <w:uiPriority w:val="39"/>
    <w:unhideWhenUsed/>
    <w:pPr>
      <w:pBdr/>
      <w:spacing w:after="100"/>
      <w:ind w:left="1540"/>
    </w:pPr>
  </w:style>
  <w:style w:type="paragraph" w:styleId="910">
    <w:name w:val="toc 9"/>
    <w:basedOn w:val="914"/>
    <w:next w:val="914"/>
    <w:uiPriority w:val="39"/>
    <w:unhideWhenUsed/>
    <w:pPr>
      <w:pBdr/>
      <w:spacing w:after="100"/>
      <w:ind w:left="1760"/>
    </w:pPr>
  </w:style>
  <w:style w:type="character" w:styleId="911">
    <w:name w:val="Placeholder Text"/>
    <w:basedOn w:val="870"/>
    <w:uiPriority w:val="99"/>
    <w:semiHidden/>
    <w:pPr>
      <w:pBdr/>
      <w:spacing/>
      <w:ind/>
    </w:pPr>
    <w:rPr>
      <w:color w:val="666666"/>
    </w:rPr>
  </w:style>
  <w:style w:type="paragraph" w:styleId="912">
    <w:name w:val="TOC Heading"/>
    <w:uiPriority w:val="39"/>
    <w:unhideWhenUsed/>
    <w:pPr>
      <w:pBdr/>
      <w:spacing/>
      <w:ind/>
    </w:pPr>
  </w:style>
  <w:style w:type="paragraph" w:styleId="913">
    <w:name w:val="table of figures"/>
    <w:basedOn w:val="914"/>
    <w:next w:val="914"/>
    <w:uiPriority w:val="99"/>
    <w:unhideWhenUsed/>
    <w:pPr>
      <w:pBdr/>
      <w:spacing w:after="0" w:afterAutospacing="0"/>
      <w:ind/>
    </w:pPr>
  </w:style>
  <w:style w:type="paragraph" w:styleId="914" w:default="1">
    <w:name w:val="Normal"/>
    <w:qFormat/>
    <w:pPr>
      <w:pBdr/>
      <w:spacing/>
      <w:ind/>
      <w:jc w:val="both"/>
    </w:pPr>
  </w:style>
  <w:style w:type="paragraph" w:styleId="915">
    <w:name w:val="Heading 1"/>
    <w:basedOn w:val="914"/>
    <w:next w:val="914"/>
    <w:qFormat/>
    <w:pPr>
      <w:keepNext w:val="true"/>
      <w:keepLines w:val="true"/>
      <w:pBdr/>
      <w:spacing w:after="140" w:before="360"/>
      <w:ind/>
      <w:jc w:val="left"/>
      <w:outlineLvl w:val="0"/>
    </w:pPr>
    <w:rPr>
      <w:b/>
      <w:bCs/>
      <w:color w:val="241a61"/>
      <w:sz w:val="34"/>
      <w:szCs w:val="34"/>
    </w:rPr>
  </w:style>
  <w:style w:type="paragraph" w:styleId="916">
    <w:name w:val="Heading 2"/>
    <w:basedOn w:val="914"/>
    <w:next w:val="914"/>
    <w:qFormat/>
    <w:pPr>
      <w:keepNext w:val="true"/>
      <w:keepLines w:val="true"/>
      <w:pBdr/>
      <w:spacing w:after="140" w:before="300"/>
      <w:ind/>
      <w:jc w:val="left"/>
      <w:outlineLvl w:val="1"/>
    </w:pPr>
    <w:rPr>
      <w:b/>
      <w:bCs/>
      <w:color w:val="241a61"/>
      <w:sz w:val="27"/>
      <w:szCs w:val="27"/>
    </w:rPr>
  </w:style>
  <w:style w:type="paragraph" w:styleId="917">
    <w:name w:val="Heading 3"/>
    <w:basedOn w:val="914"/>
    <w:next w:val="914"/>
    <w:qFormat/>
    <w:pPr>
      <w:keepNext w:val="true"/>
      <w:keepLines w:val="true"/>
      <w:pBdr/>
      <w:spacing w:after="140" w:before="240"/>
      <w:ind/>
      <w:jc w:val="left"/>
      <w:outlineLvl w:val="2"/>
    </w:pPr>
    <w:rPr>
      <w:b/>
      <w:bCs/>
      <w:color w:val="241a61"/>
      <w:sz w:val="23"/>
      <w:szCs w:val="23"/>
    </w:rPr>
  </w:style>
  <w:style w:type="paragraph" w:styleId="918">
    <w:name w:val="Heading 4"/>
    <w:basedOn w:val="914"/>
    <w:next w:val="914"/>
    <w:qFormat/>
    <w:pPr>
      <w:keepNext w:val="true"/>
      <w:keepLines w:val="true"/>
      <w:pBdr/>
      <w:spacing w:after="140" w:before="200"/>
      <w:ind/>
      <w:jc w:val="left"/>
      <w:outlineLvl w:val="3"/>
    </w:pPr>
    <w:rPr>
      <w:b/>
      <w:bCs/>
      <w:color w:val="241a61"/>
      <w:sz w:val="21"/>
      <w:szCs w:val="21"/>
    </w:rPr>
  </w:style>
  <w:style w:type="paragraph" w:styleId="919">
    <w:name w:val="Title"/>
    <w:basedOn w:val="914"/>
    <w:pPr>
      <w:pBdr/>
      <w:spacing w:after="240"/>
      <w:ind/>
      <w:jc w:val="left"/>
    </w:pPr>
    <w:rPr>
      <w:b/>
      <w:bCs/>
      <w:color w:val="241a61"/>
      <w:sz w:val="32"/>
      <w:szCs w:val="32"/>
    </w:rPr>
  </w:style>
  <w:style w:type="paragraph" w:styleId="920">
    <w:name w:val="List Paragraph"/>
    <w:basedOn w:val="914"/>
    <w:qFormat/>
    <w:pPr>
      <w:pBdr/>
      <w:spacing w:after="60"/>
      <w:ind w:left="720"/>
      <w:contextualSpacing w:val="true"/>
    </w:pPr>
  </w:style>
  <w:style w:type="paragraph" w:styleId="921">
    <w:name w:val="Requisito"/>
    <w:basedOn w:val="914"/>
    <w:pPr>
      <w:pBdr/>
      <w:spacing w:after="80"/>
      <w:ind w:left="425"/>
    </w:pPr>
  </w:style>
  <w:style w:type="paragraph" w:styleId="922">
    <w:name w:val="Texto de tabla"/>
    <w:basedOn w:val="914"/>
    <w:pPr>
      <w:pBdr/>
      <w:spacing w:after="20" w:before="0" w:line="240" w:lineRule="auto"/>
      <w:ind/>
      <w:jc w:val="left"/>
    </w:pPr>
    <w:rPr>
      <w:sz w:val="17"/>
      <w:szCs w:val="17"/>
    </w:rPr>
  </w:style>
  <w:style w:type="paragraph" w:styleId="923">
    <w:name w:val="Caption"/>
    <w:basedOn w:val="914"/>
    <w:qFormat/>
    <w:pPr>
      <w:pBdr/>
      <w:spacing w:after="160" w:before="60"/>
      <w:ind/>
      <w:jc w:val="center"/>
    </w:pPr>
    <w:rPr>
      <w:color w:val="404040"/>
      <w:sz w:val="18"/>
      <w:szCs w:val="18"/>
    </w:rPr>
  </w:style>
  <w:style w:type="paragraph" w:styleId="924">
    <w:name w:val="toc 1"/>
    <w:basedOn w:val="914"/>
    <w:pPr>
      <w:pBdr/>
      <w:tabs>
        <w:tab w:val="right" w:leader="dot" w:pos="9404"/>
      </w:tabs>
      <w:spacing w:after="10" w:before="60" w:line="240" w:lineRule="auto"/>
      <w:ind w:left="0"/>
      <w:jc w:val="left"/>
    </w:pPr>
    <w:rPr>
      <w:b/>
      <w:bCs/>
    </w:rPr>
  </w:style>
  <w:style w:type="paragraph" w:styleId="925">
    <w:name w:val="toc 2"/>
    <w:basedOn w:val="914"/>
    <w:pPr>
      <w:pBdr/>
      <w:tabs>
        <w:tab w:val="right" w:leader="dot" w:pos="9404"/>
      </w:tabs>
      <w:spacing w:after="10" w:before="0" w:line="240" w:lineRule="auto"/>
      <w:ind w:left="284"/>
      <w:jc w:val="left"/>
    </w:pPr>
    <w:rPr>
      <w:sz w:val="19"/>
      <w:szCs w:val="19"/>
    </w:rPr>
  </w:style>
  <w:style w:type="paragraph" w:styleId="926">
    <w:name w:val="toc 3"/>
    <w:basedOn w:val="914"/>
    <w:pPr>
      <w:pBdr/>
      <w:tabs>
        <w:tab w:val="right" w:leader="dot" w:pos="9404"/>
      </w:tabs>
      <w:spacing w:after="10" w:before="0" w:line="240" w:lineRule="auto"/>
      <w:ind w:left="567"/>
      <w:jc w:val="left"/>
    </w:pPr>
    <w:rPr>
      <w:sz w:val="19"/>
      <w:szCs w:val="19"/>
    </w:rPr>
  </w:style>
  <w:style w:type="paragraph" w:styleId="927">
    <w:name w:val="Header"/>
    <w:basedOn w:val="914"/>
    <w:pPr>
      <w:pBdr/>
      <w:spacing w:after="0"/>
      <w:ind/>
    </w:pPr>
  </w:style>
  <w:style w:type="paragraph" w:styleId="928">
    <w:name w:val="Footer"/>
    <w:basedOn w:val="914"/>
    <w:pPr>
      <w:pBdr/>
      <w:spacing w:after="0"/>
      <w:ind/>
    </w:pPr>
  </w:style>
  <w:style w:type="character" w:styleId="929">
    <w:name w:val="Hyperlink"/>
    <w:pPr>
      <w:pBdr/>
      <w:spacing/>
      <w:ind/>
    </w:pPr>
    <w:rPr>
      <w:color w:val="1f4e9a"/>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www.theifab.com/es/laws-of-the-game-documents/" TargetMode="External"/><Relationship Id="rId12" Type="http://schemas.openxmlformats.org/officeDocument/2006/relationships/hyperlink" Target="https://amateur.fmf.mx/assets/Docs/Reglamentos/Sanciones.pdf" TargetMode="External"/><Relationship Id="rId13" Type="http://schemas.openxmlformats.org/officeDocument/2006/relationships/hyperlink" Target="https://www.iso.org/standard/72089.html" TargetMode="External"/><Relationship Id="rId14" Type="http://schemas.openxmlformats.org/officeDocument/2006/relationships/hyperlink" Target="https://www.diputados.gob.mx/LeyesBiblio/pdf/LFPDPPP.pdf" TargetMode="External"/><Relationship Id="rId15" Type="http://schemas.openxmlformats.org/officeDocument/2006/relationships/hyperlink" Target="https://imcufide.org/nosotros/" TargetMode="External"/><Relationship Id="rId16" Type="http://schemas.openxmlformats.org/officeDocument/2006/relationships/hyperlink" Target="https://www.contramuro.com/convocatoria-para-liga-municipal-de-futbol-morelia-2025-2026/" TargetMode="External"/><Relationship Id="rId17" Type="http://schemas.openxmlformats.org/officeDocument/2006/relationships/hyperlink" Target="https://www.contramuro.com/liga-municipal-futbol-morelia-regresa-2025-2026/" TargetMode="External"/><Relationship Id="rId18" Type="http://schemas.openxmlformats.org/officeDocument/2006/relationships/hyperlink" Target="https://owasp.org/www-project-application-security-verification-standard/" TargetMode="External"/><Relationship Id="rId19" Type="http://schemas.openxmlformats.org/officeDocument/2006/relationships/hyperlink" Target="https://pages.nist.gov/800-63-4/sp800-63b.html" TargetMode="External"/><Relationship Id="rId20" Type="http://schemas.openxmlformats.org/officeDocument/2006/relationships/hyperlink" Target="https://www.w3.org/TR/WCAG22/" TargetMode="External"/><Relationship Id="rId21" Type="http://schemas.openxmlformats.org/officeDocument/2006/relationships/hyperlink" Target="https://web.dev/articles/vitals" TargetMode="External"/><Relationship Id="rId22" Type="http://schemas.openxmlformats.org/officeDocument/2006/relationships/hyperlink" Target="https://www.rfc-editor.org/rfc/rfc7489"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dc:title>
  <dc:language>es-MX</dc:language>
  <cp:revision>6</cp:revision>
  <dcterms:created xsi:type="dcterms:W3CDTF">2026-10-06T00:00:00Z</dcterms:created>
  <dcterms:modified xsi:type="dcterms:W3CDTF">2026-10-07T17:42:00Z</dcterms:modified>
</cp:coreProperties>
</file>