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rPr/>
      </w:pPr>
      <w:r/>
      <w:r/>
    </w:p>
    <w:p>
      <w:pPr>
        <w:pBdr/>
        <w:spacing/>
        <w:ind/>
        <w:rPr/>
      </w:pPr>
      <w:r/>
      <w:r/>
    </w:p>
    <w:p>
      <w:pPr>
        <w:pBdr/>
        <w:spacing w:after="480"/>
        <w:ind/>
        <w:jc w:val="left"/>
        <w:rPr/>
      </w:pPr>
      <w:r>
        <w:rPr>
          <w:b/>
          <w:bCs/>
          <w:color w:val="241a61"/>
          <w:sz w:val="20"/>
          <w:szCs w:val="20"/>
        </w:rPr>
        <w:t xml:space="preserve">LIGA MUNICIPAL DE FÚTBOL AMATEUR DE MORELIA, A.C.</w:t>
      </w:r>
      <w:r/>
    </w:p>
    <w:p>
      <w:pPr>
        <w:pStyle w:val="727"/>
        <w:pBdr/>
        <w:spacing/>
        <w:ind/>
        <w:rPr/>
      </w:pPr>
      <w:r>
        <w:t xml:space="preserve">Especificación de Requisitos de Software (ERS)</w:t>
      </w:r>
      <w:r/>
    </w:p>
    <w:p>
      <w:pPr>
        <w:pStyle w:val="728"/>
        <w:pBdr>
          <w:bottom w:val="single" w:color="241a61" w:sz="6" w:space="4"/>
        </w:pBdr>
        <w:spacing w:after="360"/>
        <w:ind/>
        <w:rPr/>
      </w:pPr>
      <w:r>
        <w:t xml:space="preserve">Sistema de Gestión de la Liga Municipal de Futbol Amateur Morelia</w:t>
      </w:r>
      <w:r/>
    </w:p>
    <w:p>
      <w:pPr>
        <w:pBdr/>
        <w:spacing w:after="40"/>
        <w:ind/>
        <w:jc w:val="left"/>
        <w:rPr/>
      </w:pPr>
      <w:r>
        <w:rPr>
          <w:color w:val="404040"/>
        </w:rPr>
        <w:t xml:space="preserve">Elaborado conforme a ISO/IEC/IEEE 29148:2018</w:t>
      </w:r>
      <w:r/>
    </w:p>
    <w:p>
      <w:pPr>
        <w:pBdr/>
        <w:spacing w:after="720"/>
        <w:ind/>
        <w:jc w:val="left"/>
        <w:rPr/>
      </w:pPr>
      <w:r>
        <w:rPr>
          <w:color w:val="404040"/>
        </w:rPr>
        <w:t xml:space="preserve">Contenido de esta versión: Sección 1 — Introducción</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000"/>
        <w:gridCol w:w="6404"/>
      </w:tblGrid>
      <w:tr>
        <w:trPr>
          <w:cantSplit/>
          <w:trHeight w:val="380"/>
        </w:trPr>
        <w:tc>
          <w:tcPr>
            <w:shd w:val="clear" w:color="auto" w:fill="f3f2f8"/>
            <w:tcBorders/>
            <w:tcW w:w="3000" w:type="dxa"/>
          </w:tcPr>
          <w:p>
            <w:pPr>
              <w:pStyle w:val="731"/>
              <w:pBdr/>
              <w:spacing/>
              <w:ind/>
              <w:rPr/>
            </w:pPr>
            <w:r>
              <w:rPr>
                <w:b/>
                <w:bCs/>
              </w:rPr>
              <w:t xml:space="preserve">Proyecto</w:t>
            </w:r>
            <w:r/>
          </w:p>
        </w:tc>
        <w:tc>
          <w:tcPr>
            <w:tcBorders/>
            <w:tcW w:w="6404" w:type="dxa"/>
          </w:tcPr>
          <w:p>
            <w:pPr>
              <w:pStyle w:val="731"/>
              <w:pBdr/>
              <w:spacing/>
              <w:ind/>
              <w:rPr/>
            </w:pPr>
            <w:r>
              <w:t xml:space="preserve">Sistema de Gestión de la Liga Municipal de Futbol Amateur Morelia</w:t>
            </w:r>
            <w:r/>
          </w:p>
        </w:tc>
      </w:tr>
      <w:tr>
        <w:trPr>
          <w:cantSplit/>
          <w:trHeight w:val="380"/>
        </w:trPr>
        <w:tc>
          <w:tcPr>
            <w:shd w:val="clear" w:color="auto" w:fill="f3f2f8"/>
            <w:tcBorders/>
            <w:tcW w:w="3000" w:type="dxa"/>
          </w:tcPr>
          <w:p>
            <w:pPr>
              <w:pStyle w:val="731"/>
              <w:pBdr/>
              <w:spacing/>
              <w:ind/>
              <w:rPr/>
            </w:pPr>
            <w:r>
              <w:rPr>
                <w:b/>
                <w:bCs/>
              </w:rPr>
              <w:t xml:space="preserve">Cliente</w:t>
            </w:r>
            <w:r/>
          </w:p>
        </w:tc>
        <w:tc>
          <w:tcPr>
            <w:tcBorders/>
            <w:tcW w:w="6404" w:type="dxa"/>
          </w:tcPr>
          <w:p>
            <w:pPr>
              <w:pStyle w:val="731"/>
              <w:pBdr/>
              <w:spacing/>
              <w:ind/>
              <w:rPr/>
            </w:pPr>
            <w:r>
              <w:t xml:space="preserve">Liga Municipal de Fútbol Amateur de Morelia, A.C.</w:t>
            </w:r>
            <w:r/>
          </w:p>
        </w:tc>
      </w:tr>
      <w:tr>
        <w:trPr>
          <w:cantSplit/>
          <w:trHeight w:val="380"/>
        </w:trPr>
        <w:tc>
          <w:tcPr>
            <w:shd w:val="clear" w:color="auto" w:fill="f3f2f8"/>
            <w:tcBorders/>
            <w:tcW w:w="3000" w:type="dxa"/>
          </w:tcPr>
          <w:p>
            <w:pPr>
              <w:pStyle w:val="731"/>
              <w:pBdr/>
              <w:spacing/>
              <w:ind/>
              <w:rPr/>
            </w:pPr>
            <w:r>
              <w:rPr>
                <w:b/>
                <w:bCs/>
              </w:rPr>
              <w:t xml:space="preserve">Versión del documento</w:t>
            </w:r>
            <w:r/>
          </w:p>
        </w:tc>
        <w:tc>
          <w:tcPr>
            <w:tcBorders/>
            <w:tcW w:w="6404" w:type="dxa"/>
          </w:tcPr>
          <w:p>
            <w:pPr>
              <w:pStyle w:val="731"/>
              <w:pBdr/>
              <w:tabs>
                <w:tab w:val="left" w:leader="none" w:pos="699"/>
              </w:tabs>
              <w:spacing/>
              <w:ind/>
              <w:rPr>
                <w:bCs w:val="0"/>
                <w:i w:val="0"/>
              </w:rPr>
            </w:pPr>
            <w:r>
              <w:rPr>
                <w:i w:val="0"/>
                <w:iCs w:val="0"/>
                <w:color w:val="808080"/>
                <w:lang w:val="en-US"/>
              </w:rPr>
              <w:t xml:space="preserve">1.0.0</w:t>
            </w:r>
            <w:r>
              <w:rPr>
                <w:bCs w:val="0"/>
                <w:i w:val="0"/>
              </w:rPr>
            </w:r>
          </w:p>
        </w:tc>
      </w:tr>
      <w:tr>
        <w:trPr>
          <w:cantSplit/>
          <w:trHeight w:val="380"/>
        </w:trPr>
        <w:tc>
          <w:tcPr>
            <w:shd w:val="clear" w:color="auto" w:fill="f3f2f8"/>
            <w:tcBorders/>
            <w:tcW w:w="3000" w:type="dxa"/>
          </w:tcPr>
          <w:p>
            <w:pPr>
              <w:pStyle w:val="731"/>
              <w:pBdr/>
              <w:spacing/>
              <w:ind/>
              <w:rPr/>
            </w:pPr>
            <w:r>
              <w:rPr>
                <w:b/>
                <w:bCs/>
              </w:rPr>
              <w:t xml:space="preserve">Fecha</w:t>
            </w:r>
            <w:r/>
          </w:p>
        </w:tc>
        <w:tc>
          <w:tcPr>
            <w:tcBorders/>
            <w:tcW w:w="6404" w:type="dxa"/>
          </w:tcPr>
          <w:p>
            <w:pPr>
              <w:pStyle w:val="731"/>
              <w:pBdr/>
              <w:spacing/>
              <w:ind/>
              <w:rPr/>
            </w:pPr>
            <w:r>
              <w:rPr>
                <w:i/>
                <w:iCs/>
                <w:color w:val="808080"/>
              </w:rPr>
              <w:t xml:space="preserve">[Completar]</w:t>
            </w:r>
            <w:r/>
          </w:p>
        </w:tc>
      </w:tr>
      <w:tr>
        <w:trPr>
          <w:cantSplit/>
          <w:trHeight w:val="380"/>
        </w:trPr>
        <w:tc>
          <w:tcPr>
            <w:shd w:val="clear" w:color="auto" w:fill="f3f2f8"/>
            <w:tcBorders/>
            <w:tcW w:w="3000" w:type="dxa"/>
          </w:tcPr>
          <w:p>
            <w:pPr>
              <w:pStyle w:val="731"/>
              <w:pBdr/>
              <w:spacing/>
              <w:ind/>
              <w:rPr/>
            </w:pPr>
            <w:r>
              <w:rPr>
                <w:b/>
                <w:bCs/>
              </w:rPr>
              <w:t xml:space="preserve">Estado</w:t>
            </w:r>
            <w:r/>
          </w:p>
        </w:tc>
        <w:tc>
          <w:tcPr>
            <w:tcBorders/>
            <w:tcW w:w="6404" w:type="dxa"/>
          </w:tcPr>
          <w:p>
            <w:pPr>
              <w:pStyle w:val="731"/>
              <w:pBdr/>
              <w:spacing/>
              <w:ind/>
              <w:rPr/>
            </w:pPr>
            <w:r>
              <w:t xml:space="preserve">Borrador</w:t>
            </w:r>
            <w:r/>
          </w:p>
        </w:tc>
      </w:tr>
      <w:tr>
        <w:trPr>
          <w:cantSplit/>
          <w:trHeight w:val="380"/>
        </w:trPr>
        <w:tc>
          <w:tcPr>
            <w:shd w:val="clear" w:color="auto" w:fill="f3f2f8"/>
            <w:tcBorders/>
            <w:tcW w:w="3000" w:type="dxa"/>
          </w:tcPr>
          <w:p>
            <w:pPr>
              <w:pStyle w:val="731"/>
              <w:pBdr/>
              <w:spacing/>
              <w:ind/>
              <w:rPr/>
            </w:pPr>
            <w:r>
              <w:rPr>
                <w:b/>
                <w:bCs/>
              </w:rPr>
              <w:t xml:space="preserve">Elaborado por</w:t>
            </w:r>
            <w:r/>
          </w:p>
        </w:tc>
        <w:tc>
          <w:tcPr>
            <w:tcBorders/>
            <w:tcW w:w="6404" w:type="dxa"/>
          </w:tcPr>
          <w:p>
            <w:pPr>
              <w:pStyle w:val="731"/>
              <w:pBdr/>
              <w:spacing/>
              <w:ind/>
              <w:rPr/>
            </w:pPr>
            <w:r>
              <w:rPr>
                <w:i/>
                <w:iCs/>
                <w:color w:val="808080"/>
              </w:rPr>
              <w:t xml:space="preserve">[Completar]</w:t>
            </w:r>
            <w:r/>
          </w:p>
        </w:tc>
      </w:tr>
      <w:tr>
        <w:trPr>
          <w:cantSplit/>
          <w:trHeight w:val="380"/>
        </w:trPr>
        <w:tc>
          <w:tcPr>
            <w:shd w:val="clear" w:color="auto" w:fill="f3f2f8"/>
            <w:tcBorders/>
            <w:tcW w:w="3000" w:type="dxa"/>
          </w:tcPr>
          <w:p>
            <w:pPr>
              <w:pStyle w:val="731"/>
              <w:pBdr/>
              <w:spacing/>
              <w:ind/>
              <w:rPr/>
            </w:pPr>
            <w:r>
              <w:rPr>
                <w:b/>
                <w:bCs/>
              </w:rPr>
              <w:t xml:space="preserve">Revisado por</w:t>
            </w:r>
            <w:r/>
          </w:p>
        </w:tc>
        <w:tc>
          <w:tcPr>
            <w:tcBorders/>
            <w:tcW w:w="6404" w:type="dxa"/>
          </w:tcPr>
          <w:p>
            <w:pPr>
              <w:pStyle w:val="731"/>
              <w:pBdr/>
              <w:spacing/>
              <w:ind/>
              <w:rPr/>
            </w:pPr>
            <w:r>
              <w:rPr>
                <w:i/>
                <w:iCs/>
                <w:color w:val="808080"/>
              </w:rPr>
              <w:t xml:space="preserve">[Completar]</w:t>
            </w:r>
            <w:r/>
          </w:p>
        </w:tc>
      </w:tr>
      <w:tr>
        <w:trPr>
          <w:cantSplit/>
          <w:trHeight w:val="380"/>
        </w:trPr>
        <w:tc>
          <w:tcPr>
            <w:shd w:val="clear" w:color="auto" w:fill="f3f2f8"/>
            <w:tcBorders/>
            <w:tcW w:w="3000" w:type="dxa"/>
          </w:tcPr>
          <w:p>
            <w:pPr>
              <w:pStyle w:val="731"/>
              <w:pBdr/>
              <w:spacing/>
              <w:ind/>
              <w:rPr/>
            </w:pPr>
            <w:r>
              <w:rPr>
                <w:b/>
                <w:bCs/>
              </w:rPr>
              <w:t xml:space="preserve">Aprobado por (Liga)</w:t>
            </w:r>
            <w:r/>
          </w:p>
        </w:tc>
        <w:tc>
          <w:tcPr>
            <w:tcBorders/>
            <w:tcW w:w="6404" w:type="dxa"/>
          </w:tcPr>
          <w:p>
            <w:pPr>
              <w:pStyle w:val="731"/>
              <w:pBdr/>
              <w:spacing/>
              <w:ind/>
              <w:rPr/>
            </w:pPr>
            <w:r>
              <w:rPr>
                <w:i/>
                <w:iCs/>
                <w:color w:val="808080"/>
              </w:rPr>
              <w:t xml:space="preserve">[Completar]</w:t>
            </w:r>
            <w:r/>
          </w:p>
        </w:tc>
      </w:tr>
    </w:tbl>
    <w:p>
      <w:pPr>
        <w:pBdr/>
        <w:spacing w:after="60" w:before="0"/>
        <w:ind/>
        <w:rPr/>
      </w:pPr>
      <w:r/>
      <w:r/>
    </w:p>
    <w:p>
      <w:pPr>
        <w:pBdr/>
        <w:spacing/>
        <w:ind/>
        <w:rPr/>
      </w:pPr>
      <w:r>
        <w:br w:type="page" w:clear="all"/>
      </w:r>
      <w:r/>
    </w:p>
    <w:p>
      <w:pPr>
        <w:pStyle w:val="729"/>
        <w:pBdr/>
        <w:spacing/>
        <w:ind/>
        <w:rPr/>
      </w:pPr>
      <w:r>
        <w:t xml:space="preserve">Historial de cambios</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300"/>
        <w:gridCol w:w="1300"/>
        <w:gridCol w:w="1900"/>
        <w:gridCol w:w="3404"/>
        <w:gridCol w:w="1500"/>
      </w:tblGrid>
      <w:tr>
        <w:trPr>
          <w:cantSplit/>
          <w:tblHeader/>
        </w:trPr>
        <w:tc>
          <w:tcPr>
            <w:shd w:val="clear" w:color="auto" w:fill="241a61"/>
            <w:tcBorders/>
            <w:tcW w:w="1300" w:type="dxa"/>
            <w:vAlign w:val="center"/>
          </w:tcPr>
          <w:p>
            <w:pPr>
              <w:pStyle w:val="731"/>
              <w:pBdr/>
              <w:spacing/>
              <w:ind/>
              <w:rPr/>
            </w:pPr>
            <w:r>
              <w:rPr>
                <w:b/>
                <w:bCs/>
                <w:color w:val="ffffff"/>
              </w:rPr>
              <w:t xml:space="preserve">Versión</w:t>
            </w:r>
            <w:r/>
          </w:p>
        </w:tc>
        <w:tc>
          <w:tcPr>
            <w:shd w:val="clear" w:color="auto" w:fill="241a61"/>
            <w:tcBorders/>
            <w:tcW w:w="1300" w:type="dxa"/>
            <w:vAlign w:val="center"/>
          </w:tcPr>
          <w:p>
            <w:pPr>
              <w:pStyle w:val="731"/>
              <w:pBdr/>
              <w:spacing/>
              <w:ind/>
              <w:rPr/>
            </w:pPr>
            <w:r>
              <w:rPr>
                <w:b/>
                <w:bCs/>
                <w:color w:val="ffffff"/>
              </w:rPr>
              <w:t xml:space="preserve">Fecha</w:t>
            </w:r>
            <w:r/>
          </w:p>
        </w:tc>
        <w:tc>
          <w:tcPr>
            <w:shd w:val="clear" w:color="auto" w:fill="241a61"/>
            <w:tcBorders/>
            <w:tcW w:w="1900" w:type="dxa"/>
            <w:vAlign w:val="center"/>
          </w:tcPr>
          <w:p>
            <w:pPr>
              <w:pStyle w:val="731"/>
              <w:pBdr/>
              <w:spacing/>
              <w:ind/>
              <w:rPr/>
            </w:pPr>
            <w:r>
              <w:rPr>
                <w:b/>
                <w:bCs/>
                <w:color w:val="ffffff"/>
              </w:rPr>
              <w:t xml:space="preserve">Autor(es)</w:t>
            </w:r>
            <w:r/>
          </w:p>
        </w:tc>
        <w:tc>
          <w:tcPr>
            <w:shd w:val="clear" w:color="auto" w:fill="241a61"/>
            <w:tcBorders/>
            <w:tcW w:w="3404" w:type="dxa"/>
            <w:vAlign w:val="center"/>
          </w:tcPr>
          <w:p>
            <w:pPr>
              <w:pStyle w:val="731"/>
              <w:pBdr/>
              <w:spacing/>
              <w:ind/>
              <w:rPr/>
            </w:pPr>
            <w:r>
              <w:rPr>
                <w:b/>
                <w:bCs/>
                <w:color w:val="ffffff"/>
              </w:rPr>
              <w:t xml:space="preserve">Descripción del cambio</w:t>
            </w:r>
            <w:r/>
          </w:p>
        </w:tc>
        <w:tc>
          <w:tcPr>
            <w:shd w:val="clear" w:color="auto" w:fill="241a61"/>
            <w:tcBorders/>
            <w:tcW w:w="1500" w:type="dxa"/>
            <w:vAlign w:val="center"/>
          </w:tcPr>
          <w:p>
            <w:pPr>
              <w:pStyle w:val="731"/>
              <w:pBdr/>
              <w:spacing/>
              <w:ind/>
              <w:rPr/>
            </w:pPr>
            <w:r>
              <w:rPr>
                <w:b/>
                <w:bCs/>
                <w:color w:val="ffffff"/>
              </w:rPr>
              <w:t xml:space="preserve">Aprobó</w:t>
            </w:r>
            <w:r/>
          </w:p>
        </w:tc>
      </w:tr>
      <w:tr>
        <w:trPr>
          <w:cantSplit/>
          <w:trHeight w:val="400"/>
        </w:trPr>
        <w:tc>
          <w:tcPr>
            <w:tcBorders/>
            <w:tcW w:w="1300" w:type="dxa"/>
          </w:tcPr>
          <w:p>
            <w:pPr>
              <w:pStyle w:val="731"/>
              <w:pBdr/>
              <w:spacing/>
              <w:ind/>
              <w:rPr/>
            </w:pPr>
            <w:r>
              <w:rPr>
                <w:i/>
                <w:iCs/>
                <w:color w:val="808080"/>
              </w:rPr>
              <w:t xml:space="preserve">[Completar]</w:t>
            </w:r>
            <w:r/>
          </w:p>
        </w:tc>
        <w:tc>
          <w:tcPr>
            <w:tcBorders/>
            <w:tcW w:w="1300" w:type="dxa"/>
          </w:tcPr>
          <w:p>
            <w:pPr>
              <w:pStyle w:val="731"/>
              <w:pBdr/>
              <w:spacing/>
              <w:ind/>
              <w:rPr/>
            </w:pPr>
            <w:r>
              <w:rPr>
                <w:i/>
                <w:iCs/>
                <w:color w:val="808080"/>
              </w:rPr>
              <w:t xml:space="preserve">[Completar]</w:t>
            </w:r>
            <w:r/>
          </w:p>
        </w:tc>
        <w:tc>
          <w:tcPr>
            <w:tcBorders/>
            <w:tcW w:w="1900" w:type="dxa"/>
          </w:tcPr>
          <w:p>
            <w:pPr>
              <w:pStyle w:val="731"/>
              <w:pBdr/>
              <w:spacing/>
              <w:ind/>
              <w:rPr/>
            </w:pPr>
            <w:r>
              <w:rPr>
                <w:i/>
                <w:iCs/>
                <w:color w:val="808080"/>
              </w:rPr>
              <w:t xml:space="preserve">[Completar]</w:t>
            </w:r>
            <w:r/>
          </w:p>
        </w:tc>
        <w:tc>
          <w:tcPr>
            <w:tcBorders/>
            <w:tcW w:w="3404" w:type="dxa"/>
          </w:tcPr>
          <w:p>
            <w:pPr>
              <w:pStyle w:val="731"/>
              <w:pBdr/>
              <w:spacing/>
              <w:ind/>
              <w:rPr/>
            </w:pPr>
            <w:r>
              <w:t xml:space="preserve">Elaboración de la sección 1 (Introducción): propósito, alcance, definiciones, referencias, visión general del documento y modelado del sistema.</w:t>
            </w:r>
            <w:r/>
          </w:p>
        </w:tc>
        <w:tc>
          <w:tcPr>
            <w:tcBorders/>
            <w:tcW w:w="1500" w:type="dxa"/>
          </w:tcPr>
          <w:p>
            <w:pPr>
              <w:pStyle w:val="731"/>
              <w:pBdr/>
              <w:spacing/>
              <w:ind/>
              <w:rPr/>
            </w:pPr>
            <w:r>
              <w:rPr>
                <w:i/>
                <w:iCs/>
                <w:color w:val="808080"/>
              </w:rPr>
              <w:t xml:space="preserve">[Completar]</w:t>
            </w:r>
            <w:r/>
          </w:p>
        </w:tc>
      </w:tr>
      <w:tr>
        <w:trPr>
          <w:cantSplit/>
          <w:trHeight w:val="400"/>
        </w:trPr>
        <w:tc>
          <w:tcPr>
            <w:tcBorders/>
            <w:tcW w:w="1300" w:type="dxa"/>
          </w:tcPr>
          <w:p>
            <w:pPr>
              <w:pStyle w:val="731"/>
              <w:pBdr/>
              <w:spacing/>
              <w:ind/>
              <w:rPr/>
            </w:pPr>
            <w:r/>
            <w:r/>
          </w:p>
        </w:tc>
        <w:tc>
          <w:tcPr>
            <w:tcBorders/>
            <w:tcW w:w="1300" w:type="dxa"/>
          </w:tcPr>
          <w:p>
            <w:pPr>
              <w:pStyle w:val="731"/>
              <w:pBdr/>
              <w:spacing/>
              <w:ind/>
              <w:rPr/>
            </w:pPr>
            <w:r/>
            <w:r/>
          </w:p>
        </w:tc>
        <w:tc>
          <w:tcPr>
            <w:tcBorders/>
            <w:tcW w:w="1900" w:type="dxa"/>
          </w:tcPr>
          <w:p>
            <w:pPr>
              <w:pStyle w:val="731"/>
              <w:pBdr/>
              <w:spacing/>
              <w:ind/>
              <w:rPr/>
            </w:pPr>
            <w:r/>
            <w:r/>
          </w:p>
        </w:tc>
        <w:tc>
          <w:tcPr>
            <w:tcBorders/>
            <w:tcW w:w="3404" w:type="dxa"/>
          </w:tcPr>
          <w:p>
            <w:pPr>
              <w:pStyle w:val="731"/>
              <w:pBdr/>
              <w:spacing/>
              <w:ind/>
              <w:rPr/>
            </w:pPr>
            <w:r/>
            <w:r/>
          </w:p>
        </w:tc>
        <w:tc>
          <w:tcPr>
            <w:tcBorders/>
            <w:tcW w:w="1500" w:type="dxa"/>
          </w:tcPr>
          <w:p>
            <w:pPr>
              <w:pStyle w:val="731"/>
              <w:pBdr/>
              <w:spacing/>
              <w:ind/>
              <w:rPr/>
            </w:pPr>
            <w:r/>
            <w:r/>
          </w:p>
        </w:tc>
      </w:tr>
      <w:tr>
        <w:trPr>
          <w:cantSplit/>
          <w:trHeight w:val="400"/>
        </w:trPr>
        <w:tc>
          <w:tcPr>
            <w:tcBorders/>
            <w:tcW w:w="1300" w:type="dxa"/>
          </w:tcPr>
          <w:p>
            <w:pPr>
              <w:pStyle w:val="731"/>
              <w:pBdr/>
              <w:spacing/>
              <w:ind/>
              <w:rPr/>
            </w:pPr>
            <w:r/>
            <w:r/>
          </w:p>
        </w:tc>
        <w:tc>
          <w:tcPr>
            <w:tcBorders/>
            <w:tcW w:w="1300" w:type="dxa"/>
          </w:tcPr>
          <w:p>
            <w:pPr>
              <w:pStyle w:val="731"/>
              <w:pBdr/>
              <w:spacing/>
              <w:ind/>
              <w:rPr/>
            </w:pPr>
            <w:r/>
            <w:r/>
          </w:p>
        </w:tc>
        <w:tc>
          <w:tcPr>
            <w:tcBorders/>
            <w:tcW w:w="1900" w:type="dxa"/>
          </w:tcPr>
          <w:p>
            <w:pPr>
              <w:pStyle w:val="731"/>
              <w:pBdr/>
              <w:spacing/>
              <w:ind/>
              <w:rPr/>
            </w:pPr>
            <w:r/>
            <w:r/>
          </w:p>
        </w:tc>
        <w:tc>
          <w:tcPr>
            <w:tcBorders/>
            <w:tcW w:w="3404" w:type="dxa"/>
          </w:tcPr>
          <w:p>
            <w:pPr>
              <w:pStyle w:val="731"/>
              <w:pBdr/>
              <w:spacing/>
              <w:ind/>
              <w:rPr/>
            </w:pPr>
            <w:r/>
            <w:r/>
          </w:p>
        </w:tc>
        <w:tc>
          <w:tcPr>
            <w:tcBorders/>
            <w:tcW w:w="1500" w:type="dxa"/>
          </w:tcPr>
          <w:p>
            <w:pPr>
              <w:pStyle w:val="731"/>
              <w:pBdr/>
              <w:spacing/>
              <w:ind/>
              <w:rPr/>
            </w:pPr>
            <w:r/>
            <w:r/>
          </w:p>
        </w:tc>
      </w:tr>
    </w:tbl>
    <w:p>
      <w:pPr>
        <w:pBdr/>
        <w:spacing w:after="60" w:before="0"/>
        <w:ind/>
        <w:rPr/>
      </w:pPr>
      <w:r/>
      <w:r/>
    </w:p>
    <w:p>
      <w:pPr>
        <w:pStyle w:val="729"/>
        <w:pBdr/>
        <w:spacing w:before="300"/>
        <w:ind/>
        <w:rPr/>
      </w:pPr>
      <w:r>
        <w:t xml:space="preserve">Contenido</w:t>
      </w:r>
      <w:r/>
    </w:p>
    <w:p>
      <w:pPr>
        <w:pStyle w:val="734"/>
        <w:pBdr/>
        <w:spacing/>
        <w:ind/>
        <w:rPr/>
      </w:pPr>
      <w:r>
        <w:fldChar w:fldCharType="begin"/>
      </w:r>
      <w:r>
        <w:instrText xml:space="preserve"> TOC \o "1-3" \h \z \u </w:instrText>
      </w:r>
      <w:r>
        <w:fldChar w:fldCharType="separate"/>
      </w:r>
      <w:hyperlink w:tooltip="#_Toc100001" w:anchor="_Toc100001" w:history="1">
        <w:r>
          <w:t xml:space="preserve">1. Introducción</w:t>
        </w:r>
        <w:r>
          <w:tab/>
        </w:r>
        <w:r>
          <w:t xml:space="preserve">3</w:t>
        </w:r>
      </w:hyperlink>
      <w:r/>
      <w:r/>
    </w:p>
    <w:p>
      <w:pPr>
        <w:pStyle w:val="735"/>
        <w:pBdr/>
        <w:spacing/>
        <w:ind/>
        <w:rPr/>
      </w:pPr>
      <w:r/>
      <w:hyperlink w:tooltip="#_Toc100002" w:anchor="_Toc100002" w:history="1">
        <w:r>
          <w:t xml:space="preserve">1.1 Propósito</w:t>
        </w:r>
        <w:r>
          <w:tab/>
        </w:r>
        <w:r>
          <w:t xml:space="preserve">3</w:t>
        </w:r>
      </w:hyperlink>
      <w:r/>
      <w:r/>
    </w:p>
    <w:p>
      <w:pPr>
        <w:pStyle w:val="736"/>
        <w:pBdr/>
        <w:spacing/>
        <w:ind/>
        <w:rPr/>
      </w:pPr>
      <w:r/>
      <w:hyperlink w:tooltip="#_Toc100003" w:anchor="_Toc100003" w:history="1">
        <w:r>
          <w:t xml:space="preserve">1.1.1 Propósito del documento</w:t>
        </w:r>
        <w:r>
          <w:tab/>
        </w:r>
        <w:r>
          <w:t xml:space="preserve">3</w:t>
        </w:r>
      </w:hyperlink>
      <w:r/>
      <w:r/>
    </w:p>
    <w:p>
      <w:pPr>
        <w:pStyle w:val="736"/>
        <w:pBdr/>
        <w:spacing/>
        <w:ind/>
        <w:rPr/>
      </w:pPr>
      <w:r/>
      <w:hyperlink w:tooltip="#_Toc100004" w:anchor="_Toc100004" w:history="1">
        <w:r>
          <w:t xml:space="preserve">1.1.2 Propósito del software</w:t>
        </w:r>
        <w:r>
          <w:tab/>
        </w:r>
        <w:r>
          <w:t xml:space="preserve">3</w:t>
        </w:r>
      </w:hyperlink>
      <w:r/>
      <w:r/>
    </w:p>
    <w:p>
      <w:pPr>
        <w:pStyle w:val="736"/>
        <w:pBdr/>
        <w:spacing/>
        <w:ind/>
        <w:rPr/>
      </w:pPr>
      <w:r/>
      <w:hyperlink w:tooltip="#_Toc100005" w:anchor="_Toc100005" w:history="1">
        <w:r>
          <w:t xml:space="preserve">1.1.3 Lectores previstos</w:t>
        </w:r>
        <w:r>
          <w:tab/>
        </w:r>
        <w:r>
          <w:t xml:space="preserve">3</w:t>
        </w:r>
      </w:hyperlink>
      <w:r/>
      <w:r/>
    </w:p>
    <w:p>
      <w:pPr>
        <w:pStyle w:val="736"/>
        <w:pBdr/>
        <w:spacing/>
        <w:ind/>
        <w:rPr/>
      </w:pPr>
      <w:r/>
      <w:hyperlink w:tooltip="#_Toc100006" w:anchor="_Toc100006" w:history="1">
        <w:r>
          <w:t xml:space="preserve">1.1.4 Aprobación del documento</w:t>
        </w:r>
        <w:r>
          <w:tab/>
        </w:r>
        <w:r>
          <w:t xml:space="preserve">4</w:t>
        </w:r>
      </w:hyperlink>
      <w:r/>
      <w:r/>
    </w:p>
    <w:p>
      <w:pPr>
        <w:pStyle w:val="735"/>
        <w:pBdr/>
        <w:spacing/>
        <w:ind/>
        <w:rPr/>
      </w:pPr>
      <w:r/>
      <w:hyperlink w:tooltip="#_Toc100007" w:anchor="_Toc100007" w:history="1">
        <w:r>
          <w:t xml:space="preserve">1.2 Alcance</w:t>
        </w:r>
        <w:r>
          <w:tab/>
        </w:r>
        <w:r>
          <w:t xml:space="preserve">4</w:t>
        </w:r>
      </w:hyperlink>
      <w:r/>
      <w:r/>
    </w:p>
    <w:p>
      <w:pPr>
        <w:pStyle w:val="736"/>
        <w:pBdr/>
        <w:spacing/>
        <w:ind/>
        <w:rPr/>
      </w:pPr>
      <w:r/>
      <w:hyperlink w:tooltip="#_Toc100008" w:anchor="_Toc100008" w:history="1">
        <w:r>
          <w:t xml:space="preserve">1.2.1 Identificación del producto</w:t>
        </w:r>
        <w:r>
          <w:tab/>
        </w:r>
        <w:r>
          <w:t xml:space="preserve">4</w:t>
        </w:r>
      </w:hyperlink>
      <w:r/>
      <w:r/>
    </w:p>
    <w:p>
      <w:pPr>
        <w:pStyle w:val="736"/>
        <w:pBdr/>
        <w:spacing/>
        <w:ind/>
        <w:rPr/>
      </w:pPr>
      <w:r/>
      <w:hyperlink w:tooltip="#_Toc100009" w:anchor="_Toc100009" w:history="1">
        <w:r>
          <w:t xml:space="preserve">1.2.2 Contexto de la Liga</w:t>
        </w:r>
        <w:r>
          <w:tab/>
        </w:r>
        <w:r>
          <w:t xml:space="preserve">4</w:t>
        </w:r>
      </w:hyperlink>
      <w:r/>
      <w:r/>
    </w:p>
    <w:p>
      <w:pPr>
        <w:pStyle w:val="736"/>
        <w:pBdr/>
        <w:spacing/>
        <w:ind/>
        <w:rPr/>
      </w:pPr>
      <w:r/>
      <w:hyperlink w:tooltip="#_Toc100010" w:anchor="_Toc100010" w:history="1">
        <w:r>
          <w:t xml:space="preserve">1.2.3 Situación actual</w:t>
        </w:r>
        <w:r>
          <w:tab/>
        </w:r>
        <w:r>
          <w:t xml:space="preserve">5</w:t>
        </w:r>
      </w:hyperlink>
      <w:r/>
      <w:r/>
    </w:p>
    <w:p>
      <w:pPr>
        <w:pStyle w:val="736"/>
        <w:pBdr/>
        <w:spacing/>
        <w:ind/>
        <w:rPr/>
      </w:pPr>
      <w:r/>
      <w:hyperlink w:tooltip="#_Toc100011" w:anchor="_Toc100011" w:history="1">
        <w:r>
          <w:t xml:space="preserve">1.2.4 Objetivos del producto</w:t>
        </w:r>
        <w:r>
          <w:tab/>
        </w:r>
        <w:r>
          <w:t xml:space="preserve">6</w:t>
        </w:r>
      </w:hyperlink>
      <w:r/>
      <w:r/>
    </w:p>
    <w:p>
      <w:pPr>
        <w:pStyle w:val="736"/>
        <w:pBdr/>
        <w:spacing/>
        <w:ind/>
        <w:rPr/>
      </w:pPr>
      <w:r/>
      <w:hyperlink w:tooltip="#_Toc100012" w:anchor="_Toc100012" w:history="1">
        <w:r>
          <w:t xml:space="preserve">1.2.5 Funciones dentro del alcance</w:t>
        </w:r>
        <w:r>
          <w:tab/>
        </w:r>
        <w:r>
          <w:t xml:space="preserve">6</w:t>
        </w:r>
      </w:hyperlink>
      <w:r/>
      <w:r/>
    </w:p>
    <w:p>
      <w:pPr>
        <w:pStyle w:val="736"/>
        <w:pBdr/>
        <w:spacing/>
        <w:ind/>
        <w:rPr/>
      </w:pPr>
      <w:r/>
      <w:hyperlink w:tooltip="#_Toc100013" w:anchor="_Toc100013" w:history="1">
        <w:r>
          <w:t xml:space="preserve">1.2.6 Fuera del alcance</w:t>
        </w:r>
        <w:r>
          <w:tab/>
        </w:r>
        <w:r>
          <w:t xml:space="preserve">8</w:t>
        </w:r>
      </w:hyperlink>
      <w:r/>
      <w:r/>
    </w:p>
    <w:p>
      <w:pPr>
        <w:pStyle w:val="736"/>
        <w:pBdr/>
        <w:spacing/>
        <w:ind/>
        <w:rPr/>
      </w:pPr>
      <w:r/>
      <w:hyperlink w:tooltip="#_Toc100014" w:anchor="_Toc100014" w:history="1">
        <w:r>
          <w:t xml:space="preserve">1.2.7 Condicionantes del alcance</w:t>
        </w:r>
        <w:r>
          <w:tab/>
        </w:r>
        <w:r>
          <w:t xml:space="preserve">8</w:t>
        </w:r>
      </w:hyperlink>
      <w:r/>
      <w:r/>
    </w:p>
    <w:p>
      <w:pPr>
        <w:pStyle w:val="736"/>
        <w:pBdr/>
        <w:spacing/>
        <w:ind/>
        <w:rPr/>
      </w:pPr>
      <w:r/>
      <w:hyperlink w:tooltip="#_Toc100015" w:anchor="_Toc100015" w:history="1">
        <w:r>
          <w:t xml:space="preserve">1.2.8 Consistencia con documentos de nivel superior</w:t>
        </w:r>
        <w:r>
          <w:tab/>
        </w:r>
        <w:r>
          <w:t xml:space="preserve">9</w:t>
        </w:r>
      </w:hyperlink>
      <w:r/>
      <w:r/>
    </w:p>
    <w:p>
      <w:pPr>
        <w:pStyle w:val="735"/>
        <w:pBdr/>
        <w:spacing/>
        <w:ind/>
        <w:rPr/>
      </w:pPr>
      <w:r/>
      <w:hyperlink w:tooltip="#_Toc100016" w:anchor="_Toc100016" w:history="1">
        <w:r>
          <w:t xml:space="preserve">1.3 Definiciones, acrónimos y abreviaturas</w:t>
        </w:r>
        <w:r>
          <w:tab/>
        </w:r>
        <w:r>
          <w:t xml:space="preserve">9</w:t>
        </w:r>
      </w:hyperlink>
      <w:r/>
      <w:r/>
    </w:p>
    <w:p>
      <w:pPr>
        <w:pStyle w:val="736"/>
        <w:pBdr/>
        <w:spacing/>
        <w:ind/>
        <w:rPr/>
      </w:pPr>
      <w:r/>
      <w:hyperlink w:tooltip="#_Toc100017" w:anchor="_Toc100017" w:history="1">
        <w:r>
          <w:t xml:space="preserve">1.3.1 Organización de la Liga</w:t>
        </w:r>
        <w:r>
          <w:tab/>
        </w:r>
        <w:r>
          <w:t xml:space="preserve">9</w:t>
        </w:r>
      </w:hyperlink>
      <w:r/>
      <w:r/>
    </w:p>
    <w:p>
      <w:pPr>
        <w:pStyle w:val="736"/>
        <w:pBdr/>
        <w:spacing/>
        <w:ind/>
        <w:rPr/>
      </w:pPr>
      <w:r/>
      <w:hyperlink w:tooltip="#_Toc100018" w:anchor="_Toc100018" w:history="1">
        <w:r>
          <w:t xml:space="preserve">1.3.2 Competencia</w:t>
        </w:r>
        <w:r>
          <w:tab/>
        </w:r>
        <w:r>
          <w:t xml:space="preserve">10</w:t>
        </w:r>
      </w:hyperlink>
      <w:r/>
      <w:r/>
    </w:p>
    <w:p>
      <w:pPr>
        <w:pStyle w:val="736"/>
        <w:pBdr/>
        <w:spacing/>
        <w:ind/>
        <w:rPr/>
      </w:pPr>
      <w:r/>
      <w:hyperlink w:tooltip="#_Toc100019" w:anchor="_Toc100019" w:history="1">
        <w:r>
          <w:t xml:space="preserve">1.3.3 Categorías</w:t>
        </w:r>
        <w:r>
          <w:tab/>
        </w:r>
        <w:r>
          <w:t xml:space="preserve">12</w:t>
        </w:r>
      </w:hyperlink>
      <w:r/>
      <w:r/>
    </w:p>
    <w:p>
      <w:pPr>
        <w:pStyle w:val="736"/>
        <w:pBdr/>
        <w:spacing/>
        <w:ind/>
        <w:rPr/>
      </w:pPr>
      <w:r/>
      <w:hyperlink w:tooltip="#_Toc100020" w:anchor="_Toc100020" w:history="1">
        <w:r>
          <w:t xml:space="preserve">1.3.4 Partidos, arbitraje y disciplina</w:t>
        </w:r>
        <w:r>
          <w:tab/>
        </w:r>
        <w:r>
          <w:t xml:space="preserve">13</w:t>
        </w:r>
      </w:hyperlink>
      <w:r/>
      <w:r/>
    </w:p>
    <w:p>
      <w:pPr>
        <w:pStyle w:val="736"/>
        <w:pBdr/>
        <w:spacing/>
        <w:ind/>
        <w:rPr/>
      </w:pPr>
      <w:r/>
      <w:hyperlink w:tooltip="#_Toc100021" w:anchor="_Toc100021" w:history="1">
        <w:r>
          <w:t xml:space="preserve">1.3.5 Aportaciones económicas</w:t>
        </w:r>
        <w:r>
          <w:tab/>
        </w:r>
        <w:r>
          <w:t xml:space="preserve">14</w:t>
        </w:r>
      </w:hyperlink>
      <w:r/>
      <w:r/>
    </w:p>
    <w:p>
      <w:pPr>
        <w:pStyle w:val="736"/>
        <w:pBdr/>
        <w:spacing/>
        <w:ind/>
        <w:rPr/>
      </w:pPr>
      <w:r/>
      <w:hyperlink w:tooltip="#_Toc100022" w:anchor="_Toc100022" w:history="1">
        <w:r>
          <w:t xml:space="preserve">1.3.6 Términos de ingeniería de requisitos</w:t>
        </w:r>
        <w:r>
          <w:tab/>
        </w:r>
        <w:r>
          <w:t xml:space="preserve">15</w:t>
        </w:r>
      </w:hyperlink>
      <w:r/>
      <w:r/>
    </w:p>
    <w:p>
      <w:pPr>
        <w:pStyle w:val="736"/>
        <w:pBdr/>
        <w:spacing/>
        <w:ind/>
        <w:rPr/>
      </w:pPr>
      <w:r/>
      <w:hyperlink w:tooltip="#_Toc100023" w:anchor="_Toc100023" w:history="1">
        <w:r>
          <w:t xml:space="preserve">1.3.7 Acrónimos y abreviaturas</w:t>
        </w:r>
        <w:r>
          <w:tab/>
        </w:r>
        <w:r>
          <w:t xml:space="preserve">15</w:t>
        </w:r>
      </w:hyperlink>
      <w:r/>
      <w:r/>
    </w:p>
    <w:p>
      <w:pPr>
        <w:pStyle w:val="735"/>
        <w:pBdr/>
        <w:spacing/>
        <w:ind/>
        <w:rPr/>
      </w:pPr>
      <w:r/>
      <w:hyperlink w:tooltip="#_Toc100024" w:anchor="_Toc100024" w:history="1">
        <w:r>
          <w:t xml:space="preserve">1.4 Referencias</w:t>
        </w:r>
        <w:r>
          <w:tab/>
        </w:r>
        <w:r>
          <w:t xml:space="preserve">16</w:t>
        </w:r>
      </w:hyperlink>
      <w:r/>
      <w:r/>
    </w:p>
    <w:p>
      <w:pPr>
        <w:pStyle w:val="736"/>
        <w:pBdr/>
        <w:spacing/>
        <w:ind/>
        <w:rPr/>
      </w:pPr>
      <w:r/>
      <w:hyperlink w:tooltip="#_Toc100025" w:anchor="_Toc100025" w:history="1">
        <w:r>
          <w:t xml:space="preserve">1.4.1 Documentos de la Liga</w:t>
        </w:r>
        <w:r>
          <w:tab/>
        </w:r>
        <w:r>
          <w:t xml:space="preserve">16</w:t>
        </w:r>
      </w:hyperlink>
      <w:r/>
      <w:r/>
    </w:p>
    <w:p>
      <w:pPr>
        <w:pStyle w:val="736"/>
        <w:pBdr/>
        <w:spacing/>
        <w:ind/>
        <w:rPr/>
      </w:pPr>
      <w:r/>
      <w:hyperlink w:tooltip="#_Toc100026" w:anchor="_Toc100026" w:history="1">
        <w:r>
          <w:t xml:space="preserve">1.4.2 Documentos del proyecto</w:t>
        </w:r>
        <w:r>
          <w:tab/>
        </w:r>
        <w:r>
          <w:t xml:space="preserve">17</w:t>
        </w:r>
      </w:hyperlink>
      <w:r/>
      <w:r/>
    </w:p>
    <w:p>
      <w:pPr>
        <w:pStyle w:val="736"/>
        <w:pBdr/>
        <w:spacing/>
        <w:ind/>
        <w:rPr/>
      </w:pPr>
      <w:r/>
      <w:hyperlink w:tooltip="#_Toc100027" w:anchor="_Toc100027" w:history="1">
        <w:r>
          <w:t xml:space="preserve">1.4.3 Normas técnicas y legales</w:t>
        </w:r>
        <w:r>
          <w:tab/>
        </w:r>
        <w:r>
          <w:t xml:space="preserve">17</w:t>
        </w:r>
      </w:hyperlink>
      <w:r/>
      <w:r/>
    </w:p>
    <w:p>
      <w:pPr>
        <w:pStyle w:val="736"/>
        <w:pBdr/>
        <w:spacing/>
        <w:ind/>
        <w:rPr/>
      </w:pPr>
      <w:r/>
      <w:hyperlink w:tooltip="#_Toc100028" w:anchor="_Toc100028" w:history="1">
        <w:r>
          <w:t xml:space="preserve">1.4.4 Fuentes secundarias</w:t>
        </w:r>
        <w:r>
          <w:tab/>
        </w:r>
        <w:r>
          <w:t xml:space="preserve">18</w:t>
        </w:r>
      </w:hyperlink>
      <w:r/>
      <w:r/>
    </w:p>
    <w:p>
      <w:pPr>
        <w:pStyle w:val="736"/>
        <w:pBdr/>
        <w:spacing/>
        <w:ind/>
        <w:rPr/>
      </w:pPr>
      <w:r/>
      <w:hyperlink w:tooltip="#_Toc100029" w:anchor="_Toc100029" w:history="1">
        <w:r>
          <w:t xml:space="preserve">1.4.5 Precedencia entre fuentes</w:t>
        </w:r>
        <w:r>
          <w:tab/>
        </w:r>
        <w:r>
          <w:t xml:space="preserve">18</w:t>
        </w:r>
      </w:hyperlink>
      <w:r/>
      <w:r/>
    </w:p>
    <w:p>
      <w:pPr>
        <w:pStyle w:val="736"/>
        <w:pBdr/>
        <w:spacing/>
        <w:ind/>
        <w:rPr/>
      </w:pPr>
      <w:r/>
      <w:hyperlink w:tooltip="#_Toc100030" w:anchor="_Toc100030" w:history="1">
        <w:r>
          <w:t xml:space="preserve">1.4.6 Documentos revisados que no se usan como fuente</w:t>
        </w:r>
        <w:r>
          <w:tab/>
        </w:r>
        <w:r>
          <w:t xml:space="preserve">18</w:t>
        </w:r>
      </w:hyperlink>
      <w:r/>
      <w:r/>
    </w:p>
    <w:p>
      <w:pPr>
        <w:pStyle w:val="735"/>
        <w:pBdr/>
        <w:spacing/>
        <w:ind/>
        <w:rPr/>
      </w:pPr>
      <w:r/>
      <w:hyperlink w:tooltip="#_Toc100031" w:anchor="_Toc100031" w:history="1">
        <w:r>
          <w:t xml:space="preserve">1.5 Visión general del documento</w:t>
        </w:r>
        <w:r>
          <w:tab/>
        </w:r>
        <w:r>
          <w:t xml:space="preserve">19</w:t>
        </w:r>
      </w:hyperlink>
      <w:r/>
      <w:r/>
    </w:p>
    <w:p>
      <w:pPr>
        <w:pStyle w:val="736"/>
        <w:pBdr/>
        <w:spacing/>
        <w:ind/>
        <w:rPr/>
      </w:pPr>
      <w:r/>
      <w:hyperlink w:tooltip="#_Toc100032" w:anchor="_Toc100032" w:history="1">
        <w:r>
          <w:t xml:space="preserve">1.5.1 Organización del documento</w:t>
        </w:r>
        <w:r>
          <w:tab/>
        </w:r>
        <w:r>
          <w:t xml:space="preserve">19</w:t>
        </w:r>
      </w:hyperlink>
      <w:r/>
      <w:r/>
    </w:p>
    <w:p>
      <w:pPr>
        <w:pStyle w:val="736"/>
        <w:pBdr/>
        <w:spacing/>
        <w:ind/>
        <w:rPr/>
      </w:pPr>
      <w:r/>
      <w:hyperlink w:tooltip="#_Toc100033" w:anchor="_Toc100033" w:history="1">
        <w:r>
          <w:t xml:space="preserve">1.5.2 Convenciones</w:t>
        </w:r>
        <w:r>
          <w:tab/>
        </w:r>
        <w:r>
          <w:t xml:space="preserve">19</w:t>
        </w:r>
      </w:hyperlink>
      <w:r/>
      <w:r/>
    </w:p>
    <w:p>
      <w:pPr>
        <w:pStyle w:val="736"/>
        <w:pBdr/>
        <w:spacing/>
        <w:ind/>
        <w:rPr/>
      </w:pPr>
      <w:r/>
      <w:hyperlink w:tooltip="#_Toc100034" w:anchor="_Toc100034" w:history="1">
        <w:r>
          <w:t xml:space="preserve">1.5.3 Modelado del sistema</w:t>
        </w:r>
        <w:r>
          <w:tab/>
        </w:r>
        <w:r>
          <w:t xml:space="preserve">20</w:t>
        </w:r>
      </w:hyperlink>
      <w:r/>
      <w:r/>
    </w:p>
    <w:p>
      <w:pPr>
        <w:pStyle w:val="735"/>
        <w:pBdr/>
        <w:spacing/>
        <w:ind/>
        <w:rPr/>
      </w:pPr>
      <w:r/>
      <w:hyperlink w:tooltip="#_Toc100038" w:anchor="_Toc100038" w:history="1">
        <w:r>
          <w:t xml:space="preserve">1.6 Personal involucrado</w:t>
        </w:r>
        <w:r>
          <w:tab/>
        </w:r>
        <w:r>
          <w:t xml:space="preserve">23</w:t>
        </w:r>
      </w:hyperlink>
      <w:r>
        <w:fldChar w:fldCharType="end"/>
      </w:r>
      <w:r/>
    </w:p>
    <w:p>
      <w:pPr>
        <w:pBdr/>
        <w:spacing/>
        <w:ind/>
        <w:rPr/>
      </w:pPr>
      <w:r>
        <w:br w:type="page" w:clear="all"/>
      </w:r>
      <w:r/>
    </w:p>
    <w:p>
      <w:pPr>
        <w:pStyle w:val="723"/>
        <w:pBdr/>
        <w:spacing/>
        <w:ind/>
        <w:rPr/>
      </w:pPr>
      <w:r/>
      <w:bookmarkStart w:id="1" w:name="_Toc100001"/>
      <w:r>
        <w:t xml:space="preserve">1. Introducción</w:t>
      </w:r>
      <w:bookmarkEnd w:id="1"/>
      <w:r/>
      <w:r/>
    </w:p>
    <w:p>
      <w:pPr>
        <w:pBdr/>
        <w:spacing/>
        <w:ind/>
        <w:rPr/>
      </w:pPr>
      <w:r>
        <w:t xml:space="preserve">Este documento es la Especificación de Requisitos de Software (ERS) del Sistema </w:t>
      </w:r>
      <w:r>
        <w:t xml:space="preserve">de Gestión de la Liga Municipal de Futbol Amateur Morelia. Se elabora conforme a la norma ISO/IEC/IEEE 29148:2018 [REF-09]. La norma IEEE Std 830-1998 [REF-10] se usa solo como referencia histórica, porque es la base de la plantilla de referencia [REF-08].</w:t>
      </w:r>
      <w:r/>
    </w:p>
    <w:p>
      <w:pPr>
        <w:pStyle w:val="724"/>
        <w:pBdr/>
        <w:spacing/>
        <w:ind/>
        <w:rPr/>
      </w:pPr>
      <w:r/>
      <w:bookmarkStart w:id="2" w:name="_Toc100002"/>
      <w:r>
        <w:t xml:space="preserve">1.1 Propósito</w:t>
      </w:r>
      <w:bookmarkEnd w:id="2"/>
      <w:r/>
      <w:r/>
    </w:p>
    <w:p>
      <w:pPr>
        <w:pStyle w:val="725"/>
        <w:pBdr/>
        <w:spacing/>
        <w:ind/>
        <w:rPr/>
      </w:pPr>
      <w:r/>
      <w:bookmarkStart w:id="3" w:name="_Toc100003"/>
      <w:r>
        <w:t xml:space="preserve">1.1.1 Propósito del documento</w:t>
      </w:r>
      <w:bookmarkEnd w:id="3"/>
      <w:r/>
      <w:r/>
    </w:p>
    <w:p>
      <w:pPr>
        <w:pBdr/>
        <w:spacing/>
        <w:ind/>
        <w:rPr/>
      </w:pPr>
      <w:r>
        <w:t xml:space="preserve">Este ERS tiene tres propósitos:</w:t>
      </w:r>
      <w:r/>
    </w:p>
    <w:p>
      <w:pPr>
        <w:pStyle w:val="730"/>
        <w:numPr>
          <w:ilvl w:val="0"/>
          <w:numId w:val="1"/>
        </w:numPr>
        <w:pBdr/>
        <w:spacing/>
        <w:ind/>
        <w:rPr/>
      </w:pPr>
      <w:r>
        <w:t xml:space="preserve">Definir de forma verificable qué debe hacer el Sistema y qué queda fuera de su alcance, para que la Liga y el equipo de desarrollo compartan un acuerdo único y explícito.</w:t>
      </w:r>
      <w:r/>
    </w:p>
    <w:p>
      <w:pPr>
        <w:pStyle w:val="730"/>
        <w:numPr>
          <w:ilvl w:val="0"/>
          <w:numId w:val="1"/>
        </w:numPr>
        <w:pBdr/>
        <w:spacing/>
        <w:ind/>
        <w:rPr/>
      </w:pPr>
      <w:r>
        <w:t xml:space="preserve">Servir como base para las actividades posteriores del ciclo de vida: diseño, construcción, pruebas, aceptación y mantenimiento.</w:t>
      </w:r>
      <w:r/>
    </w:p>
    <w:p>
      <w:pPr>
        <w:pStyle w:val="730"/>
        <w:numPr>
          <w:ilvl w:val="0"/>
          <w:numId w:val="1"/>
        </w:numPr>
        <w:pBdr/>
        <w:spacing/>
        <w:ind/>
        <w:rPr/>
      </w:pPr>
      <w:r>
        <w:t xml:space="preserve">Mantener la trazabilidad entre las necesidades de la Liga, sus documentos normativos (convocatorias, reglamento interno y estatutos) y los requisitos del Sistema.</w:t>
      </w:r>
      <w:r/>
    </w:p>
    <w:p>
      <w:pPr>
        <w:pStyle w:val="725"/>
        <w:pBdr/>
        <w:spacing/>
        <w:ind/>
        <w:rPr/>
      </w:pPr>
      <w:r/>
      <w:bookmarkStart w:id="4" w:name="_Toc100004"/>
      <w:r>
        <w:t xml:space="preserve">1.1.2 Propósito del software</w:t>
      </w:r>
      <w:bookmarkEnd w:id="4"/>
      <w:r/>
      <w:r/>
    </w:p>
    <w:p>
      <w:pPr>
        <w:pBdr/>
        <w:spacing/>
        <w:ind/>
        <w:rPr/>
      </w:pPr>
      <w:r>
        <w:t xml:space="preserve">El</w:t>
      </w:r>
      <w:r>
        <w:t xml:space="preserve"> Sistema reemplazará el manejo manual de la información deportiva y administrativa de la Liga. Hoy esa información se lleva en documentos impresos, en hojas de cálculo de Excel exportadas a formatos visuales y en publicaciones de Facebook [REF-07, P11]. El</w:t>
      </w:r>
      <w:r>
        <w:t xml:space="preserve"> Sistema concentrará en una sola aplicación web la gestión de clubes, equipos, jugadores, programación de partidos, resultados, tablas de posiciones, disciplina y aportaciones económicas, y publicará la información oficial en un portal de consulta pública.</w:t>
      </w:r>
      <w:r/>
      <w:r/>
      <w:r/>
      <w:r/>
    </w:p>
    <w:p>
      <w:pPr>
        <w:pStyle w:val="724"/>
        <w:pBdr/>
        <w:spacing/>
        <w:ind/>
        <w:rPr/>
      </w:pPr>
      <w:r/>
      <w:bookmarkStart w:id="7" w:name="_Toc100007"/>
      <w:r>
        <w:t xml:space="preserve">1.2 Alcance</w:t>
      </w:r>
      <w:bookmarkEnd w:id="7"/>
      <w:r/>
      <w:r/>
      <w:r/>
      <w:r/>
      <w:r/>
    </w:p>
    <w:p>
      <w:pPr>
        <w:pStyle w:val="725"/>
        <w:pBdr/>
        <w:spacing/>
        <w:ind/>
        <w:rPr/>
      </w:pPr>
      <w:r/>
      <w:bookmarkStart w:id="10" w:name="_Toc100010"/>
      <w:r>
        <w:t xml:space="preserve">1.2.3 Situación actual</w:t>
      </w:r>
      <w:bookmarkEnd w:id="10"/>
      <w:r/>
      <w:r/>
    </w:p>
    <w:p>
      <w:pPr>
        <w:pBdr/>
        <w:spacing/>
        <w:ind/>
        <w:rPr/>
      </w:pPr>
      <w:r>
        <w:t xml:space="preserve">Hoy la Liga opera así [REF-07]:</w:t>
      </w:r>
      <w:r/>
    </w:p>
    <w:p>
      <w:pPr>
        <w:pStyle w:val="730"/>
        <w:numPr>
          <w:ilvl w:val="0"/>
          <w:numId w:val="1"/>
        </w:numPr>
        <w:pBdr/>
        <w:spacing/>
        <w:ind/>
        <w:rPr/>
      </w:pPr>
      <w:r>
        <w:t xml:space="preserve">Combina publicaciones en Facebook, hojas de cálculo de Excel exportadas a formatos visuales y documentos impresos. Todo se lleva a mano, incluida la programación de partidos.</w:t>
      </w:r>
      <w:r/>
    </w:p>
    <w:p>
      <w:pPr>
        <w:pStyle w:val="730"/>
        <w:numPr>
          <w:ilvl w:val="0"/>
          <w:numId w:val="1"/>
        </w:numPr>
        <w:pBdr/>
        <w:spacing/>
        <w:ind/>
        <w:rPr/>
      </w:pPr>
      <w:r>
        <w:t xml:space="preserve">La Secretaría de la Liga programa los horarios de juego [REF-01, I-d].</w:t>
      </w:r>
      <w:r/>
    </w:p>
    <w:p>
      <w:pPr>
        <w:pStyle w:val="730"/>
        <w:numPr>
          <w:ilvl w:val="0"/>
          <w:numId w:val="1"/>
        </w:numPr>
        <w:pBdr/>
        <w:spacing/>
        <w:ind/>
        <w:rPr/>
      </w:pPr>
      <w:r>
        <w:t xml:space="preserve">La programación oficial se publica como imagen o PDF («sábana de programación»). La directiva la envía a portales locales (La Extra, Fanáticos, La Muni) para su difusión.</w:t>
      </w:r>
      <w:r/>
    </w:p>
    <w:p>
      <w:pPr>
        <w:pStyle w:val="730"/>
        <w:numPr>
          <w:ilvl w:val="0"/>
          <w:numId w:val="1"/>
        </w:numPr>
        <w:pBdr/>
        <w:spacing/>
        <w:ind/>
        <w:rPr/>
      </w:pPr>
      <w:r>
        <w:t xml:space="preserve">Cada p</w:t>
      </w:r>
      <w:r>
        <w:t xml:space="preserve">artido se documenta en una cédula de papel. La cédula viaja de la cancha al colegio de árbitros y de ahí a las oficinas de la Liga, donde se captura en Excel y el Tribunal de Penas dictamina las suspensiones. El proceso completo se modela en 1.5.3.2.</w:t>
      </w:r>
      <w:r/>
    </w:p>
    <w:p>
      <w:pPr>
        <w:pStyle w:val="730"/>
        <w:numPr>
          <w:ilvl w:val="0"/>
          <w:numId w:val="1"/>
        </w:numPr>
        <w:pBdr/>
        <w:spacing/>
        <w:ind/>
        <w:rPr/>
      </w:pPr>
      <w:r>
        <w:t xml:space="preserve">Los delegados acuden a reuniones semanales en las oficinas de la Liga, donde reciben los horarios oficiales de la jornada, recogen credenciales selladas y se les notifican las sanciones.</w:t>
      </w:r>
      <w:r/>
    </w:p>
    <w:p>
      <w:pPr>
        <w:pStyle w:val="730"/>
        <w:numPr>
          <w:ilvl w:val="0"/>
          <w:numId w:val="1"/>
        </w:numPr>
        <w:pBdr/>
        <w:spacing/>
        <w:ind/>
        <w:rPr/>
      </w:pPr>
      <w:r>
        <w:t xml:space="preserve">Los clubes pagan en las oficinas o en la tesorería de la Liga, en días y horarios fijos, la inscripción, los registros, los arbitrajes y las aportaciones [REF-01, IX; REF-02, V].</w:t>
      </w:r>
      <w:r/>
    </w:p>
    <w:p>
      <w:pPr>
        <w:keepNext w:val="true"/>
        <w:pBdr/>
        <w:spacing/>
        <w:ind/>
        <w:rPr/>
      </w:pPr>
      <w:r>
        <w:t xml:space="preserve">Problemas identificados:</w:t>
      </w:r>
      <w:r/>
    </w:p>
    <w:p>
      <w:pPr>
        <w:pStyle w:val="732"/>
        <w:keepNext w:val="true"/>
        <w:pBdr/>
        <w:spacing/>
        <w:ind/>
        <w:rPr/>
      </w:pPr>
      <w:r>
        <w:rPr>
          <w:b/>
          <w:bCs/>
          <w:color w:val="241a61"/>
          <w:sz w:val="18"/>
          <w:szCs w:val="18"/>
        </w:rPr>
        <w:t xml:space="preserve">Tabla 4. </w:t>
      </w:r>
      <w:r>
        <w:rPr>
          <w:sz w:val="18"/>
          <w:szCs w:val="18"/>
        </w:rPr>
        <w:t xml:space="preserve">Problemas identificados en la operación actual.</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800"/>
        <w:gridCol w:w="5404"/>
        <w:gridCol w:w="1500"/>
        <w:gridCol w:w="1700"/>
      </w:tblGrid>
      <w:tr>
        <w:trPr>
          <w:cantSplit/>
          <w:tblHeader/>
        </w:trPr>
        <w:tc>
          <w:tcPr>
            <w:shd w:val="clear" w:color="auto" w:fill="241a61"/>
            <w:tcBorders/>
            <w:tcW w:w="800" w:type="dxa"/>
            <w:vAlign w:val="center"/>
          </w:tcPr>
          <w:p>
            <w:pPr>
              <w:pStyle w:val="731"/>
              <w:pBdr/>
              <w:spacing/>
              <w:ind/>
              <w:rPr/>
            </w:pPr>
            <w:r>
              <w:rPr>
                <w:b/>
                <w:bCs/>
                <w:color w:val="ffffff"/>
              </w:rPr>
              <w:t xml:space="preserve">ID</w:t>
            </w:r>
            <w:r/>
          </w:p>
        </w:tc>
        <w:tc>
          <w:tcPr>
            <w:shd w:val="clear" w:color="auto" w:fill="241a61"/>
            <w:tcBorders/>
            <w:tcW w:w="5404" w:type="dxa"/>
            <w:vAlign w:val="center"/>
          </w:tcPr>
          <w:p>
            <w:pPr>
              <w:pStyle w:val="731"/>
              <w:pBdr/>
              <w:spacing/>
              <w:ind/>
              <w:rPr/>
            </w:pPr>
            <w:r>
              <w:rPr>
                <w:b/>
                <w:bCs/>
                <w:color w:val="ffffff"/>
              </w:rPr>
              <w:t xml:space="preserve">Problema</w:t>
            </w:r>
            <w:r/>
          </w:p>
        </w:tc>
        <w:tc>
          <w:tcPr>
            <w:shd w:val="clear" w:color="auto" w:fill="241a61"/>
            <w:tcBorders/>
            <w:tcW w:w="1500" w:type="dxa"/>
            <w:vAlign w:val="center"/>
          </w:tcPr>
          <w:p>
            <w:pPr>
              <w:pStyle w:val="731"/>
              <w:pBdr/>
              <w:spacing/>
              <w:ind/>
              <w:rPr/>
            </w:pPr>
            <w:r>
              <w:rPr>
                <w:b/>
                <w:bCs/>
                <w:color w:val="ffffff"/>
              </w:rPr>
              <w:t xml:space="preserve">Tipo</w:t>
            </w:r>
            <w:r/>
          </w:p>
        </w:tc>
        <w:tc>
          <w:tcPr>
            <w:shd w:val="clear" w:color="auto" w:fill="241a61"/>
            <w:tcBorders/>
            <w:tcW w:w="1700" w:type="dxa"/>
            <w:vAlign w:val="center"/>
          </w:tcPr>
          <w:p>
            <w:pPr>
              <w:pStyle w:val="731"/>
              <w:pBdr/>
              <w:spacing/>
              <w:ind/>
              <w:rPr/>
            </w:pPr>
            <w:r>
              <w:rPr>
                <w:b/>
                <w:bCs/>
                <w:color w:val="ffffff"/>
              </w:rPr>
              <w:t xml:space="preserve">Fuente</w:t>
            </w:r>
            <w:r/>
          </w:p>
        </w:tc>
      </w:tr>
      <w:tr>
        <w:trPr>
          <w:cantSplit/>
        </w:trPr>
        <w:tc>
          <w:tcPr>
            <w:tcBorders/>
            <w:tcW w:w="800" w:type="dxa"/>
          </w:tcPr>
          <w:p>
            <w:pPr>
              <w:pStyle w:val="731"/>
              <w:pBdr/>
              <w:spacing/>
              <w:ind/>
              <w:rPr/>
            </w:pPr>
            <w:r>
              <w:t xml:space="preserve">PR-01</w:t>
            </w:r>
            <w:r/>
          </w:p>
        </w:tc>
        <w:tc>
          <w:tcPr>
            <w:tcBorders/>
            <w:tcW w:w="5404" w:type="dxa"/>
          </w:tcPr>
          <w:p>
            <w:pPr>
              <w:pStyle w:val="731"/>
              <w:pBdr/>
              <w:spacing/>
              <w:ind/>
              <w:rPr/>
            </w:pPr>
            <w:r>
              <w:t xml:space="preserve">Toda la operación (programación, resultados, tablas y sanciones) se realiza a mano.</w:t>
            </w:r>
            <w:r/>
          </w:p>
        </w:tc>
        <w:tc>
          <w:tcPr>
            <w:tcBorders/>
            <w:tcW w:w="1500" w:type="dxa"/>
          </w:tcPr>
          <w:p>
            <w:pPr>
              <w:pStyle w:val="731"/>
              <w:pBdr/>
              <w:spacing/>
              <w:ind/>
              <w:rPr/>
            </w:pPr>
            <w:r>
              <w:t xml:space="preserve">Hecho</w:t>
            </w:r>
            <w:r/>
          </w:p>
        </w:tc>
        <w:tc>
          <w:tcPr>
            <w:tcBorders/>
            <w:tcW w:w="1700" w:type="dxa"/>
          </w:tcPr>
          <w:p>
            <w:pPr>
              <w:pStyle w:val="731"/>
              <w:pBdr/>
              <w:spacing/>
              <w:ind/>
              <w:rPr/>
            </w:pPr>
            <w:r>
              <w:t xml:space="preserve">REF-07, P11</w:t>
            </w:r>
            <w:r/>
          </w:p>
        </w:tc>
      </w:tr>
      <w:tr>
        <w:trPr>
          <w:cantSplit/>
        </w:trPr>
        <w:tc>
          <w:tcPr>
            <w:shd w:val="clear" w:color="auto" w:fill="fafafc"/>
            <w:tcBorders/>
            <w:tcW w:w="800" w:type="dxa"/>
          </w:tcPr>
          <w:p>
            <w:pPr>
              <w:pStyle w:val="731"/>
              <w:pBdr/>
              <w:spacing/>
              <w:ind/>
              <w:rPr/>
            </w:pPr>
            <w:r>
              <w:t xml:space="preserve">PR-02</w:t>
            </w:r>
            <w:r/>
          </w:p>
        </w:tc>
        <w:tc>
          <w:tcPr>
            <w:shd w:val="clear" w:color="auto" w:fill="fafafc"/>
            <w:tcBorders/>
            <w:tcW w:w="5404" w:type="dxa"/>
          </w:tcPr>
          <w:p>
            <w:pPr>
              <w:pStyle w:val="731"/>
              <w:pBdr/>
              <w:spacing/>
              <w:ind/>
              <w:rPr/>
            </w:pPr>
            <w:r>
              <w:t xml:space="preserve">Los datos de cada partido se escriben dos veces: primero en la cédula de papel y después en Excel.</w:t>
            </w:r>
            <w:r/>
          </w:p>
        </w:tc>
        <w:tc>
          <w:tcPr>
            <w:shd w:val="clear" w:color="auto" w:fill="fafafc"/>
            <w:tcBorders/>
            <w:tcW w:w="1500" w:type="dxa"/>
          </w:tcPr>
          <w:p>
            <w:pPr>
              <w:pStyle w:val="731"/>
              <w:pBdr/>
              <w:spacing/>
              <w:ind/>
              <w:rPr/>
            </w:pPr>
            <w:r>
              <w:t xml:space="preserve">Hecho (derivado del proceso descrito)</w:t>
            </w:r>
            <w:r/>
          </w:p>
        </w:tc>
        <w:tc>
          <w:tcPr>
            <w:shd w:val="clear" w:color="auto" w:fill="fafafc"/>
            <w:tcBorders/>
            <w:tcW w:w="1700" w:type="dxa"/>
          </w:tcPr>
          <w:p>
            <w:pPr>
              <w:pStyle w:val="731"/>
              <w:pBdr/>
              <w:spacing/>
              <w:ind/>
              <w:rPr/>
            </w:pPr>
            <w:r>
              <w:t xml:space="preserve">REF-07, P19</w:t>
            </w:r>
            <w:r/>
          </w:p>
        </w:tc>
      </w:tr>
      <w:tr>
        <w:trPr>
          <w:cantSplit/>
        </w:trPr>
        <w:tc>
          <w:tcPr>
            <w:tcBorders/>
            <w:tcW w:w="800" w:type="dxa"/>
          </w:tcPr>
          <w:p>
            <w:pPr>
              <w:pStyle w:val="731"/>
              <w:pBdr/>
              <w:spacing/>
              <w:ind/>
              <w:rPr/>
            </w:pPr>
            <w:r>
              <w:t xml:space="preserve">PR-03</w:t>
            </w:r>
            <w:r/>
          </w:p>
        </w:tc>
        <w:tc>
          <w:tcPr>
            <w:tcBorders/>
            <w:tcW w:w="5404" w:type="dxa"/>
          </w:tcPr>
          <w:p>
            <w:pPr>
              <w:pStyle w:val="731"/>
              <w:pBdr/>
              <w:spacing/>
              <w:ind/>
              <w:rPr/>
            </w:pPr>
            <w:r>
              <w:t xml:space="preserve">En los partidos de fin de semana, las cédulas llegan a la Liga entre 1 y 3 días después del partido (lunes o martes), por traslado físico. Eso retrasa la actualización de tablas y el boletín de castigados.</w:t>
            </w:r>
            <w:r/>
          </w:p>
        </w:tc>
        <w:tc>
          <w:tcPr>
            <w:tcBorders/>
            <w:tcW w:w="1500" w:type="dxa"/>
          </w:tcPr>
          <w:p>
            <w:pPr>
              <w:pStyle w:val="731"/>
              <w:pBdr/>
              <w:spacing/>
              <w:ind/>
              <w:rPr/>
            </w:pPr>
            <w:r>
              <w:t xml:space="preserve">Hecho (derivado del proceso descrito)</w:t>
            </w:r>
            <w:r/>
          </w:p>
        </w:tc>
        <w:tc>
          <w:tcPr>
            <w:tcBorders/>
            <w:tcW w:w="1700" w:type="dxa"/>
          </w:tcPr>
          <w:p>
            <w:pPr>
              <w:pStyle w:val="731"/>
              <w:pBdr/>
              <w:spacing/>
              <w:ind/>
              <w:rPr/>
            </w:pPr>
            <w:r>
              <w:t xml:space="preserve">REF-07, P19</w:t>
            </w:r>
            <w:r/>
          </w:p>
        </w:tc>
      </w:tr>
      <w:tr>
        <w:trPr>
          <w:cantSplit/>
        </w:trPr>
        <w:tc>
          <w:tcPr>
            <w:shd w:val="clear" w:color="auto" w:fill="fafafc"/>
            <w:tcBorders/>
            <w:tcW w:w="800" w:type="dxa"/>
          </w:tcPr>
          <w:p>
            <w:pPr>
              <w:pStyle w:val="731"/>
              <w:pBdr/>
              <w:spacing/>
              <w:ind/>
              <w:rPr/>
            </w:pPr>
            <w:r>
              <w:t xml:space="preserve">PR-04</w:t>
            </w:r>
            <w:r/>
          </w:p>
        </w:tc>
        <w:tc>
          <w:tcPr>
            <w:shd w:val="clear" w:color="auto" w:fill="fafafc"/>
            <w:tcBorders/>
            <w:tcW w:w="5404" w:type="dxa"/>
          </w:tcPr>
          <w:p>
            <w:pPr>
              <w:pStyle w:val="731"/>
              <w:pBdr/>
              <w:spacing/>
              <w:ind/>
              <w:rPr/>
            </w:pPr>
            <w:r>
              <w:t xml:space="preserve">La información oficial se publica como imágenes o PDF en Facebook y en portales de terceros. No existe un repositorio único consultable por equipo, categoría o fecha.</w:t>
            </w:r>
            <w:r/>
          </w:p>
        </w:tc>
        <w:tc>
          <w:tcPr>
            <w:shd w:val="clear" w:color="auto" w:fill="fafafc"/>
            <w:tcBorders/>
            <w:tcW w:w="1500" w:type="dxa"/>
          </w:tcPr>
          <w:p>
            <w:pPr>
              <w:pStyle w:val="731"/>
              <w:pBdr/>
              <w:spacing/>
              <w:ind/>
              <w:rPr/>
            </w:pPr>
            <w:r>
              <w:t xml:space="preserve">Hecho</w:t>
            </w:r>
            <w:r/>
          </w:p>
        </w:tc>
        <w:tc>
          <w:tcPr>
            <w:shd w:val="clear" w:color="auto" w:fill="fafafc"/>
            <w:tcBorders/>
            <w:tcW w:w="1700" w:type="dxa"/>
          </w:tcPr>
          <w:p>
            <w:pPr>
              <w:pStyle w:val="731"/>
              <w:pBdr/>
              <w:spacing/>
              <w:ind/>
              <w:rPr/>
            </w:pPr>
            <w:r>
              <w:t xml:space="preserve">REF-07, P11, P17, P18</w:t>
            </w:r>
            <w:r/>
          </w:p>
        </w:tc>
      </w:tr>
      <w:tr>
        <w:trPr>
          <w:cantSplit/>
        </w:trPr>
        <w:tc>
          <w:tcPr>
            <w:tcBorders/>
            <w:tcW w:w="800" w:type="dxa"/>
          </w:tcPr>
          <w:p>
            <w:pPr>
              <w:pStyle w:val="731"/>
              <w:pBdr/>
              <w:spacing/>
              <w:ind/>
              <w:rPr/>
            </w:pPr>
            <w:r>
              <w:t xml:space="preserve">PR-05</w:t>
            </w:r>
            <w:r/>
          </w:p>
        </w:tc>
        <w:tc>
          <w:tcPr>
            <w:tcBorders/>
            <w:tcW w:w="5404" w:type="dxa"/>
          </w:tcPr>
          <w:p>
            <w:pPr>
              <w:pStyle w:val="731"/>
              <w:pBdr/>
              <w:spacing/>
              <w:ind/>
              <w:rPr/>
            </w:pPr>
            <w:r>
              <w:t xml:space="preserve">La programación se arma a mano para un volumen alto de partidos. Con 732 equipos, una jornada completa podría implicar del orden de 360 partidos (732 ÷ 2, sin contar descansos). </w:t>
            </w:r>
            <w:r/>
            <w:r/>
          </w:p>
        </w:tc>
        <w:tc>
          <w:tcPr>
            <w:tcBorders/>
            <w:tcW w:w="1500" w:type="dxa"/>
          </w:tcPr>
          <w:p>
            <w:pPr>
              <w:pStyle w:val="731"/>
              <w:pBdr/>
              <w:spacing/>
              <w:ind/>
              <w:rPr/>
            </w:pPr>
            <w:r>
              <w:t xml:space="preserve">Propuesta (estimación del análisis)</w:t>
            </w:r>
            <w:r/>
          </w:p>
        </w:tc>
        <w:tc>
          <w:tcPr>
            <w:tcBorders/>
            <w:tcW w:w="1700" w:type="dxa"/>
          </w:tcPr>
          <w:p>
            <w:pPr>
              <w:pStyle w:val="731"/>
              <w:pBdr/>
              <w:spacing/>
              <w:ind/>
              <w:rPr/>
            </w:pPr>
            <w:r>
              <w:t xml:space="preserve">REF-16; REF-07, P11</w:t>
            </w:r>
            <w:r/>
          </w:p>
        </w:tc>
      </w:tr>
      <w:tr>
        <w:trPr>
          <w:cantSplit/>
        </w:trPr>
        <w:tc>
          <w:tcPr>
            <w:shd w:val="clear" w:color="auto" w:fill="fafafc"/>
            <w:tcBorders/>
            <w:tcW w:w="800" w:type="dxa"/>
          </w:tcPr>
          <w:p>
            <w:pPr>
              <w:pStyle w:val="731"/>
              <w:pBdr/>
              <w:spacing/>
              <w:ind/>
              <w:rPr/>
            </w:pPr>
            <w:r>
              <w:t xml:space="preserve">PR-06</w:t>
            </w:r>
            <w:r/>
          </w:p>
        </w:tc>
        <w:tc>
          <w:tcPr>
            <w:shd w:val="clear" w:color="auto" w:fill="fafafc"/>
            <w:tcBorders/>
            <w:tcW w:w="5404" w:type="dxa"/>
          </w:tcPr>
          <w:p>
            <w:pPr>
              <w:pStyle w:val="731"/>
              <w:pBdr/>
              <w:spacing/>
              <w:ind/>
              <w:rPr/>
            </w:pPr>
            <w:r>
              <w:t xml:space="preserve">Las reglas cambian cada temporada. Por ejemplo, la inscripción por categoría de los clubes existentes pasó de $50.00 (2025–2026) a $100.00 (2026–2027) y la aportación para trofeos pasó de $800.00 a $1,200.00.</w:t>
            </w:r>
            <w:r/>
          </w:p>
        </w:tc>
        <w:tc>
          <w:tcPr>
            <w:shd w:val="clear" w:color="auto" w:fill="fafafc"/>
            <w:tcBorders/>
            <w:tcW w:w="1500" w:type="dxa"/>
          </w:tcPr>
          <w:p>
            <w:pPr>
              <w:pStyle w:val="731"/>
              <w:pBdr/>
              <w:spacing/>
              <w:ind/>
              <w:rPr/>
            </w:pPr>
            <w:r>
              <w:t xml:space="preserve">Hecho</w:t>
            </w:r>
            <w:r/>
          </w:p>
        </w:tc>
        <w:tc>
          <w:tcPr>
            <w:shd w:val="clear" w:color="auto" w:fill="fafafc"/>
            <w:tcBorders/>
            <w:tcW w:w="1700" w:type="dxa"/>
          </w:tcPr>
          <w:p>
            <w:pPr>
              <w:pStyle w:val="731"/>
              <w:pBdr/>
              <w:spacing/>
              <w:ind/>
              <w:rPr/>
            </w:pPr>
            <w:r>
              <w:t xml:space="preserve">REF-14; REF-01</w:t>
            </w:r>
            <w:r/>
          </w:p>
        </w:tc>
      </w:tr>
    </w:tbl>
    <w:p>
      <w:pPr>
        <w:pBdr/>
        <w:spacing w:after="60" w:before="0"/>
        <w:ind/>
        <w:rPr/>
      </w:pPr>
      <w:r/>
      <w:r/>
    </w:p>
    <w:p>
      <w:pPr>
        <w:pStyle w:val="725"/>
        <w:pBdr/>
        <w:spacing/>
        <w:ind/>
        <w:rPr/>
      </w:pPr>
      <w:r/>
      <w:bookmarkStart w:id="11" w:name="_Toc100011"/>
      <w:r>
        <w:t xml:space="preserve">1.2.4 Objetivos del producto</w:t>
      </w:r>
      <w:bookmarkEnd w:id="11"/>
      <w:r/>
      <w:r/>
    </w:p>
    <w:p>
      <w:pPr>
        <w:pBdr/>
        <w:spacing/>
        <w:ind/>
        <w:rPr/>
      </w:pPr>
      <w:r>
        <w:t xml:space="preserve">Los objetivos se derivan de los problemas anteriores. Los indicadores son una </w:t>
      </w:r>
      <w:r>
        <w:rPr>
          <w:b/>
          <w:bCs/>
        </w:rPr>
        <w:t xml:space="preserve">propuesta</w:t>
      </w:r>
      <w:r>
        <w:t xml:space="preserve"> del análisis; las líneas base y las metas deben fijarse con la Liga.</w:t>
      </w:r>
      <w:r/>
    </w:p>
    <w:p>
      <w:pPr>
        <w:pStyle w:val="732"/>
        <w:keepNext w:val="true"/>
        <w:pBdr/>
        <w:spacing/>
        <w:ind/>
        <w:rPr/>
      </w:pPr>
      <w:r>
        <w:rPr>
          <w:b/>
          <w:bCs/>
          <w:color w:val="241a61"/>
          <w:sz w:val="18"/>
          <w:szCs w:val="18"/>
        </w:rPr>
        <w:t xml:space="preserve">Tabla 5. </w:t>
      </w:r>
      <w:r>
        <w:rPr>
          <w:sz w:val="18"/>
          <w:szCs w:val="18"/>
        </w:rPr>
        <w:t xml:space="preserve">Objetivos del producto e indicadores propuestos.</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850"/>
        <w:gridCol w:w="3200"/>
        <w:gridCol w:w="2300"/>
        <w:gridCol w:w="1550"/>
        <w:gridCol w:w="1504"/>
      </w:tblGrid>
      <w:tr>
        <w:trPr>
          <w:cantSplit/>
          <w:tblHeader/>
        </w:trPr>
        <w:tc>
          <w:tcPr>
            <w:shd w:val="clear" w:color="auto" w:fill="241a61"/>
            <w:tcBorders/>
            <w:tcW w:w="850" w:type="dxa"/>
            <w:vAlign w:val="center"/>
          </w:tcPr>
          <w:p>
            <w:pPr>
              <w:pStyle w:val="731"/>
              <w:pBdr/>
              <w:spacing/>
              <w:ind/>
              <w:rPr/>
            </w:pPr>
            <w:r>
              <w:rPr>
                <w:b/>
                <w:bCs/>
                <w:color w:val="ffffff"/>
              </w:rPr>
              <w:t xml:space="preserve">ID</w:t>
            </w:r>
            <w:r/>
          </w:p>
        </w:tc>
        <w:tc>
          <w:tcPr>
            <w:shd w:val="clear" w:color="auto" w:fill="241a61"/>
            <w:tcBorders/>
            <w:tcW w:w="3200" w:type="dxa"/>
            <w:vAlign w:val="center"/>
          </w:tcPr>
          <w:p>
            <w:pPr>
              <w:pStyle w:val="731"/>
              <w:pBdr/>
              <w:spacing/>
              <w:ind/>
              <w:rPr/>
            </w:pPr>
            <w:r>
              <w:rPr>
                <w:b/>
                <w:bCs/>
                <w:color w:val="ffffff"/>
              </w:rPr>
              <w:t xml:space="preserve">Objetivo</w:t>
            </w:r>
            <w:r/>
          </w:p>
        </w:tc>
        <w:tc>
          <w:tcPr>
            <w:shd w:val="clear" w:color="auto" w:fill="241a61"/>
            <w:tcBorders/>
            <w:tcW w:w="2300" w:type="dxa"/>
            <w:vAlign w:val="center"/>
          </w:tcPr>
          <w:p>
            <w:pPr>
              <w:pStyle w:val="731"/>
              <w:pBdr/>
              <w:spacing/>
              <w:ind/>
              <w:rPr/>
            </w:pPr>
            <w:r>
              <w:rPr>
                <w:b/>
                <w:bCs/>
                <w:color w:val="ffffff"/>
              </w:rPr>
              <w:t xml:space="preserve">Indicador propuesto</w:t>
            </w:r>
            <w:r/>
          </w:p>
        </w:tc>
        <w:tc>
          <w:tcPr>
            <w:shd w:val="clear" w:color="auto" w:fill="241a61"/>
            <w:tcBorders/>
            <w:tcW w:w="1550" w:type="dxa"/>
            <w:vAlign w:val="center"/>
          </w:tcPr>
          <w:p>
            <w:pPr>
              <w:pStyle w:val="731"/>
              <w:pBdr/>
              <w:spacing/>
              <w:ind/>
              <w:rPr/>
            </w:pPr>
            <w:r>
              <w:rPr>
                <w:b/>
                <w:bCs/>
                <w:color w:val="ffffff"/>
              </w:rPr>
              <w:t xml:space="preserve">Línea base</w:t>
            </w:r>
            <w:r/>
          </w:p>
        </w:tc>
        <w:tc>
          <w:tcPr>
            <w:shd w:val="clear" w:color="auto" w:fill="241a61"/>
            <w:tcBorders/>
            <w:tcW w:w="1504" w:type="dxa"/>
            <w:vAlign w:val="center"/>
          </w:tcPr>
          <w:p>
            <w:pPr>
              <w:pStyle w:val="731"/>
              <w:pBdr/>
              <w:spacing/>
              <w:ind/>
              <w:rPr/>
            </w:pPr>
            <w:r>
              <w:rPr>
                <w:b/>
                <w:bCs/>
                <w:color w:val="ffffff"/>
              </w:rPr>
              <w:t xml:space="preserve">Meta</w:t>
            </w:r>
            <w:r/>
          </w:p>
        </w:tc>
      </w:tr>
      <w:tr>
        <w:trPr>
          <w:cantSplit/>
        </w:trPr>
        <w:tc>
          <w:tcPr>
            <w:tcBorders/>
            <w:tcW w:w="850" w:type="dxa"/>
          </w:tcPr>
          <w:p>
            <w:pPr>
              <w:pStyle w:val="731"/>
              <w:pBdr/>
              <w:spacing/>
              <w:ind/>
              <w:rPr/>
            </w:pPr>
            <w:r>
              <w:t xml:space="preserve">OBJ-01</w:t>
            </w:r>
            <w:r/>
          </w:p>
        </w:tc>
        <w:tc>
          <w:tcPr>
            <w:tcBorders/>
            <w:tcW w:w="3200" w:type="dxa"/>
          </w:tcPr>
          <w:p>
            <w:pPr>
              <w:pStyle w:val="731"/>
              <w:pBdr/>
              <w:spacing/>
              <w:ind/>
              <w:rPr/>
            </w:pPr>
            <w:r>
              <w:t xml:space="preserve">Digitalizar y centralizar en un solo sistema la información de la Liga: clubes, equipos, jugadores, registros, programación, resultados, sanciones y pagos (PR-01).</w:t>
            </w:r>
            <w:r/>
          </w:p>
        </w:tc>
        <w:tc>
          <w:tcPr>
            <w:tcBorders/>
            <w:tcW w:w="2300" w:type="dxa"/>
          </w:tcPr>
          <w:p>
            <w:pPr>
              <w:pStyle w:val="731"/>
              <w:pBdr/>
              <w:spacing/>
              <w:ind/>
              <w:rPr/>
            </w:pPr>
            <w:r>
              <w:t xml:space="preserve">Procesos de la Liga que dejan de usar papel o Excel como registro oficial.</w:t>
            </w:r>
            <w:r/>
          </w:p>
        </w:tc>
        <w:tc>
          <w:tcPr>
            <w:tcBorders/>
            <w:tcW w:w="1550" w:type="dxa"/>
          </w:tcPr>
          <w:p>
            <w:pPr>
              <w:pStyle w:val="731"/>
              <w:pBdr/>
              <w:spacing/>
              <w:ind/>
              <w:rPr/>
            </w:pPr>
            <w:r>
              <w:t xml:space="preserve">Ninguno: todo es manual (REF-07, P11).</w:t>
            </w:r>
            <w:r/>
          </w:p>
        </w:tc>
        <w:tc>
          <w:tcPr>
            <w:tcBorders/>
            <w:tcW w:w="1504" w:type="dxa"/>
          </w:tcPr>
          <w:p>
            <w:pPr>
              <w:pStyle w:val="731"/>
              <w:pBdr/>
              <w:spacing/>
              <w:ind/>
              <w:rPr/>
            </w:pPr>
            <w:r>
              <w:rPr>
                <w:b/>
                <w:bCs/>
                <w:color w:val="9c4a00"/>
                <w:shd w:val="clear" w:color="auto" w:fill="fff2cc"/>
              </w:rPr>
              <w:t xml:space="preserve">[POR DEFINIR]</w:t>
            </w:r>
            <w:r/>
          </w:p>
        </w:tc>
      </w:tr>
      <w:tr>
        <w:trPr>
          <w:cantSplit/>
        </w:trPr>
        <w:tc>
          <w:tcPr>
            <w:shd w:val="clear" w:color="auto" w:fill="fafafc"/>
            <w:tcBorders/>
            <w:tcW w:w="850" w:type="dxa"/>
          </w:tcPr>
          <w:p>
            <w:pPr>
              <w:pStyle w:val="731"/>
              <w:pBdr/>
              <w:spacing/>
              <w:ind/>
              <w:rPr/>
            </w:pPr>
            <w:r>
              <w:t xml:space="preserve">OBJ-02</w:t>
            </w:r>
            <w:r/>
          </w:p>
        </w:tc>
        <w:tc>
          <w:tcPr>
            <w:shd w:val="clear" w:color="auto" w:fill="fafafc"/>
            <w:tcBorders/>
            <w:tcW w:w="3200" w:type="dxa"/>
          </w:tcPr>
          <w:p>
            <w:pPr>
              <w:pStyle w:val="731"/>
              <w:pBdr/>
              <w:spacing/>
              <w:ind/>
              <w:rPr/>
            </w:pPr>
            <w:r>
              <w:t xml:space="preserve">Reducir el tiempo para elaborar y publicar la programación de cada jornada mediante generación asistida y detección de conflictos (PR-05).</w:t>
            </w:r>
            <w:r/>
          </w:p>
        </w:tc>
        <w:tc>
          <w:tcPr>
            <w:shd w:val="clear" w:color="auto" w:fill="fafafc"/>
            <w:tcBorders/>
            <w:tcW w:w="2300" w:type="dxa"/>
          </w:tcPr>
          <w:p>
            <w:pPr>
              <w:pStyle w:val="731"/>
              <w:pBdr/>
              <w:spacing/>
              <w:ind/>
              <w:rPr/>
            </w:pPr>
            <w:r>
              <w:t xml:space="preserve">Horas-persona por jornada para elaborar y publicar la programación.</w:t>
            </w:r>
            <w:r/>
          </w:p>
        </w:tc>
        <w:tc>
          <w:tcPr>
            <w:shd w:val="clear" w:color="auto" w:fill="fafafc"/>
            <w:tcBorders/>
            <w:tcW w:w="1550" w:type="dxa"/>
          </w:tcPr>
          <w:p>
            <w:pPr>
              <w:pStyle w:val="731"/>
              <w:pBdr/>
              <w:spacing/>
              <w:ind/>
              <w:rPr/>
            </w:pPr>
            <w:r>
              <w:rPr>
                <w:b/>
                <w:bCs/>
                <w:color w:val="9c4a00"/>
                <w:shd w:val="clear" w:color="auto" w:fill="fff2cc"/>
              </w:rPr>
              <w:t xml:space="preserve">[POR DEFINIR]</w:t>
            </w:r>
            <w:r/>
          </w:p>
        </w:tc>
        <w:tc>
          <w:tcPr>
            <w:shd w:val="clear" w:color="auto" w:fill="fafafc"/>
            <w:tcBorders/>
            <w:tcW w:w="1504" w:type="dxa"/>
          </w:tcPr>
          <w:p>
            <w:pPr>
              <w:pStyle w:val="731"/>
              <w:pBdr/>
              <w:spacing/>
              <w:ind/>
              <w:rPr/>
            </w:pPr>
            <w:r>
              <w:rPr>
                <w:b/>
                <w:bCs/>
                <w:color w:val="9c4a00"/>
                <w:shd w:val="clear" w:color="auto" w:fill="fff2cc"/>
              </w:rPr>
              <w:t xml:space="preserve">[POR DEFINIR]</w:t>
            </w:r>
            <w:r/>
          </w:p>
        </w:tc>
      </w:tr>
      <w:tr>
        <w:trPr>
          <w:cantSplit/>
        </w:trPr>
        <w:tc>
          <w:tcPr>
            <w:tcBorders/>
            <w:tcW w:w="850" w:type="dxa"/>
          </w:tcPr>
          <w:p>
            <w:pPr>
              <w:pStyle w:val="731"/>
              <w:pBdr/>
              <w:spacing/>
              <w:ind/>
              <w:rPr/>
            </w:pPr>
            <w:r>
              <w:t xml:space="preserve">OBJ-03</w:t>
            </w:r>
            <w:r/>
          </w:p>
        </w:tc>
        <w:tc>
          <w:tcPr>
            <w:tcBorders/>
            <w:tcW w:w="3200" w:type="dxa"/>
          </w:tcPr>
          <w:p>
            <w:pPr>
              <w:pStyle w:val="731"/>
              <w:pBdr/>
              <w:spacing/>
              <w:ind/>
              <w:rPr/>
            </w:pPr>
            <w:r>
              <w:t xml:space="preserve">Registrar una sola vez los resultados y las incidencias, y calcular automáticamente tablas y estadísticas (PR-02).</w:t>
            </w:r>
            <w:r/>
          </w:p>
        </w:tc>
        <w:tc>
          <w:tcPr>
            <w:tcBorders/>
            <w:tcW w:w="2300" w:type="dxa"/>
          </w:tcPr>
          <w:p>
            <w:pPr>
              <w:pStyle w:val="731"/>
              <w:pBdr/>
              <w:spacing/>
              <w:ind/>
              <w:rPr/>
            </w:pPr>
            <w:r>
              <w:t xml:space="preserve">Veces que se captura cada dato de la cédula.</w:t>
            </w:r>
            <w:r/>
          </w:p>
        </w:tc>
        <w:tc>
          <w:tcPr>
            <w:tcBorders/>
            <w:tcW w:w="1550" w:type="dxa"/>
          </w:tcPr>
          <w:p>
            <w:pPr>
              <w:pStyle w:val="731"/>
              <w:pBdr/>
              <w:spacing/>
              <w:ind/>
              <w:rPr/>
            </w:pPr>
            <w:r>
              <w:t xml:space="preserve">2 (papel y Excel).</w:t>
            </w:r>
            <w:r/>
          </w:p>
        </w:tc>
        <w:tc>
          <w:tcPr>
            <w:tcBorders/>
            <w:tcW w:w="1504" w:type="dxa"/>
          </w:tcPr>
          <w:p>
            <w:pPr>
              <w:pStyle w:val="731"/>
              <w:pBdr/>
              <w:spacing/>
              <w:ind/>
              <w:rPr/>
            </w:pPr>
            <w:r>
              <w:t xml:space="preserve">1 (propuesta).</w:t>
            </w:r>
            <w:r/>
          </w:p>
        </w:tc>
      </w:tr>
      <w:tr>
        <w:trPr>
          <w:cantSplit/>
        </w:trPr>
        <w:tc>
          <w:tcPr>
            <w:shd w:val="clear" w:color="auto" w:fill="fafafc"/>
            <w:tcBorders/>
            <w:tcW w:w="850" w:type="dxa"/>
          </w:tcPr>
          <w:p>
            <w:pPr>
              <w:pStyle w:val="731"/>
              <w:pBdr/>
              <w:spacing/>
              <w:ind/>
              <w:rPr/>
            </w:pPr>
            <w:r>
              <w:t xml:space="preserve">OBJ-04</w:t>
            </w:r>
            <w:r/>
          </w:p>
        </w:tc>
        <w:tc>
          <w:tcPr>
            <w:shd w:val="clear" w:color="auto" w:fill="fafafc"/>
            <w:tcBorders/>
            <w:tcW w:w="3200" w:type="dxa"/>
          </w:tcPr>
          <w:p>
            <w:pPr>
              <w:pStyle w:val="731"/>
              <w:pBdr/>
              <w:spacing/>
              <w:ind/>
              <w:rPr/>
            </w:pPr>
            <w:r>
              <w:t xml:space="preserve">Acortar el tiempo entre la recepción de las cédulas y la publicación del boletín de castigados (PR-03).</w:t>
            </w:r>
            <w:r/>
          </w:p>
        </w:tc>
        <w:tc>
          <w:tcPr>
            <w:shd w:val="clear" w:color="auto" w:fill="fafafc"/>
            <w:tcBorders/>
            <w:tcW w:w="2300" w:type="dxa"/>
          </w:tcPr>
          <w:p>
            <w:pPr>
              <w:pStyle w:val="731"/>
              <w:pBdr/>
              <w:spacing/>
              <w:ind/>
              <w:rPr/>
            </w:pPr>
            <w:r>
              <w:t xml:space="preserve">Horas entre la recepción de las cédulas y la publicación.</w:t>
            </w:r>
            <w:r/>
          </w:p>
        </w:tc>
        <w:tc>
          <w:tcPr>
            <w:shd w:val="clear" w:color="auto" w:fill="fafafc"/>
            <w:tcBorders/>
            <w:tcW w:w="1550" w:type="dxa"/>
          </w:tcPr>
          <w:p>
            <w:pPr>
              <w:pStyle w:val="731"/>
              <w:pBdr/>
              <w:spacing/>
              <w:ind/>
              <w:rPr/>
            </w:pPr>
            <w:r>
              <w:rPr>
                <w:b/>
                <w:bCs/>
                <w:color w:val="9c4a00"/>
                <w:shd w:val="clear" w:color="auto" w:fill="fff2cc"/>
              </w:rPr>
              <w:t xml:space="preserve">[POR DEFINIR]</w:t>
            </w:r>
            <w:r/>
          </w:p>
        </w:tc>
        <w:tc>
          <w:tcPr>
            <w:shd w:val="clear" w:color="auto" w:fill="fafafc"/>
            <w:tcBorders/>
            <w:tcW w:w="1504" w:type="dxa"/>
          </w:tcPr>
          <w:p>
            <w:pPr>
              <w:pStyle w:val="731"/>
              <w:pBdr/>
              <w:spacing/>
              <w:ind/>
              <w:rPr/>
            </w:pPr>
            <w:r>
              <w:rPr>
                <w:b/>
                <w:bCs/>
                <w:color w:val="9c4a00"/>
                <w:shd w:val="clear" w:color="auto" w:fill="fff2cc"/>
              </w:rPr>
              <w:t xml:space="preserve">[POR DEFINIR]</w:t>
            </w:r>
            <w:r/>
          </w:p>
        </w:tc>
      </w:tr>
      <w:tr>
        <w:trPr>
          <w:cantSplit/>
        </w:trPr>
        <w:tc>
          <w:tcPr>
            <w:tcBorders/>
            <w:tcW w:w="850" w:type="dxa"/>
          </w:tcPr>
          <w:p>
            <w:pPr>
              <w:pStyle w:val="731"/>
              <w:pBdr/>
              <w:spacing/>
              <w:ind/>
              <w:rPr/>
            </w:pPr>
            <w:r>
              <w:t xml:space="preserve">OBJ-05</w:t>
            </w:r>
            <w:r/>
          </w:p>
        </w:tc>
        <w:tc>
          <w:tcPr>
            <w:tcBorders/>
            <w:tcW w:w="3200" w:type="dxa"/>
          </w:tcPr>
          <w:p>
            <w:pPr>
              <w:pStyle w:val="731"/>
              <w:pBdr/>
              <w:spacing/>
              <w:ind/>
              <w:rPr/>
            </w:pPr>
            <w:r>
              <w:t xml:space="preserve">Publicar la información oficial en un portal web consultable sin cuenta (PR-04).</w:t>
            </w:r>
            <w:r/>
          </w:p>
        </w:tc>
        <w:tc>
          <w:tcPr>
            <w:tcBorders/>
            <w:tcW w:w="2300" w:type="dxa"/>
          </w:tcPr>
          <w:p>
            <w:pPr>
              <w:pStyle w:val="731"/>
              <w:pBdr/>
              <w:spacing/>
              <w:ind/>
              <w:rPr/>
            </w:pPr>
            <w:r>
              <w:t xml:space="preserve">Proporción de la información oficial (programación, resultados, tablas y castigados) publicada en el portal.</w:t>
            </w:r>
            <w:r/>
          </w:p>
        </w:tc>
        <w:tc>
          <w:tcPr>
            <w:tcBorders/>
            <w:tcW w:w="1550" w:type="dxa"/>
          </w:tcPr>
          <w:p>
            <w:pPr>
              <w:pStyle w:val="731"/>
              <w:pBdr/>
              <w:spacing/>
              <w:ind/>
              <w:rPr/>
            </w:pPr>
            <w:r>
              <w:t xml:space="preserve">0 %: hoy se publica en imágenes en Facebook.</w:t>
            </w:r>
            <w:r/>
          </w:p>
        </w:tc>
        <w:tc>
          <w:tcPr>
            <w:tcBorders/>
            <w:tcW w:w="1504" w:type="dxa"/>
          </w:tcPr>
          <w:p>
            <w:pPr>
              <w:pStyle w:val="731"/>
              <w:pBdr/>
              <w:spacing/>
              <w:ind/>
              <w:rPr/>
            </w:pPr>
            <w:r>
              <w:t xml:space="preserve">100 % (propuesta).</w:t>
            </w:r>
            <w:r/>
          </w:p>
        </w:tc>
      </w:tr>
      <w:tr>
        <w:trPr>
          <w:cantSplit/>
        </w:trPr>
        <w:tc>
          <w:tcPr>
            <w:shd w:val="clear" w:color="auto" w:fill="fafafc"/>
            <w:tcBorders/>
            <w:tcW w:w="850" w:type="dxa"/>
          </w:tcPr>
          <w:p>
            <w:pPr>
              <w:pStyle w:val="731"/>
              <w:pBdr/>
              <w:spacing/>
              <w:ind/>
              <w:rPr/>
            </w:pPr>
            <w:r>
              <w:t xml:space="preserve">OBJ-06</w:t>
            </w:r>
            <w:r/>
          </w:p>
        </w:tc>
        <w:tc>
          <w:tcPr>
            <w:shd w:val="clear" w:color="auto" w:fill="fafafc"/>
            <w:tcBorders/>
            <w:tcW w:w="3200" w:type="dxa"/>
          </w:tcPr>
          <w:p>
            <w:pPr>
              <w:pStyle w:val="731"/>
              <w:pBdr/>
              <w:spacing/>
              <w:ind/>
              <w:rPr/>
            </w:pPr>
            <w:r>
              <w:t xml:space="preserve">Controlar las aportaciones y los pagos de los clubes.</w:t>
            </w:r>
            <w:r/>
          </w:p>
        </w:tc>
        <w:tc>
          <w:tcPr>
            <w:shd w:val="clear" w:color="auto" w:fill="fafafc"/>
            <w:tcBorders/>
            <w:tcW w:w="2300" w:type="dxa"/>
          </w:tcPr>
          <w:p>
            <w:pPr>
              <w:pStyle w:val="731"/>
              <w:pBdr/>
              <w:spacing/>
              <w:ind/>
              <w:rPr/>
            </w:pPr>
            <w:r>
              <w:t xml:space="preserve">Proporción de pagos registrados en el Sistema.</w:t>
            </w:r>
            <w:r/>
          </w:p>
        </w:tc>
        <w:tc>
          <w:tcPr>
            <w:shd w:val="clear" w:color="auto" w:fill="fafafc"/>
            <w:tcBorders/>
            <w:tcW w:w="1550" w:type="dxa"/>
          </w:tcPr>
          <w:p>
            <w:pPr>
              <w:pStyle w:val="731"/>
              <w:pBdr/>
              <w:spacing/>
              <w:ind/>
              <w:rPr/>
            </w:pPr>
            <w:r>
              <w:rPr>
                <w:b/>
                <w:bCs/>
                <w:color w:val="9c4a00"/>
                <w:shd w:val="clear" w:color="auto" w:fill="fff2cc"/>
              </w:rPr>
              <w:t xml:space="preserve">[POR DEFINIR]</w:t>
            </w:r>
            <w:r/>
          </w:p>
        </w:tc>
        <w:tc>
          <w:tcPr>
            <w:shd w:val="clear" w:color="auto" w:fill="fafafc"/>
            <w:tcBorders/>
            <w:tcW w:w="1504" w:type="dxa"/>
          </w:tcPr>
          <w:p>
            <w:pPr>
              <w:pStyle w:val="731"/>
              <w:pBdr/>
              <w:spacing/>
              <w:ind/>
              <w:rPr/>
            </w:pPr>
            <w:r>
              <w:rPr>
                <w:b/>
                <w:bCs/>
                <w:color w:val="9c4a00"/>
                <w:shd w:val="clear" w:color="auto" w:fill="fff2cc"/>
              </w:rPr>
              <w:t xml:space="preserve">[POR DEFINIR]</w:t>
            </w:r>
            <w:r/>
          </w:p>
        </w:tc>
      </w:tr>
      <w:tr>
        <w:trPr>
          <w:cantSplit/>
        </w:trPr>
        <w:tc>
          <w:tcPr>
            <w:tcBorders/>
            <w:tcW w:w="850" w:type="dxa"/>
          </w:tcPr>
          <w:p>
            <w:pPr>
              <w:pStyle w:val="731"/>
              <w:pBdr/>
              <w:spacing/>
              <w:ind/>
              <w:rPr/>
            </w:pPr>
            <w:r>
              <w:t xml:space="preserve">OBJ-07</w:t>
            </w:r>
            <w:r/>
          </w:p>
        </w:tc>
        <w:tc>
          <w:tcPr>
            <w:tcBorders/>
            <w:tcW w:w="3200" w:type="dxa"/>
          </w:tcPr>
          <w:p>
            <w:pPr>
              <w:pStyle w:val="731"/>
              <w:pBdr/>
              <w:spacing/>
              <w:ind/>
              <w:rPr/>
            </w:pPr>
            <w:r>
              <w:t xml:space="preserve">Conservar el historial de cada temporada sin sobrescribirlo (REF-06, diap. 8).</w:t>
            </w:r>
            <w:r/>
          </w:p>
        </w:tc>
        <w:tc>
          <w:tcPr>
            <w:tcBorders/>
            <w:tcW w:w="2300" w:type="dxa"/>
          </w:tcPr>
          <w:p>
            <w:pPr>
              <w:pStyle w:val="731"/>
              <w:pBdr/>
              <w:spacing/>
              <w:ind/>
              <w:rPr/>
            </w:pPr>
            <w:r>
              <w:t xml:space="preserve">Temporadas consultables en el Sistema.</w:t>
            </w:r>
            <w:r/>
          </w:p>
        </w:tc>
        <w:tc>
          <w:tcPr>
            <w:tcBorders/>
            <w:tcW w:w="1550" w:type="dxa"/>
          </w:tcPr>
          <w:p>
            <w:pPr>
              <w:pStyle w:val="731"/>
              <w:pBdr/>
              <w:spacing/>
              <w:ind/>
              <w:rPr/>
            </w:pPr>
            <w:r>
              <w:t xml:space="preserve">No aplica.</w:t>
            </w:r>
            <w:r/>
          </w:p>
        </w:tc>
        <w:tc>
          <w:tcPr>
            <w:tcBorders/>
            <w:tcW w:w="1504" w:type="dxa"/>
          </w:tcPr>
          <w:p>
            <w:pPr>
              <w:pStyle w:val="731"/>
              <w:pBdr/>
              <w:spacing/>
              <w:ind/>
              <w:rPr/>
            </w:pPr>
            <w:r>
              <w:t xml:space="preserve">Todas las temporadas operadas en el Sistema (propuesta).</w:t>
            </w:r>
            <w:r/>
          </w:p>
        </w:tc>
      </w:tr>
    </w:tbl>
    <w:p>
      <w:pPr>
        <w:pBdr/>
        <w:spacing w:after="60" w:before="0"/>
        <w:ind/>
        <w:rPr/>
      </w:pPr>
      <w:r/>
      <w:r/>
    </w:p>
    <w:p>
      <w:pPr>
        <w:pStyle w:val="733"/>
        <w:pBdr/>
        <w:spacing/>
        <w:ind/>
        <w:rPr/>
      </w:pPr>
      <w:r>
        <w:rPr>
          <w:b/>
          <w:bCs/>
          <w:color w:val="241a61"/>
        </w:rPr>
        <w:t xml:space="preserve">Impacto: </w:t>
      </w:r>
      <w:r>
        <w:t xml:space="preserve">mientras las líneas base y las metas sigan </w:t>
      </w:r>
      <w:r>
        <w:rPr>
          <w:b/>
          <w:bCs/>
          <w:color w:val="9c4a00"/>
          <w:shd w:val="clear" w:color="auto" w:fill="fff2cc"/>
        </w:rPr>
        <w:t xml:space="preserve">[POR DEFINIR]</w:t>
      </w:r>
      <w:r>
        <w:t xml:space="preserve">, no será posible medir si el Sistema cumplió sus objetivos de negocio; solo podrá verificarse el cumplimiento de cada requisito por separado.</w:t>
      </w:r>
      <w:r/>
    </w:p>
    <w:p>
      <w:pPr>
        <w:pStyle w:val="725"/>
        <w:pBdr/>
        <w:spacing/>
        <w:ind/>
        <w:rPr/>
      </w:pPr>
      <w:r/>
      <w:bookmarkStart w:id="12" w:name="_Toc100012"/>
      <w:r>
        <w:t xml:space="preserve">1.2.5 Funciones dentro del alcance</w:t>
      </w:r>
      <w:bookmarkEnd w:id="12"/>
      <w:r/>
      <w:r/>
    </w:p>
    <w:p>
      <w:pPr>
        <w:pBdr/>
        <w:spacing/>
        <w:ind/>
        <w:rPr/>
      </w:pPr>
      <w:r>
        <w:t xml:space="preserve">El ERS especifica el Sistema complet</w:t>
      </w:r>
      <w:r>
        <w:rPr>
          <w:lang w:val="en-US"/>
        </w:rPr>
        <w:t xml:space="preserve">o</w:t>
      </w:r>
      <w:r>
        <w:t xml:space="preserve">. La tabla agrupa las funciones en áreas funcionales (AF); los requisitos detallados de cada área se especificarán en la sección 3.</w:t>
      </w:r>
      <w:r/>
    </w:p>
    <w:p>
      <w:pPr>
        <w:pBdr/>
        <w:spacing/>
        <w:ind/>
        <w:rPr/>
      </w:pPr>
      <w:r>
        <w:t xml:space="preserve">La prioridad usa la técnica MoSCoW: </w:t>
      </w:r>
      <w:r>
        <w:rPr>
          <w:b/>
          <w:bCs/>
        </w:rPr>
        <w:t xml:space="preserve">Must</w:t>
      </w:r>
      <w:r>
        <w:t xml:space="preserve"> (debe estar en la primera versión), </w:t>
      </w:r>
      <w:r>
        <w:rPr>
          <w:b/>
          <w:bCs/>
        </w:rPr>
        <w:t xml:space="preserve">Should</w:t>
      </w:r>
      <w:r>
        <w:t xml:space="preserve"> (debería estar), </w:t>
      </w:r>
      <w:r>
        <w:rPr>
          <w:b/>
          <w:bCs/>
        </w:rPr>
        <w:t xml:space="preserve">Could</w:t>
      </w:r>
      <w:r>
        <w:t xml:space="preserve"> (podría estar si hay capacidad) y </w:t>
      </w:r>
      <w:r>
        <w:rPr>
          <w:b/>
          <w:bCs/>
        </w:rPr>
        <w:t xml:space="preserve">Won't</w:t>
      </w:r>
      <w:r>
        <w:t xml:space="preserve"> (no en esta versión). La priorización es una </w:t>
      </w:r>
      <w:r>
        <w:rPr>
          <w:b/>
          <w:bCs/>
        </w:rPr>
        <w:t xml:space="preserve">propuesta</w:t>
      </w:r>
      <w:r>
        <w:t xml:space="preserve"> del análisis, basada en el plan sugerido de 10 semanas del documento base [REF-06, diap. 38], y debe validarse con la Liga y con el equipo.</w:t>
      </w:r>
      <w:r/>
    </w:p>
    <w:p>
      <w:pPr>
        <w:pStyle w:val="732"/>
        <w:keepNext w:val="true"/>
        <w:pBdr/>
        <w:spacing/>
        <w:ind/>
        <w:rPr/>
      </w:pPr>
      <w:r>
        <w:rPr>
          <w:b/>
          <w:bCs/>
          <w:color w:val="241a61"/>
          <w:sz w:val="18"/>
          <w:szCs w:val="18"/>
        </w:rPr>
        <w:t xml:space="preserve">Tabla 6. </w:t>
      </w:r>
      <w:r>
        <w:rPr>
          <w:sz w:val="18"/>
          <w:szCs w:val="18"/>
        </w:rPr>
        <w:t xml:space="preserve">Áreas funcionales del Sistema y prioridad propuesta para la primera versión.</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800"/>
        <w:gridCol w:w="1750"/>
        <w:gridCol w:w="3650"/>
        <w:gridCol w:w="1804"/>
        <w:gridCol w:w="1400"/>
      </w:tblGrid>
      <w:tr>
        <w:trPr>
          <w:cantSplit/>
          <w:tblHeader/>
        </w:trPr>
        <w:tc>
          <w:tcPr>
            <w:shd w:val="clear" w:color="auto" w:fill="241a61"/>
            <w:tcBorders/>
            <w:tcW w:w="800" w:type="dxa"/>
            <w:vAlign w:val="center"/>
          </w:tcPr>
          <w:p>
            <w:pPr>
              <w:pStyle w:val="731"/>
              <w:pBdr/>
              <w:spacing/>
              <w:ind/>
              <w:rPr/>
            </w:pPr>
            <w:r>
              <w:rPr>
                <w:b/>
                <w:bCs/>
                <w:color w:val="ffffff"/>
              </w:rPr>
              <w:t xml:space="preserve">ID</w:t>
            </w:r>
            <w:r/>
          </w:p>
        </w:tc>
        <w:tc>
          <w:tcPr>
            <w:shd w:val="clear" w:color="auto" w:fill="241a61"/>
            <w:tcBorders/>
            <w:tcW w:w="1750" w:type="dxa"/>
            <w:vAlign w:val="center"/>
          </w:tcPr>
          <w:p>
            <w:pPr>
              <w:pStyle w:val="731"/>
              <w:pBdr/>
              <w:spacing/>
              <w:ind/>
              <w:rPr/>
            </w:pPr>
            <w:r>
              <w:rPr>
                <w:b/>
                <w:bCs/>
                <w:color w:val="ffffff"/>
              </w:rPr>
              <w:t xml:space="preserve">Área funcional</w:t>
            </w:r>
            <w:r/>
          </w:p>
        </w:tc>
        <w:tc>
          <w:tcPr>
            <w:shd w:val="clear" w:color="auto" w:fill="241a61"/>
            <w:tcBorders/>
            <w:tcW w:w="3650" w:type="dxa"/>
            <w:vAlign w:val="center"/>
          </w:tcPr>
          <w:p>
            <w:pPr>
              <w:pStyle w:val="731"/>
              <w:pBdr/>
              <w:spacing/>
              <w:ind/>
              <w:rPr/>
            </w:pPr>
            <w:r>
              <w:rPr>
                <w:b/>
                <w:bCs/>
                <w:color w:val="ffffff"/>
              </w:rPr>
              <w:t xml:space="preserve">Descripción de alto nivel</w:t>
            </w:r>
            <w:r/>
          </w:p>
        </w:tc>
        <w:tc>
          <w:tcPr>
            <w:shd w:val="clear" w:color="auto" w:fill="241a61"/>
            <w:tcBorders/>
            <w:tcW w:w="1804" w:type="dxa"/>
            <w:vAlign w:val="center"/>
          </w:tcPr>
          <w:p>
            <w:pPr>
              <w:pStyle w:val="731"/>
              <w:pBdr/>
              <w:spacing/>
              <w:ind/>
              <w:rPr/>
            </w:pPr>
            <w:r>
              <w:rPr>
                <w:b/>
                <w:bCs/>
                <w:color w:val="ffffff"/>
              </w:rPr>
              <w:t xml:space="preserve">Fuente</w:t>
            </w:r>
            <w:r/>
          </w:p>
        </w:tc>
        <w:tc>
          <w:tcPr>
            <w:shd w:val="clear" w:color="auto" w:fill="241a61"/>
            <w:tcBorders/>
            <w:tcW w:w="1400" w:type="dxa"/>
            <w:vAlign w:val="center"/>
          </w:tcPr>
          <w:p>
            <w:pPr>
              <w:pStyle w:val="731"/>
              <w:pBdr/>
              <w:spacing/>
              <w:ind/>
              <w:rPr/>
            </w:pPr>
            <w:r>
              <w:rPr>
                <w:b/>
                <w:bCs/>
                <w:color w:val="ffffff"/>
              </w:rPr>
              <w:t xml:space="preserve">Prioridad (1.ª versión)</w:t>
            </w:r>
            <w:r/>
          </w:p>
        </w:tc>
      </w:tr>
      <w:tr>
        <w:trPr>
          <w:cantSplit/>
        </w:trPr>
        <w:tc>
          <w:tcPr>
            <w:tcBorders/>
            <w:tcW w:w="800" w:type="dxa"/>
          </w:tcPr>
          <w:p>
            <w:pPr>
              <w:pStyle w:val="731"/>
              <w:pBdr/>
              <w:spacing/>
              <w:ind/>
              <w:rPr/>
            </w:pPr>
            <w:r>
              <w:t xml:space="preserve">AF-01</w:t>
            </w:r>
            <w:r/>
          </w:p>
        </w:tc>
        <w:tc>
          <w:tcPr>
            <w:tcBorders/>
            <w:tcW w:w="1750" w:type="dxa"/>
          </w:tcPr>
          <w:p>
            <w:pPr>
              <w:pStyle w:val="731"/>
              <w:pBdr/>
              <w:spacing/>
              <w:ind/>
              <w:rPr/>
            </w:pPr>
            <w:r>
              <w:t xml:space="preserve">Organización, usuarios y permisos</w:t>
            </w:r>
            <w:r/>
          </w:p>
        </w:tc>
        <w:tc>
          <w:tcPr>
            <w:tcBorders/>
            <w:tcW w:w="3650" w:type="dxa"/>
          </w:tcPr>
          <w:p>
            <w:pPr>
              <w:pStyle w:val="731"/>
              <w:pBdr/>
              <w:spacing/>
              <w:ind/>
              <w:rPr/>
            </w:pPr>
            <w:r>
              <w:t xml:space="preserve">Órganos y cargos de la Liga; cuentas para los integrantes de la Liga; permisos por rol; consulta pública sin cuenta.</w:t>
            </w:r>
            <w:r/>
          </w:p>
        </w:tc>
        <w:tc>
          <w:tcPr>
            <w:tcBorders/>
            <w:tcW w:w="1804" w:type="dxa"/>
          </w:tcPr>
          <w:p>
            <w:pPr>
              <w:pStyle w:val="731"/>
              <w:pBdr/>
              <w:spacing/>
              <w:ind/>
              <w:rPr/>
            </w:pPr>
            <w:r>
              <w:t xml:space="preserve">REF-06, diap. 5–7 y 28; REF-07, P20</w:t>
            </w:r>
            <w:r/>
          </w:p>
        </w:tc>
        <w:tc>
          <w:tcPr>
            <w:tcBorders/>
            <w:tcW w:w="1400" w:type="dxa"/>
          </w:tcPr>
          <w:p>
            <w:pPr>
              <w:pStyle w:val="731"/>
              <w:pBdr/>
              <w:spacing/>
              <w:ind/>
              <w:rPr/>
            </w:pPr>
            <w:r>
              <w:t xml:space="preserve">Must</w:t>
            </w:r>
            <w:r/>
          </w:p>
        </w:tc>
      </w:tr>
      <w:tr>
        <w:trPr>
          <w:cantSplit/>
        </w:trPr>
        <w:tc>
          <w:tcPr>
            <w:shd w:val="clear" w:color="auto" w:fill="fafafc"/>
            <w:tcBorders/>
            <w:tcW w:w="800" w:type="dxa"/>
          </w:tcPr>
          <w:p>
            <w:pPr>
              <w:pStyle w:val="731"/>
              <w:pBdr/>
              <w:spacing/>
              <w:ind/>
              <w:rPr/>
            </w:pPr>
            <w:r>
              <w:t xml:space="preserve">AF-02</w:t>
            </w:r>
            <w:r/>
          </w:p>
        </w:tc>
        <w:tc>
          <w:tcPr>
            <w:shd w:val="clear" w:color="auto" w:fill="fafafc"/>
            <w:tcBorders/>
            <w:tcW w:w="1750" w:type="dxa"/>
          </w:tcPr>
          <w:p>
            <w:pPr>
              <w:pStyle w:val="731"/>
              <w:pBdr/>
              <w:spacing/>
              <w:ind/>
              <w:rPr/>
            </w:pPr>
            <w:r>
              <w:t xml:space="preserve">Temporadas, torneos y categorías</w:t>
            </w:r>
            <w:r/>
          </w:p>
        </w:tc>
        <w:tc>
          <w:tcPr>
            <w:shd w:val="clear" w:color="auto" w:fill="fafafc"/>
            <w:tcBorders/>
            <w:tcW w:w="3650" w:type="dxa"/>
          </w:tcPr>
          <w:p>
            <w:pPr>
              <w:pStyle w:val="731"/>
              <w:pBdr/>
              <w:spacing/>
              <w:ind/>
              <w:rPr/>
            </w:pPr>
            <w:r>
              <w:t xml:space="preserve">Temporada anual; torneos (de Liga, de Copa, Liguilla, Campeón de Campeones, goleo y torneos especiales); ramas, categorías con su criterio de año de nacimiento, y grupos. Reglas por convocatoria.</w:t>
            </w:r>
            <w:r/>
          </w:p>
        </w:tc>
        <w:tc>
          <w:tcPr>
            <w:shd w:val="clear" w:color="auto" w:fill="fafafc"/>
            <w:tcBorders/>
            <w:tcW w:w="1804" w:type="dxa"/>
          </w:tcPr>
          <w:p>
            <w:pPr>
              <w:pStyle w:val="731"/>
              <w:pBdr/>
              <w:spacing/>
              <w:ind/>
              <w:rPr/>
            </w:pPr>
            <w:r>
              <w:t xml:space="preserve">REF-01; REF-02; REF-06, diap. 8–9; REF-07, P13</w:t>
            </w:r>
            <w:r/>
          </w:p>
        </w:tc>
        <w:tc>
          <w:tcPr>
            <w:shd w:val="clear" w:color="auto" w:fill="fafafc"/>
            <w:tcBorders/>
            <w:tcW w:w="1400" w:type="dxa"/>
          </w:tcPr>
          <w:p>
            <w:pPr>
              <w:pStyle w:val="731"/>
              <w:pBdr/>
              <w:spacing/>
              <w:ind/>
              <w:rPr/>
            </w:pPr>
            <w:r>
              <w:t xml:space="preserve">Must: temporada, categorías, grupos y Torneo de Liga. Could: Copa y torneos especiales.</w:t>
            </w:r>
            <w:r/>
          </w:p>
        </w:tc>
      </w:tr>
      <w:tr>
        <w:trPr>
          <w:cantSplit/>
        </w:trPr>
        <w:tc>
          <w:tcPr>
            <w:tcBorders/>
            <w:tcW w:w="800" w:type="dxa"/>
          </w:tcPr>
          <w:p>
            <w:pPr>
              <w:pStyle w:val="731"/>
              <w:pBdr/>
              <w:spacing/>
              <w:ind/>
              <w:rPr/>
            </w:pPr>
            <w:r>
              <w:t xml:space="preserve">AF-03</w:t>
            </w:r>
            <w:r/>
          </w:p>
        </w:tc>
        <w:tc>
          <w:tcPr>
            <w:tcBorders/>
            <w:tcW w:w="1750" w:type="dxa"/>
          </w:tcPr>
          <w:p>
            <w:pPr>
              <w:pStyle w:val="731"/>
              <w:pBdr/>
              <w:spacing/>
              <w:ind/>
              <w:rPr/>
            </w:pPr>
            <w:r>
              <w:t xml:space="preserve">Clubes, equipos y personas</w:t>
            </w:r>
            <w:r/>
          </w:p>
        </w:tc>
        <w:tc>
          <w:tcPr>
            <w:tcBorders/>
            <w:tcW w:w="3650" w:type="dxa"/>
          </w:tcPr>
          <w:p>
            <w:pPr>
              <w:pStyle w:val="731"/>
              <w:pBdr/>
              <w:spacing/>
              <w:ind/>
              <w:rPr/>
            </w:pPr>
            <w:r>
              <w:t xml:space="preserve">Clubes, franquicias y equipos por categoría; registro de jugadores, delegados y árbitros del club; credenciales y requisitos documentales.</w:t>
            </w:r>
            <w:r/>
          </w:p>
        </w:tc>
        <w:tc>
          <w:tcPr>
            <w:tcBorders/>
            <w:tcW w:w="1804" w:type="dxa"/>
          </w:tcPr>
          <w:p>
            <w:pPr>
              <w:pStyle w:val="731"/>
              <w:pBdr/>
              <w:spacing/>
              <w:ind/>
              <w:rPr/>
            </w:pPr>
            <w:r>
              <w:t xml:space="preserve">REF-01, I–II; REF-02, I–II; REF-06, diap. 10–11</w:t>
            </w:r>
            <w:r/>
          </w:p>
        </w:tc>
        <w:tc>
          <w:tcPr>
            <w:tcBorders/>
            <w:tcW w:w="1400" w:type="dxa"/>
          </w:tcPr>
          <w:p>
            <w:pPr>
              <w:pStyle w:val="731"/>
              <w:pBdr/>
              <w:spacing/>
              <w:ind/>
              <w:rPr/>
            </w:pPr>
            <w:r>
              <w:t xml:space="preserve">Must</w:t>
            </w:r>
            <w:r/>
          </w:p>
        </w:tc>
      </w:tr>
      <w:tr>
        <w:trPr>
          <w:cantSplit/>
        </w:trPr>
        <w:tc>
          <w:tcPr>
            <w:shd w:val="clear" w:color="auto" w:fill="fafafc"/>
            <w:tcBorders/>
            <w:tcW w:w="800" w:type="dxa"/>
          </w:tcPr>
          <w:p>
            <w:pPr>
              <w:pStyle w:val="731"/>
              <w:pBdr/>
              <w:spacing/>
              <w:ind/>
              <w:rPr/>
            </w:pPr>
            <w:r>
              <w:t xml:space="preserve">AF-04</w:t>
            </w:r>
            <w:r/>
          </w:p>
        </w:tc>
        <w:tc>
          <w:tcPr>
            <w:shd w:val="clear" w:color="auto" w:fill="fafafc"/>
            <w:tcBorders/>
            <w:tcW w:w="1750" w:type="dxa"/>
          </w:tcPr>
          <w:p>
            <w:pPr>
              <w:pStyle w:val="731"/>
              <w:pBdr/>
              <w:spacing/>
              <w:ind/>
              <w:rPr/>
            </w:pPr>
            <w:r>
              <w:t xml:space="preserve">Canchas y sedes</w:t>
            </w:r>
            <w:r/>
          </w:p>
        </w:tc>
        <w:tc>
          <w:tcPr>
            <w:shd w:val="clear" w:color="auto" w:fill="fafafc"/>
            <w:tcBorders/>
            <w:tcW w:w="3650" w:type="dxa"/>
          </w:tcPr>
          <w:p>
            <w:pPr>
              <w:pStyle w:val="731"/>
              <w:pBdr/>
              <w:spacing/>
              <w:ind/>
              <w:rPr/>
            </w:pPr>
            <w:r>
              <w:t xml:space="preserve">Catálogo de canchas (U.D.C., canchas de clubes, alternas y foráneas); disponibilidad y bloqueos, por ejemplo por lluvia o inundación.</w:t>
            </w:r>
            <w:r/>
          </w:p>
        </w:tc>
        <w:tc>
          <w:tcPr>
            <w:shd w:val="clear" w:color="auto" w:fill="fafafc"/>
            <w:tcBorders/>
            <w:tcW w:w="1804" w:type="dxa"/>
          </w:tcPr>
          <w:p>
            <w:pPr>
              <w:pStyle w:val="731"/>
              <w:pBdr/>
              <w:spacing/>
              <w:ind/>
              <w:rPr/>
            </w:pPr>
            <w:r>
              <w:t xml:space="preserve">REF-06, diap. 13; REF-07, P21</w:t>
            </w:r>
            <w:r/>
          </w:p>
        </w:tc>
        <w:tc>
          <w:tcPr>
            <w:shd w:val="clear" w:color="auto" w:fill="fafafc"/>
            <w:tcBorders/>
            <w:tcW w:w="1400" w:type="dxa"/>
          </w:tcPr>
          <w:p>
            <w:pPr>
              <w:pStyle w:val="731"/>
              <w:pBdr/>
              <w:spacing/>
              <w:ind/>
              <w:rPr/>
            </w:pPr>
            <w:r>
              <w:t xml:space="preserve">Must</w:t>
            </w:r>
            <w:r/>
          </w:p>
        </w:tc>
      </w:tr>
      <w:tr>
        <w:trPr>
          <w:cantSplit/>
        </w:trPr>
        <w:tc>
          <w:tcPr>
            <w:tcBorders/>
            <w:tcW w:w="800" w:type="dxa"/>
          </w:tcPr>
          <w:p>
            <w:pPr>
              <w:pStyle w:val="731"/>
              <w:pBdr/>
              <w:spacing/>
              <w:ind/>
              <w:rPr/>
            </w:pPr>
            <w:r>
              <w:t xml:space="preserve">AF-05</w:t>
            </w:r>
            <w:r/>
          </w:p>
        </w:tc>
        <w:tc>
          <w:tcPr>
            <w:tcBorders/>
            <w:tcW w:w="1750" w:type="dxa"/>
          </w:tcPr>
          <w:p>
            <w:pPr>
              <w:pStyle w:val="731"/>
              <w:pBdr/>
              <w:spacing/>
              <w:ind/>
              <w:rPr/>
            </w:pPr>
            <w:r>
              <w:t xml:space="preserve">Programación de partidos</w:t>
            </w:r>
            <w:r/>
          </w:p>
        </w:tc>
        <w:tc>
          <w:tcPr>
            <w:tcBorders/>
            <w:tcW w:w="3650" w:type="dxa"/>
          </w:tcPr>
          <w:p>
            <w:pPr>
              <w:pStyle w:val="731"/>
              <w:pBdr/>
              <w:spacing/>
              <w:ind/>
              <w:rPr/>
            </w:pPr>
            <w:r>
              <w:t xml:space="preserve">Elaboración, ajuste y publicación de la programación por jornada; descansos; reprogramaciones; detección de conflictos.</w:t>
            </w:r>
            <w:r/>
          </w:p>
        </w:tc>
        <w:tc>
          <w:tcPr>
            <w:tcBorders/>
            <w:tcW w:w="1804" w:type="dxa"/>
          </w:tcPr>
          <w:p>
            <w:pPr>
              <w:pStyle w:val="731"/>
              <w:pBdr/>
              <w:spacing/>
              <w:ind/>
              <w:rPr/>
            </w:pPr>
            <w:r>
              <w:t xml:space="preserve">REF-06, diap. 14–17; REF-03</w:t>
            </w:r>
            <w:r/>
          </w:p>
        </w:tc>
        <w:tc>
          <w:tcPr>
            <w:tcBorders/>
            <w:tcW w:w="1400" w:type="dxa"/>
          </w:tcPr>
          <w:p>
            <w:pPr>
              <w:pStyle w:val="731"/>
              <w:pBdr/>
              <w:spacing/>
              <w:ind/>
              <w:rPr/>
            </w:pPr>
            <w:r>
              <w:t xml:space="preserve">Must</w:t>
            </w:r>
            <w:r/>
          </w:p>
        </w:tc>
      </w:tr>
      <w:tr>
        <w:trPr>
          <w:cantSplit/>
        </w:trPr>
        <w:tc>
          <w:tcPr>
            <w:shd w:val="clear" w:color="auto" w:fill="fafafc"/>
            <w:tcBorders/>
            <w:tcW w:w="800" w:type="dxa"/>
          </w:tcPr>
          <w:p>
            <w:pPr>
              <w:pStyle w:val="731"/>
              <w:pBdr/>
              <w:spacing/>
              <w:ind/>
              <w:rPr/>
            </w:pPr>
            <w:r>
              <w:t xml:space="preserve">AF-06</w:t>
            </w:r>
            <w:r/>
          </w:p>
        </w:tc>
        <w:tc>
          <w:tcPr>
            <w:shd w:val="clear" w:color="auto" w:fill="fafafc"/>
            <w:tcBorders/>
            <w:tcW w:w="1750" w:type="dxa"/>
          </w:tcPr>
          <w:p>
            <w:pPr>
              <w:pStyle w:val="731"/>
              <w:pBdr/>
              <w:spacing/>
              <w:ind/>
              <w:rPr/>
            </w:pPr>
            <w:r>
              <w:t xml:space="preserve">Generación automática de la programación</w:t>
            </w:r>
            <w:r/>
          </w:p>
        </w:tc>
        <w:tc>
          <w:tcPr>
            <w:shd w:val="clear" w:color="auto" w:fill="fafafc"/>
            <w:tcBorders/>
            <w:tcW w:w="3650" w:type="dxa"/>
          </w:tcPr>
          <w:p>
            <w:pPr>
              <w:pStyle w:val="731"/>
              <w:pBdr/>
              <w:spacing/>
              <w:ind/>
              <w:rPr/>
            </w:pPr>
            <w:r>
              <w:t xml:space="preserve">Propuesta automática de enfrentamientos, horarios y canchas a partir de datos y restricciones, con ajuste manual autorizado.</w:t>
            </w:r>
            <w:r/>
          </w:p>
        </w:tc>
        <w:tc>
          <w:tcPr>
            <w:shd w:val="clear" w:color="auto" w:fill="fafafc"/>
            <w:tcBorders/>
            <w:tcW w:w="1804" w:type="dxa"/>
          </w:tcPr>
          <w:p>
            <w:pPr>
              <w:pStyle w:val="731"/>
              <w:pBdr/>
              <w:spacing/>
              <w:ind/>
              <w:rPr/>
            </w:pPr>
            <w:r>
              <w:t xml:space="preserve">REF-06, diap. 17–18</w:t>
            </w:r>
            <w:r/>
          </w:p>
        </w:tc>
        <w:tc>
          <w:tcPr>
            <w:shd w:val="clear" w:color="auto" w:fill="fafafc"/>
            <w:tcBorders/>
            <w:tcW w:w="1400" w:type="dxa"/>
          </w:tcPr>
          <w:p>
            <w:pPr>
              <w:pStyle w:val="731"/>
              <w:pBdr/>
              <w:spacing/>
              <w:ind/>
              <w:rPr/>
            </w:pPr>
            <w:r>
              <w:t xml:space="preserve">Should</w:t>
            </w:r>
            <w:r/>
          </w:p>
        </w:tc>
      </w:tr>
      <w:tr>
        <w:trPr>
          <w:cantSplit/>
        </w:trPr>
        <w:tc>
          <w:tcPr>
            <w:tcBorders/>
            <w:tcW w:w="800" w:type="dxa"/>
          </w:tcPr>
          <w:p>
            <w:pPr>
              <w:pStyle w:val="731"/>
              <w:pBdr/>
              <w:spacing/>
              <w:ind/>
              <w:rPr/>
            </w:pPr>
            <w:r>
              <w:t xml:space="preserve">AF-07</w:t>
            </w:r>
            <w:r/>
          </w:p>
        </w:tc>
        <w:tc>
          <w:tcPr>
            <w:tcBorders/>
            <w:tcW w:w="1750" w:type="dxa"/>
          </w:tcPr>
          <w:p>
            <w:pPr>
              <w:pStyle w:val="731"/>
              <w:pBdr/>
              <w:spacing/>
              <w:ind/>
              <w:rPr/>
            </w:pPr>
            <w:r>
              <w:t xml:space="preserve">Partidos, cédulas, resultados y estadísticas</w:t>
            </w:r>
            <w:r/>
          </w:p>
        </w:tc>
        <w:tc>
          <w:tcPr>
            <w:tcBorders/>
            <w:tcW w:w="3650" w:type="dxa"/>
          </w:tcPr>
          <w:p>
            <w:pPr>
              <w:pStyle w:val="731"/>
              <w:pBdr/>
              <w:spacing/>
              <w:ind/>
              <w:rPr/>
            </w:pPr>
            <w:r>
              <w:t xml:space="preserve">Registro de la cédula (alineaciones, goles, tarjetas e incidencias); resultados, incluidos los resultados por default; tablas de posiciones; goleo; estadísticas.</w:t>
            </w:r>
            <w:r/>
          </w:p>
        </w:tc>
        <w:tc>
          <w:tcPr>
            <w:tcBorders/>
            <w:tcW w:w="1804" w:type="dxa"/>
          </w:tcPr>
          <w:p>
            <w:pPr>
              <w:pStyle w:val="731"/>
              <w:pBdr/>
              <w:spacing/>
              <w:ind/>
              <w:rPr/>
            </w:pPr>
            <w:r>
              <w:t xml:space="preserve">REF-06, diap. 19–21; REF-07, P19; REF-01, VII–VIII</w:t>
            </w:r>
            <w:r/>
          </w:p>
        </w:tc>
        <w:tc>
          <w:tcPr>
            <w:tcBorders/>
            <w:tcW w:w="1400" w:type="dxa"/>
          </w:tcPr>
          <w:p>
            <w:pPr>
              <w:pStyle w:val="731"/>
              <w:pBdr/>
              <w:spacing/>
              <w:ind/>
              <w:rPr/>
            </w:pPr>
            <w:r>
              <w:t xml:space="preserve">Must</w:t>
            </w:r>
            <w:r/>
          </w:p>
        </w:tc>
      </w:tr>
      <w:tr>
        <w:trPr>
          <w:cantSplit/>
        </w:trPr>
        <w:tc>
          <w:tcPr>
            <w:shd w:val="clear" w:color="auto" w:fill="fafafc"/>
            <w:tcBorders/>
            <w:tcW w:w="800" w:type="dxa"/>
          </w:tcPr>
          <w:p>
            <w:pPr>
              <w:pStyle w:val="731"/>
              <w:pBdr/>
              <w:spacing/>
              <w:ind/>
              <w:rPr/>
            </w:pPr>
            <w:r>
              <w:t xml:space="preserve">AF-08</w:t>
            </w:r>
            <w:r/>
          </w:p>
        </w:tc>
        <w:tc>
          <w:tcPr>
            <w:shd w:val="clear" w:color="auto" w:fill="fafafc"/>
            <w:tcBorders/>
            <w:tcW w:w="1750" w:type="dxa"/>
          </w:tcPr>
          <w:p>
            <w:pPr>
              <w:pStyle w:val="731"/>
              <w:pBdr/>
              <w:spacing/>
              <w:ind/>
              <w:rPr/>
            </w:pPr>
            <w:r>
              <w:t xml:space="preserve">Disciplina</w:t>
            </w:r>
            <w:r/>
          </w:p>
        </w:tc>
        <w:tc>
          <w:tcPr>
            <w:shd w:val="clear" w:color="auto" w:fill="fafafc"/>
            <w:tcBorders/>
            <w:tcW w:w="3650" w:type="dxa"/>
          </w:tcPr>
          <w:p>
            <w:pPr>
              <w:pStyle w:val="731"/>
              <w:pBdr/>
              <w:spacing/>
              <w:ind/>
              <w:rPr/>
            </w:pPr>
            <w:r>
              <w:t xml:space="preserve">Incidencias de la cédula; dictamen del Tribunal de Penas; suspensiones; boletín de castigados; recursos o inconformidades </w:t>
            </w:r>
            <w:r>
              <w:rPr>
                <w:b/>
                <w:bCs/>
                <w:color w:val="9c4a00"/>
                <w:shd w:val="clear" w:color="auto" w:fill="fff2cc"/>
              </w:rPr>
              <w:t xml:space="preserve">[POR DEFINIR]</w:t>
            </w:r>
            <w:r>
              <w:t xml:space="preserve">.</w:t>
            </w:r>
            <w:r/>
          </w:p>
        </w:tc>
        <w:tc>
          <w:tcPr>
            <w:shd w:val="clear" w:color="auto" w:fill="fafafc"/>
            <w:tcBorders/>
            <w:tcW w:w="1804" w:type="dxa"/>
          </w:tcPr>
          <w:p>
            <w:pPr>
              <w:pStyle w:val="731"/>
              <w:pBdr/>
              <w:spacing/>
              <w:ind/>
              <w:rPr/>
            </w:pPr>
            <w:r>
              <w:t xml:space="preserve">REF-06, diap. 22–24; REF-07, P18–P19</w:t>
            </w:r>
            <w:r/>
          </w:p>
        </w:tc>
        <w:tc>
          <w:tcPr>
            <w:shd w:val="clear" w:color="auto" w:fill="fafafc"/>
            <w:tcBorders/>
            <w:tcW w:w="1400" w:type="dxa"/>
          </w:tcPr>
          <w:p>
            <w:pPr>
              <w:pStyle w:val="731"/>
              <w:pBdr/>
              <w:spacing/>
              <w:ind/>
              <w:rPr/>
            </w:pPr>
            <w:r>
              <w:t xml:space="preserve">Must: cédula, dictamen y castigados. Could: recursos.</w:t>
            </w:r>
            <w:r/>
          </w:p>
        </w:tc>
      </w:tr>
      <w:tr>
        <w:trPr>
          <w:cantSplit/>
        </w:trPr>
        <w:tc>
          <w:tcPr>
            <w:tcBorders/>
            <w:tcW w:w="800" w:type="dxa"/>
          </w:tcPr>
          <w:p>
            <w:pPr>
              <w:pStyle w:val="731"/>
              <w:pBdr/>
              <w:spacing/>
              <w:ind/>
              <w:rPr/>
            </w:pPr>
            <w:r>
              <w:t xml:space="preserve">AF-09</w:t>
            </w:r>
            <w:r/>
          </w:p>
        </w:tc>
        <w:tc>
          <w:tcPr>
            <w:tcBorders/>
            <w:tcW w:w="1750" w:type="dxa"/>
          </w:tcPr>
          <w:p>
            <w:pPr>
              <w:pStyle w:val="731"/>
              <w:pBdr/>
              <w:spacing/>
              <w:ind/>
              <w:rPr/>
            </w:pPr>
            <w:r>
              <w:t xml:space="preserve">Fases finales y movilidad entre categorías</w:t>
            </w:r>
            <w:r/>
          </w:p>
        </w:tc>
        <w:tc>
          <w:tcPr>
            <w:tcBorders/>
            <w:tcW w:w="3650" w:type="dxa"/>
          </w:tcPr>
          <w:p>
            <w:pPr>
              <w:pStyle w:val="731"/>
              <w:pBdr/>
              <w:spacing/>
              <w:ind/>
              <w:rPr/>
            </w:pPr>
            <w:r>
              <w:t xml:space="preserve">Liguilla, Campeón de Campeones, ascensos y descensos según la convocatoria.</w:t>
            </w:r>
            <w:r/>
          </w:p>
        </w:tc>
        <w:tc>
          <w:tcPr>
            <w:tcBorders/>
            <w:tcW w:w="1804" w:type="dxa"/>
          </w:tcPr>
          <w:p>
            <w:pPr>
              <w:pStyle w:val="731"/>
              <w:pBdr/>
              <w:spacing/>
              <w:ind/>
              <w:rPr/>
            </w:pPr>
            <w:r>
              <w:t xml:space="preserve">REF-01, V–VII; REF-06, diap. 25–26</w:t>
            </w:r>
            <w:r/>
          </w:p>
        </w:tc>
        <w:tc>
          <w:tcPr>
            <w:tcBorders/>
            <w:tcW w:w="1400" w:type="dxa"/>
          </w:tcPr>
          <w:p>
            <w:pPr>
              <w:pStyle w:val="731"/>
              <w:pBdr/>
              <w:spacing/>
              <w:ind/>
              <w:rPr/>
            </w:pPr>
            <w:r>
              <w:t xml:space="preserve">Could</w:t>
            </w:r>
            <w:r/>
          </w:p>
        </w:tc>
      </w:tr>
      <w:tr>
        <w:trPr>
          <w:cantSplit/>
        </w:trPr>
        <w:tc>
          <w:tcPr>
            <w:shd w:val="clear" w:color="auto" w:fill="fafafc"/>
            <w:tcBorders/>
            <w:tcW w:w="800" w:type="dxa"/>
          </w:tcPr>
          <w:p>
            <w:pPr>
              <w:pStyle w:val="731"/>
              <w:pBdr/>
              <w:spacing/>
              <w:ind/>
              <w:rPr/>
            </w:pPr>
            <w:r>
              <w:t xml:space="preserve">AF-10</w:t>
            </w:r>
            <w:r/>
          </w:p>
        </w:tc>
        <w:tc>
          <w:tcPr>
            <w:shd w:val="clear" w:color="auto" w:fill="fafafc"/>
            <w:tcBorders/>
            <w:tcW w:w="1750" w:type="dxa"/>
          </w:tcPr>
          <w:p>
            <w:pPr>
              <w:pStyle w:val="731"/>
              <w:pBdr/>
              <w:spacing/>
              <w:ind/>
              <w:rPr/>
            </w:pPr>
            <w:r>
              <w:t xml:space="preserve">Gestión económica</w:t>
            </w:r>
            <w:r/>
          </w:p>
        </w:tc>
        <w:tc>
          <w:tcPr>
            <w:shd w:val="clear" w:color="auto" w:fill="fafafc"/>
            <w:tcBorders/>
            <w:tcW w:w="3650" w:type="dxa"/>
          </w:tcPr>
          <w:p>
            <w:pPr>
              <w:pStyle w:val="731"/>
              <w:pBdr/>
              <w:spacing/>
              <w:ind/>
              <w:rPr/>
            </w:pPr>
            <w:r>
              <w:t xml:space="preserve">Cuotas de inscripción, registros y reposiciones, arbitrajes, aportaciones semanales, trofeos y otras aportaciones por club.</w:t>
            </w:r>
            <w:r/>
          </w:p>
        </w:tc>
        <w:tc>
          <w:tcPr>
            <w:shd w:val="clear" w:color="auto" w:fill="fafafc"/>
            <w:tcBorders/>
            <w:tcW w:w="1804" w:type="dxa"/>
          </w:tcPr>
          <w:p>
            <w:pPr>
              <w:pStyle w:val="731"/>
              <w:pBdr/>
              <w:spacing/>
              <w:ind/>
              <w:rPr/>
            </w:pPr>
            <w:r>
              <w:t xml:space="preserve">REF-01, IX; REF-02, V; REF-07, P10-b</w:t>
            </w:r>
            <w:r/>
          </w:p>
        </w:tc>
        <w:tc>
          <w:tcPr>
            <w:shd w:val="clear" w:color="auto" w:fill="fafafc"/>
            <w:tcBorders/>
            <w:tcW w:w="1400" w:type="dxa"/>
          </w:tcPr>
          <w:p>
            <w:pPr>
              <w:pStyle w:val="731"/>
              <w:pBdr/>
              <w:spacing/>
              <w:ind/>
              <w:rPr/>
            </w:pPr>
            <w:r>
              <w:t xml:space="preserve">Should</w:t>
            </w:r>
            <w:r/>
          </w:p>
        </w:tc>
      </w:tr>
      <w:tr>
        <w:trPr>
          <w:cantSplit/>
        </w:trPr>
        <w:tc>
          <w:tcPr>
            <w:tcBorders/>
            <w:tcW w:w="800" w:type="dxa"/>
          </w:tcPr>
          <w:p>
            <w:pPr>
              <w:pStyle w:val="731"/>
              <w:pBdr/>
              <w:spacing/>
              <w:ind/>
              <w:rPr/>
            </w:pPr>
            <w:r>
              <w:t xml:space="preserve">AF-11</w:t>
            </w:r>
            <w:r/>
          </w:p>
        </w:tc>
        <w:tc>
          <w:tcPr>
            <w:tcBorders/>
            <w:tcW w:w="1750" w:type="dxa"/>
          </w:tcPr>
          <w:p>
            <w:pPr>
              <w:pStyle w:val="731"/>
              <w:pBdr/>
              <w:spacing/>
              <w:ind/>
              <w:rPr/>
            </w:pPr>
            <w:r>
              <w:t xml:space="preserve">Portal público</w:t>
            </w:r>
            <w:r/>
          </w:p>
        </w:tc>
        <w:tc>
          <w:tcPr>
            <w:tcBorders/>
            <w:tcW w:w="3650" w:type="dxa"/>
          </w:tcPr>
          <w:p>
            <w:pPr>
              <w:pStyle w:val="731"/>
              <w:pBdr/>
              <w:spacing/>
              <w:ind/>
              <w:rPr/>
            </w:pPr>
            <w:r>
              <w:t xml:space="preserve">Consulta sin cuenta de programación, resultados, tablas, goleo, castigados y comunicados; búsqueda por fecha, categoría y equipo.</w:t>
            </w:r>
            <w:r/>
          </w:p>
        </w:tc>
        <w:tc>
          <w:tcPr>
            <w:tcBorders/>
            <w:tcW w:w="1804" w:type="dxa"/>
          </w:tcPr>
          <w:p>
            <w:pPr>
              <w:pStyle w:val="731"/>
              <w:pBdr/>
              <w:spacing/>
              <w:ind/>
              <w:rPr/>
            </w:pPr>
            <w:r>
              <w:t xml:space="preserve">REF-06, diap. 27; REF-07, P20</w:t>
            </w:r>
            <w:r/>
          </w:p>
        </w:tc>
        <w:tc>
          <w:tcPr>
            <w:tcBorders/>
            <w:tcW w:w="1400" w:type="dxa"/>
          </w:tcPr>
          <w:p>
            <w:pPr>
              <w:pStyle w:val="731"/>
              <w:pBdr/>
              <w:spacing/>
              <w:ind/>
              <w:rPr/>
            </w:pPr>
            <w:r>
              <w:t xml:space="preserve">Must</w:t>
            </w:r>
            <w:r/>
          </w:p>
        </w:tc>
      </w:tr>
      <w:tr>
        <w:trPr>
          <w:cantSplit/>
        </w:trPr>
        <w:tc>
          <w:tcPr>
            <w:shd w:val="clear" w:color="auto" w:fill="fafafc"/>
            <w:tcBorders/>
            <w:tcW w:w="800" w:type="dxa"/>
          </w:tcPr>
          <w:p>
            <w:pPr>
              <w:pStyle w:val="731"/>
              <w:pBdr/>
              <w:spacing/>
              <w:ind/>
              <w:rPr/>
            </w:pPr>
            <w:r>
              <w:t xml:space="preserve">AF-12</w:t>
            </w:r>
            <w:r/>
          </w:p>
        </w:tc>
        <w:tc>
          <w:tcPr>
            <w:shd w:val="clear" w:color="auto" w:fill="fafafc"/>
            <w:tcBorders/>
            <w:tcW w:w="1750" w:type="dxa"/>
          </w:tcPr>
          <w:p>
            <w:pPr>
              <w:pStyle w:val="731"/>
              <w:pBdr/>
              <w:spacing/>
              <w:ind/>
              <w:rPr/>
            </w:pPr>
            <w:r>
              <w:t xml:space="preserve">Reportes y difusión</w:t>
            </w:r>
            <w:r/>
          </w:p>
        </w:tc>
        <w:tc>
          <w:tcPr>
            <w:shd w:val="clear" w:color="auto" w:fill="fafafc"/>
            <w:tcBorders/>
            <w:tcW w:w="3650" w:type="dxa"/>
          </w:tcPr>
          <w:p>
            <w:pPr>
              <w:pStyle w:val="731"/>
              <w:pBdr/>
              <w:spacing/>
              <w:ind/>
              <w:rPr/>
            </w:pPr>
            <w:r>
              <w:t xml:space="preserve">Reportes y exportación de programación, tablas y castigados en formatos para difusión (imagen o PDF).</w:t>
            </w:r>
            <w:r/>
          </w:p>
        </w:tc>
        <w:tc>
          <w:tcPr>
            <w:shd w:val="clear" w:color="auto" w:fill="fafafc"/>
            <w:tcBorders/>
            <w:tcW w:w="1804" w:type="dxa"/>
          </w:tcPr>
          <w:p>
            <w:pPr>
              <w:pStyle w:val="731"/>
              <w:pBdr/>
              <w:spacing/>
              <w:ind/>
              <w:rPr/>
            </w:pPr>
            <w:r>
              <w:t xml:space="preserve">REF-06, diap. 35; REF-07, P18</w:t>
            </w:r>
            <w:r/>
          </w:p>
        </w:tc>
        <w:tc>
          <w:tcPr>
            <w:shd w:val="clear" w:color="auto" w:fill="fafafc"/>
            <w:tcBorders/>
            <w:tcW w:w="1400" w:type="dxa"/>
          </w:tcPr>
          <w:p>
            <w:pPr>
              <w:pStyle w:val="731"/>
              <w:pBdr/>
              <w:spacing/>
              <w:ind/>
              <w:rPr/>
            </w:pPr>
            <w:r>
              <w:t xml:space="preserve">Should</w:t>
            </w:r>
            <w:r/>
          </w:p>
        </w:tc>
      </w:tr>
      <w:tr>
        <w:trPr>
          <w:cantSplit/>
        </w:trPr>
        <w:tc>
          <w:tcPr>
            <w:tcBorders/>
            <w:tcW w:w="800" w:type="dxa"/>
          </w:tcPr>
          <w:p>
            <w:pPr>
              <w:pStyle w:val="731"/>
              <w:pBdr/>
              <w:spacing/>
              <w:ind/>
              <w:rPr/>
            </w:pPr>
            <w:r>
              <w:t xml:space="preserve">AF-13</w:t>
            </w:r>
            <w:r/>
          </w:p>
        </w:tc>
        <w:tc>
          <w:tcPr>
            <w:tcBorders/>
            <w:tcW w:w="1750" w:type="dxa"/>
          </w:tcPr>
          <w:p>
            <w:pPr>
              <w:pStyle w:val="731"/>
              <w:pBdr/>
              <w:spacing/>
              <w:ind/>
              <w:rPr/>
            </w:pPr>
            <w:r>
              <w:t xml:space="preserve">Notificaciones por WhatsApp</w:t>
            </w:r>
            <w:r/>
          </w:p>
        </w:tc>
        <w:tc>
          <w:tcPr>
            <w:tcBorders/>
            <w:tcW w:w="3650" w:type="dxa"/>
          </w:tcPr>
          <w:p>
            <w:pPr>
              <w:pStyle w:val="731"/>
              <w:pBdr/>
              <w:spacing/>
              <w:ind/>
              <w:rPr/>
            </w:pPr>
            <w:r>
              <w:t xml:space="preserve">Envío de avisos por WhatsApp. Destinatarios y contenido: </w:t>
            </w:r>
            <w:r>
              <w:rPr>
                <w:b/>
                <w:bCs/>
                <w:color w:val="9c4a00"/>
                <w:shd w:val="clear" w:color="auto" w:fill="fff2cc"/>
              </w:rPr>
              <w:t xml:space="preserve">[POR DEFINIR]</w:t>
            </w:r>
            <w:r>
              <w:t xml:space="preserve">.</w:t>
            </w:r>
            <w:r/>
          </w:p>
        </w:tc>
        <w:tc>
          <w:tcPr>
            <w:tcBorders/>
            <w:tcW w:w="1804" w:type="dxa"/>
          </w:tcPr>
          <w:p>
            <w:pPr>
              <w:pStyle w:val="731"/>
              <w:pBdr/>
              <w:spacing/>
              <w:ind/>
              <w:rPr/>
            </w:pPr>
            <w:r>
              <w:t xml:space="preserve">REF-06, diap. 36; REF-07, P10-d</w:t>
            </w:r>
            <w:r/>
          </w:p>
        </w:tc>
        <w:tc>
          <w:tcPr>
            <w:tcBorders/>
            <w:tcW w:w="1400" w:type="dxa"/>
          </w:tcPr>
          <w:p>
            <w:pPr>
              <w:pStyle w:val="731"/>
              <w:pBdr/>
              <w:spacing/>
              <w:ind/>
              <w:rPr/>
            </w:pPr>
            <w:r>
              <w:t xml:space="preserve">Could</w:t>
            </w:r>
            <w:r/>
          </w:p>
        </w:tc>
      </w:tr>
    </w:tbl>
    <w:p>
      <w:pPr>
        <w:pBdr/>
        <w:spacing w:after="60" w:before="0"/>
        <w:ind/>
        <w:rPr/>
      </w:pPr>
      <w:r/>
      <w:r/>
    </w:p>
    <w:p>
      <w:pPr>
        <w:pStyle w:val="733"/>
        <w:pBdr/>
        <w:spacing/>
        <w:ind/>
        <w:rPr/>
      </w:pPr>
      <w:r>
        <w:rPr>
          <w:b/>
          <w:bCs/>
          <w:color w:val="241a61"/>
        </w:rPr>
        <w:t xml:space="preserve">Nota: </w:t>
      </w:r>
      <w:r>
        <w:t xml:space="preserve">la operación sin conexión (REF-07, P21) es una característica transversal, no un área funcional. Su alcance y su prioridad están </w:t>
      </w:r>
      <w:r>
        <w:rPr>
          <w:b/>
          <w:bCs/>
          <w:color w:val="9c4a00"/>
          <w:shd w:val="clear" w:color="auto" w:fill="fff2cc"/>
        </w:rPr>
        <w:t xml:space="preserve">[POR DEFINIR]</w:t>
      </w:r>
      <w:r>
        <w:t xml:space="preserve"> (ver C-01).</w:t>
      </w:r>
      <w:r/>
    </w:p>
    <w:p>
      <w:pPr>
        <w:pStyle w:val="725"/>
        <w:pBdr/>
        <w:spacing/>
        <w:ind/>
        <w:rPr/>
      </w:pPr>
      <w:r/>
      <w:bookmarkStart w:id="13" w:name="_Toc100013"/>
      <w:r>
        <w:t xml:space="preserve">1.2.6 Fuera del alcance</w:t>
      </w:r>
      <w:bookmarkEnd w:id="13"/>
      <w:r/>
      <w:r/>
    </w:p>
    <w:p>
      <w:pPr>
        <w:pStyle w:val="732"/>
        <w:keepNext w:val="true"/>
        <w:pBdr/>
        <w:spacing/>
        <w:ind/>
        <w:rPr/>
      </w:pPr>
      <w:r>
        <w:rPr>
          <w:b/>
          <w:bCs/>
          <w:color w:val="241a61"/>
          <w:sz w:val="18"/>
          <w:szCs w:val="18"/>
        </w:rPr>
        <w:t xml:space="preserve">Tabla 7. </w:t>
      </w:r>
      <w:r>
        <w:rPr>
          <w:sz w:val="18"/>
          <w:szCs w:val="18"/>
        </w:rPr>
        <w:t xml:space="preserve">Exclusiones explícitas del alcance.</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3000"/>
        <w:gridCol w:w="4004"/>
        <w:gridCol w:w="2400"/>
      </w:tblGrid>
      <w:tr>
        <w:trPr>
          <w:cantSplit/>
          <w:tblHeader/>
        </w:trPr>
        <w:tc>
          <w:tcPr>
            <w:shd w:val="clear" w:color="auto" w:fill="241a61"/>
            <w:tcBorders/>
            <w:tcW w:w="3000" w:type="dxa"/>
            <w:vAlign w:val="center"/>
          </w:tcPr>
          <w:p>
            <w:pPr>
              <w:pStyle w:val="731"/>
              <w:pBdr/>
              <w:spacing/>
              <w:ind/>
              <w:rPr/>
            </w:pPr>
            <w:r>
              <w:rPr>
                <w:b/>
                <w:bCs/>
                <w:color w:val="ffffff"/>
              </w:rPr>
              <w:t xml:space="preserve">Exclusión</w:t>
            </w:r>
            <w:r/>
          </w:p>
        </w:tc>
        <w:tc>
          <w:tcPr>
            <w:shd w:val="clear" w:color="auto" w:fill="241a61"/>
            <w:tcBorders/>
            <w:tcW w:w="4004" w:type="dxa"/>
            <w:vAlign w:val="center"/>
          </w:tcPr>
          <w:p>
            <w:pPr>
              <w:pStyle w:val="731"/>
              <w:pBdr/>
              <w:spacing/>
              <w:ind/>
              <w:rPr/>
            </w:pPr>
            <w:r>
              <w:rPr>
                <w:b/>
                <w:bCs/>
                <w:color w:val="ffffff"/>
              </w:rPr>
              <w:t xml:space="preserve">Situación</w:t>
            </w:r>
            <w:r/>
          </w:p>
        </w:tc>
        <w:tc>
          <w:tcPr>
            <w:shd w:val="clear" w:color="auto" w:fill="241a61"/>
            <w:tcBorders/>
            <w:tcW w:w="2400" w:type="dxa"/>
            <w:vAlign w:val="center"/>
          </w:tcPr>
          <w:p>
            <w:pPr>
              <w:pStyle w:val="731"/>
              <w:pBdr/>
              <w:spacing/>
              <w:ind/>
              <w:rPr/>
            </w:pPr>
            <w:r>
              <w:rPr>
                <w:b/>
                <w:bCs/>
                <w:color w:val="ffffff"/>
              </w:rPr>
              <w:t xml:space="preserve">Fuente</w:t>
            </w:r>
            <w:r/>
          </w:p>
        </w:tc>
      </w:tr>
      <w:tr>
        <w:trPr>
          <w:cantSplit/>
        </w:trPr>
        <w:tc>
          <w:tcPr>
            <w:tcBorders/>
            <w:tcW w:w="3000" w:type="dxa"/>
          </w:tcPr>
          <w:p>
            <w:pPr>
              <w:pStyle w:val="731"/>
              <w:pBdr/>
              <w:spacing/>
              <w:ind/>
              <w:rPr/>
            </w:pPr>
            <w:r>
              <w:t xml:space="preserve">Aplicación móvil instalable (nativa)</w:t>
            </w:r>
            <w:r/>
          </w:p>
        </w:tc>
        <w:tc>
          <w:tcPr>
            <w:tcBorders/>
            <w:tcW w:w="4004" w:type="dxa"/>
          </w:tcPr>
          <w:p>
            <w:pPr>
              <w:pStyle w:val="731"/>
              <w:pBdr/>
              <w:spacing/>
              <w:ind/>
              <w:rPr/>
            </w:pPr>
            <w:r>
              <w:t xml:space="preserve">Excluida. El Sistema será una aplicación web.</w:t>
            </w:r>
            <w:r/>
          </w:p>
        </w:tc>
        <w:tc>
          <w:tcPr>
            <w:tcBorders/>
            <w:tcW w:w="2400" w:type="dxa"/>
          </w:tcPr>
          <w:p>
            <w:pPr>
              <w:pStyle w:val="731"/>
              <w:pBdr/>
              <w:spacing/>
              <w:ind/>
              <w:rPr/>
            </w:pPr>
            <w:r>
              <w:t xml:space="preserve">REF-07, P10-e</w:t>
            </w:r>
            <w:r/>
          </w:p>
        </w:tc>
      </w:tr>
      <w:tr>
        <w:trPr>
          <w:cantSplit/>
        </w:trPr>
        <w:tc>
          <w:tcPr>
            <w:shd w:val="clear" w:color="auto" w:fill="fafafc"/>
            <w:tcBorders/>
            <w:tcW w:w="3000" w:type="dxa"/>
          </w:tcPr>
          <w:p>
            <w:pPr>
              <w:pStyle w:val="731"/>
              <w:pBdr/>
              <w:spacing/>
              <w:ind/>
              <w:rPr/>
            </w:pPr>
            <w:r>
              <w:t xml:space="preserve">Migración de datos de temporadas anteriores</w:t>
            </w:r>
            <w:r/>
          </w:p>
        </w:tc>
        <w:tc>
          <w:tcPr>
            <w:shd w:val="clear" w:color="auto" w:fill="fafafc"/>
            <w:tcBorders/>
            <w:tcW w:w="4004" w:type="dxa"/>
          </w:tcPr>
          <w:p>
            <w:pPr>
              <w:pStyle w:val="731"/>
              <w:pBdr/>
              <w:spacing/>
              <w:ind/>
              <w:rPr/>
            </w:pPr>
            <w:r>
              <w:t xml:space="preserve">No prevista por ahora. </w:t>
            </w:r>
            <w:r/>
          </w:p>
        </w:tc>
        <w:tc>
          <w:tcPr>
            <w:shd w:val="clear" w:color="auto" w:fill="fafafc"/>
            <w:tcBorders/>
            <w:tcW w:w="2400" w:type="dxa"/>
          </w:tcPr>
          <w:p>
            <w:pPr>
              <w:pStyle w:val="731"/>
              <w:pBdr/>
              <w:spacing/>
              <w:ind/>
              <w:rPr/>
            </w:pPr>
            <w:r>
              <w:t xml:space="preserve">REF-07, P10-c</w:t>
            </w:r>
            <w:r/>
          </w:p>
        </w:tc>
      </w:tr>
      <w:tr>
        <w:trPr>
          <w:cantSplit/>
        </w:trPr>
        <w:tc>
          <w:tcPr>
            <w:tcBorders/>
            <w:tcW w:w="3000" w:type="dxa"/>
          </w:tcPr>
          <w:p>
            <w:pPr>
              <w:pStyle w:val="731"/>
              <w:pBdr/>
              <w:spacing/>
              <w:ind/>
              <w:rPr/>
            </w:pPr>
            <w:r>
              <w:t xml:space="preserve">Integraciones distintas de WhatsApp (correo, SMS, mapas, API pública, autenticación externa, almacenamiento documental externo, importación o exportación CSV/Excel)</w:t>
            </w:r>
            <w:r/>
          </w:p>
        </w:tc>
        <w:tc>
          <w:tcPr>
            <w:tcBorders/>
            <w:tcW w:w="4004" w:type="dxa"/>
          </w:tcPr>
          <w:p>
            <w:pPr>
              <w:pStyle w:val="731"/>
              <w:pBdr/>
              <w:spacing/>
              <w:ind/>
              <w:rPr/>
            </w:pPr>
            <w:r>
              <w:t xml:space="preserve">No incluidas en esta versión</w:t>
            </w:r>
            <w:r>
              <w:rPr>
                <w:lang w:val="en-US"/>
              </w:rPr>
              <w:t xml:space="preserve"> </w:t>
            </w:r>
            <w:r/>
          </w:p>
        </w:tc>
        <w:tc>
          <w:tcPr>
            <w:tcBorders/>
            <w:tcW w:w="2400" w:type="dxa"/>
          </w:tcPr>
          <w:p>
            <w:pPr>
              <w:pStyle w:val="731"/>
              <w:pBdr/>
              <w:spacing/>
              <w:ind/>
              <w:rPr/>
            </w:pPr>
            <w:r>
              <w:t xml:space="preserve">REF-07, P10-d</w:t>
            </w:r>
            <w:r/>
          </w:p>
        </w:tc>
      </w:tr>
      <w:tr>
        <w:trPr>
          <w:cantSplit/>
        </w:trPr>
        <w:tc>
          <w:tcPr>
            <w:shd w:val="clear" w:color="auto" w:fill="fafafc"/>
            <w:tcBorders/>
            <w:tcW w:w="3000" w:type="dxa"/>
          </w:tcPr>
          <w:p>
            <w:pPr>
              <w:pStyle w:val="731"/>
              <w:pBdr/>
              <w:spacing/>
              <w:ind/>
              <w:rPr/>
            </w:pPr>
            <w:r>
              <w:t xml:space="preserve">Intercambio electrónico automático con entidades externas (IMCUFIDE, colegios de árbitros, UMSNH, sindicato del Ayuntamiento, portales de noticias)</w:t>
            </w:r>
            <w:r/>
          </w:p>
        </w:tc>
        <w:tc>
          <w:tcPr>
            <w:shd w:val="clear" w:color="auto" w:fill="fafafc"/>
            <w:tcBorders/>
            <w:tcW w:w="4004" w:type="dxa"/>
          </w:tcPr>
          <w:p>
            <w:pPr>
              <w:pStyle w:val="731"/>
              <w:pBdr/>
              <w:spacing/>
              <w:ind/>
              <w:rPr/>
            </w:pPr>
            <w:r>
              <w:t xml:space="preserve">No incluido. El intercambio sigue por los medios actuales; el Sistema solo generará documentos exportables (AF-12).</w:t>
            </w:r>
            <w:r/>
          </w:p>
        </w:tc>
        <w:tc>
          <w:tcPr>
            <w:shd w:val="clear" w:color="auto" w:fill="fafafc"/>
            <w:tcBorders/>
            <w:tcW w:w="2400" w:type="dxa"/>
          </w:tcPr>
          <w:p>
            <w:pPr>
              <w:pStyle w:val="731"/>
              <w:pBdr/>
              <w:spacing/>
              <w:ind/>
              <w:rPr/>
            </w:pPr>
            <w:r>
              <w:t xml:space="preserve">Propuesta del análisis (REF-07, P10-d y P18)</w:t>
            </w:r>
            <w:r/>
          </w:p>
        </w:tc>
      </w:tr>
      <w:tr>
        <w:trPr>
          <w:cantSplit/>
        </w:trPr>
        <w:tc>
          <w:tcPr>
            <w:tcBorders/>
            <w:tcW w:w="3000" w:type="dxa"/>
          </w:tcPr>
          <w:p>
            <w:pPr>
              <w:pStyle w:val="731"/>
              <w:pBdr/>
              <w:spacing/>
              <w:ind/>
              <w:rPr/>
            </w:pPr>
            <w:r>
              <w:t xml:space="preserve">Trámites legales y notariales de la asociación civil (actas, estatutos, asambleas)</w:t>
            </w:r>
            <w:r/>
          </w:p>
        </w:tc>
        <w:tc>
          <w:tcPr>
            <w:tcBorders/>
            <w:tcW w:w="4004" w:type="dxa"/>
          </w:tcPr>
          <w:p>
            <w:pPr>
              <w:pStyle w:val="731"/>
              <w:pBdr/>
              <w:spacing/>
              <w:ind/>
              <w:rPr/>
            </w:pPr>
            <w:r>
              <w:t xml:space="preserve">Fuera del alcance.</w:t>
            </w:r>
            <w:r/>
          </w:p>
        </w:tc>
        <w:tc>
          <w:tcPr>
            <w:tcBorders/>
            <w:tcW w:w="2400" w:type="dxa"/>
          </w:tcPr>
          <w:p>
            <w:pPr>
              <w:pStyle w:val="731"/>
              <w:pBdr/>
              <w:spacing/>
              <w:ind/>
              <w:rPr/>
            </w:pPr>
            <w:r>
              <w:t xml:space="preserve">Propuesta del análisis (REF-07, P18)</w:t>
            </w:r>
            <w:r/>
          </w:p>
        </w:tc>
      </w:tr>
      <w:tr>
        <w:trPr>
          <w:cantSplit/>
        </w:trPr>
        <w:tc>
          <w:tcPr>
            <w:shd w:val="clear" w:color="auto" w:fill="fafafc"/>
            <w:tcBorders/>
            <w:tcW w:w="3000" w:type="dxa"/>
          </w:tcPr>
          <w:p>
            <w:pPr>
              <w:pStyle w:val="731"/>
              <w:pBdr/>
              <w:spacing/>
              <w:ind/>
              <w:rPr/>
            </w:pPr>
            <w:r>
              <w:t xml:space="preserve">Cobro en línea (pasarela de pagos)</w:t>
            </w:r>
            <w:r/>
          </w:p>
        </w:tc>
        <w:tc>
          <w:tcPr>
            <w:shd w:val="clear" w:color="auto" w:fill="fafafc"/>
            <w:tcBorders/>
            <w:tcW w:w="4004" w:type="dxa"/>
          </w:tcPr>
          <w:p>
            <w:pPr>
              <w:pStyle w:val="731"/>
              <w:pBdr/>
              <w:spacing/>
              <w:ind/>
              <w:rPr/>
            </w:pPr>
            <w:r>
              <w:rPr>
                <w:b/>
                <w:bCs/>
                <w:color w:val="9c4a00"/>
                <w:shd w:val="clear" w:color="auto" w:fill="fff2cc"/>
              </w:rPr>
              <w:t xml:space="preserve">[POR DEFINIR]</w:t>
            </w:r>
            <w:r>
              <w:t xml:space="preserve">. Hoy los pagos son presenciales en las oficinas de la Liga.</w:t>
            </w:r>
            <w:r/>
          </w:p>
        </w:tc>
        <w:tc>
          <w:tcPr>
            <w:shd w:val="clear" w:color="auto" w:fill="fafafc"/>
            <w:tcBorders/>
            <w:tcW w:w="2400" w:type="dxa"/>
          </w:tcPr>
          <w:p>
            <w:pPr>
              <w:pStyle w:val="731"/>
              <w:pBdr/>
              <w:spacing/>
              <w:ind/>
              <w:rPr/>
            </w:pPr>
            <w:r>
              <w:t xml:space="preserve">REF-01, IX; REF-02, V</w:t>
            </w:r>
            <w:r/>
          </w:p>
        </w:tc>
      </w:tr>
    </w:tbl>
    <w:p>
      <w:pPr>
        <w:pBdr/>
        <w:spacing w:after="60" w:before="0"/>
        <w:ind/>
        <w:rPr/>
      </w:pPr>
      <w:r/>
      <w:r/>
    </w:p>
    <w:p>
      <w:pPr>
        <w:pStyle w:val="725"/>
        <w:pBdr/>
        <w:spacing/>
        <w:ind/>
        <w:rPr/>
      </w:pPr>
      <w:r/>
      <w:bookmarkStart w:id="14" w:name="_Toc100014"/>
      <w:r>
        <w:t xml:space="preserve">1.2.7 Condicionantes del alcance</w:t>
      </w:r>
      <w:bookmarkEnd w:id="14"/>
      <w:r/>
      <w:r/>
    </w:p>
    <w:p>
      <w:pPr>
        <w:pBdr/>
        <w:spacing/>
        <w:ind/>
        <w:rPr/>
      </w:pPr>
      <w:r>
        <w:t xml:space="preserve">Los siguientes condicionantes delimitan el alcance y deben resolverse antes de especificar los requisitos afectados.</w:t>
      </w:r>
      <w:r/>
    </w:p>
    <w:p>
      <w:pPr>
        <w:pStyle w:val="732"/>
        <w:keepNext w:val="true"/>
        <w:pBdr/>
        <w:spacing/>
        <w:ind/>
        <w:rPr/>
      </w:pPr>
      <w:r>
        <w:rPr>
          <w:b/>
          <w:bCs/>
          <w:color w:val="241a61"/>
          <w:sz w:val="18"/>
          <w:szCs w:val="18"/>
        </w:rPr>
        <w:t xml:space="preserve">Tabla 8. </w:t>
      </w:r>
      <w:r>
        <w:rPr>
          <w:sz w:val="18"/>
          <w:szCs w:val="18"/>
        </w:rPr>
        <w:t xml:space="preserve">Condicionantes del alcance.</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750"/>
        <w:gridCol w:w="2500"/>
        <w:gridCol w:w="1500"/>
        <w:gridCol w:w="3054"/>
        <w:gridCol w:w="1600"/>
      </w:tblGrid>
      <w:tr>
        <w:trPr>
          <w:cantSplit/>
          <w:tblHeader/>
        </w:trPr>
        <w:tc>
          <w:tcPr>
            <w:shd w:val="clear" w:color="auto" w:fill="241a61"/>
            <w:tcBorders/>
            <w:tcW w:w="750" w:type="dxa"/>
            <w:vAlign w:val="center"/>
          </w:tcPr>
          <w:p>
            <w:pPr>
              <w:pStyle w:val="731"/>
              <w:pBdr/>
              <w:spacing/>
              <w:ind/>
              <w:rPr/>
            </w:pPr>
            <w:r>
              <w:rPr>
                <w:b/>
                <w:bCs/>
                <w:color w:val="ffffff"/>
              </w:rPr>
              <w:t xml:space="preserve">ID</w:t>
            </w:r>
            <w:r/>
          </w:p>
        </w:tc>
        <w:tc>
          <w:tcPr>
            <w:shd w:val="clear" w:color="auto" w:fill="241a61"/>
            <w:tcBorders/>
            <w:tcW w:w="2500" w:type="dxa"/>
            <w:vAlign w:val="center"/>
          </w:tcPr>
          <w:p>
            <w:pPr>
              <w:pStyle w:val="731"/>
              <w:pBdr/>
              <w:spacing/>
              <w:ind/>
              <w:rPr/>
            </w:pPr>
            <w:r>
              <w:rPr>
                <w:b/>
                <w:bCs/>
                <w:color w:val="ffffff"/>
              </w:rPr>
              <w:t xml:space="preserve">Condicionante</w:t>
            </w:r>
            <w:r/>
          </w:p>
        </w:tc>
        <w:tc>
          <w:tcPr>
            <w:shd w:val="clear" w:color="auto" w:fill="241a61"/>
            <w:tcBorders/>
            <w:tcW w:w="1500" w:type="dxa"/>
            <w:vAlign w:val="center"/>
          </w:tcPr>
          <w:p>
            <w:pPr>
              <w:pStyle w:val="731"/>
              <w:pBdr/>
              <w:spacing/>
              <w:ind/>
              <w:rPr/>
            </w:pPr>
            <w:r>
              <w:rPr>
                <w:b/>
                <w:bCs/>
                <w:color w:val="ffffff"/>
              </w:rPr>
              <w:t xml:space="preserve">Estado</w:t>
            </w:r>
            <w:r/>
          </w:p>
        </w:tc>
        <w:tc>
          <w:tcPr>
            <w:shd w:val="clear" w:color="auto" w:fill="241a61"/>
            <w:tcBorders/>
            <w:tcW w:w="3054" w:type="dxa"/>
            <w:vAlign w:val="center"/>
          </w:tcPr>
          <w:p>
            <w:pPr>
              <w:pStyle w:val="731"/>
              <w:pBdr/>
              <w:spacing/>
              <w:ind/>
              <w:rPr/>
            </w:pPr>
            <w:r>
              <w:rPr>
                <w:b/>
                <w:bCs/>
                <w:color w:val="ffffff"/>
              </w:rPr>
              <w:t xml:space="preserve">Impacto si no se define</w:t>
            </w:r>
            <w:r/>
          </w:p>
        </w:tc>
        <w:tc>
          <w:tcPr>
            <w:shd w:val="clear" w:color="auto" w:fill="241a61"/>
            <w:tcBorders/>
            <w:tcW w:w="1600" w:type="dxa"/>
            <w:vAlign w:val="center"/>
          </w:tcPr>
          <w:p>
            <w:pPr>
              <w:pStyle w:val="731"/>
              <w:pBdr/>
              <w:spacing/>
              <w:ind/>
              <w:rPr/>
            </w:pPr>
            <w:r>
              <w:rPr>
                <w:b/>
                <w:bCs/>
                <w:color w:val="ffffff"/>
              </w:rPr>
              <w:t xml:space="preserve">Fuente</w:t>
            </w:r>
            <w:r/>
          </w:p>
        </w:tc>
      </w:tr>
      <w:tr>
        <w:trPr>
          <w:cantSplit/>
        </w:trPr>
        <w:tc>
          <w:tcPr>
            <w:tcBorders/>
            <w:tcW w:w="750" w:type="dxa"/>
          </w:tcPr>
          <w:p>
            <w:pPr>
              <w:pStyle w:val="731"/>
              <w:pBdr/>
              <w:spacing/>
              <w:ind/>
              <w:rPr/>
            </w:pPr>
            <w:r>
              <w:t xml:space="preserve">C-01</w:t>
            </w:r>
            <w:r/>
          </w:p>
        </w:tc>
        <w:tc>
          <w:tcPr>
            <w:tcBorders/>
            <w:tcW w:w="2500" w:type="dxa"/>
          </w:tcPr>
          <w:p>
            <w:pPr>
              <w:pStyle w:val="731"/>
              <w:pBdr/>
              <w:spacing/>
              <w:ind/>
              <w:rPr/>
            </w:pPr>
            <w:r>
              <w:t xml:space="preserve">Operación en línea y sin conexión: qué funciones, para qué usuarios y cómo se sincronizan los datos.</w:t>
            </w:r>
            <w:r/>
          </w:p>
        </w:tc>
        <w:tc>
          <w:tcPr>
            <w:tcBorders/>
            <w:tcW w:w="1500" w:type="dxa"/>
          </w:tcPr>
          <w:p>
            <w:pPr>
              <w:pStyle w:val="731"/>
              <w:pBdr/>
              <w:spacing/>
              <w:ind/>
              <w:rPr/>
            </w:pPr>
            <w:r>
              <w:rPr>
                <w:b/>
                <w:bCs/>
                <w:color w:val="9c4a00"/>
                <w:shd w:val="clear" w:color="auto" w:fill="fff2cc"/>
              </w:rPr>
              <w:t xml:space="preserve">[POR DEFINIR]</w:t>
            </w:r>
            <w:r/>
          </w:p>
        </w:tc>
        <w:tc>
          <w:tcPr>
            <w:tcBorders/>
            <w:tcW w:w="3054" w:type="dxa"/>
          </w:tcPr>
          <w:p>
            <w:pPr>
              <w:pStyle w:val="731"/>
              <w:pBdr/>
              <w:spacing/>
              <w:ind/>
              <w:rPr/>
            </w:pPr>
            <w:r>
              <w:t xml:space="preserve">Alto: determina la arquitectura, el almacenamiento local y la resolución de conflictos de datos.</w:t>
            </w:r>
            <w:r/>
          </w:p>
        </w:tc>
        <w:tc>
          <w:tcPr>
            <w:tcBorders/>
            <w:tcW w:w="1600" w:type="dxa"/>
          </w:tcPr>
          <w:p>
            <w:pPr>
              <w:pStyle w:val="731"/>
              <w:pBdr/>
              <w:spacing/>
              <w:ind/>
              <w:rPr/>
            </w:pPr>
            <w:r>
              <w:t xml:space="preserve">REF-07, P21</w:t>
            </w:r>
            <w:r/>
          </w:p>
        </w:tc>
      </w:tr>
      <w:tr>
        <w:trPr>
          <w:cantSplit/>
        </w:trPr>
        <w:tc>
          <w:tcPr>
            <w:shd w:val="clear" w:color="auto" w:fill="fafafc"/>
            <w:tcBorders/>
            <w:tcW w:w="750" w:type="dxa"/>
          </w:tcPr>
          <w:p>
            <w:pPr>
              <w:pStyle w:val="731"/>
              <w:pBdr/>
              <w:spacing/>
              <w:ind/>
              <w:rPr/>
            </w:pPr>
            <w:r>
              <w:t xml:space="preserve">C-02</w:t>
            </w:r>
            <w:r/>
          </w:p>
        </w:tc>
        <w:tc>
          <w:tcPr>
            <w:shd w:val="clear" w:color="auto" w:fill="fafafc"/>
            <w:tcBorders/>
            <w:tcW w:w="2500" w:type="dxa"/>
          </w:tcPr>
          <w:p>
            <w:pPr>
              <w:pStyle w:val="731"/>
              <w:pBdr/>
              <w:spacing/>
              <w:ind/>
              <w:rPr/>
            </w:pPr>
            <w:r>
              <w:t xml:space="preserve">Hospedaje y presupuesto.</w:t>
            </w:r>
            <w:r/>
          </w:p>
        </w:tc>
        <w:tc>
          <w:tcPr>
            <w:shd w:val="clear" w:color="auto" w:fill="fafafc"/>
            <w:tcBorders/>
            <w:tcW w:w="1500" w:type="dxa"/>
          </w:tcPr>
          <w:p>
            <w:pPr>
              <w:pStyle w:val="731"/>
              <w:pBdr/>
              <w:spacing/>
              <w:ind/>
              <w:rPr/>
            </w:pPr>
            <w:r>
              <w:rPr>
                <w:b/>
                <w:bCs/>
                <w:color w:val="9c4a00"/>
                <w:shd w:val="clear" w:color="auto" w:fill="fff2cc"/>
              </w:rPr>
              <w:t xml:space="preserve">[POR DEFINIR]</w:t>
            </w:r>
            <w:r/>
          </w:p>
        </w:tc>
        <w:tc>
          <w:tcPr>
            <w:shd w:val="clear" w:color="auto" w:fill="fafafc"/>
            <w:tcBorders/>
            <w:tcW w:w="3054" w:type="dxa"/>
          </w:tcPr>
          <w:p>
            <w:pPr>
              <w:pStyle w:val="731"/>
              <w:pBdr/>
              <w:spacing/>
              <w:ind/>
              <w:rPr/>
            </w:pPr>
            <w:r>
              <w:t xml:space="preserve">Alto: condiciona la infraestructura, los costos de operación y el uso de servicios con costo, como WhatsApp.</w:t>
            </w:r>
            <w:r/>
          </w:p>
        </w:tc>
        <w:tc>
          <w:tcPr>
            <w:shd w:val="clear" w:color="auto" w:fill="fafafc"/>
            <w:tcBorders/>
            <w:tcW w:w="1600" w:type="dxa"/>
          </w:tcPr>
          <w:p>
            <w:pPr>
              <w:pStyle w:val="731"/>
              <w:pBdr/>
              <w:spacing/>
              <w:ind/>
              <w:rPr/>
            </w:pPr>
            <w:r>
              <w:t xml:space="preserve">REF-07, P21</w:t>
            </w:r>
            <w:r/>
          </w:p>
        </w:tc>
      </w:tr>
      <w:tr>
        <w:trPr>
          <w:cantSplit/>
        </w:trPr>
        <w:tc>
          <w:tcPr>
            <w:tcBorders/>
            <w:tcW w:w="750" w:type="dxa"/>
          </w:tcPr>
          <w:p>
            <w:pPr>
              <w:pStyle w:val="731"/>
              <w:pBdr/>
              <w:spacing/>
              <w:ind/>
              <w:rPr/>
            </w:pPr>
            <w:r>
              <w:t xml:space="preserve">C-03</w:t>
            </w:r>
            <w:r/>
          </w:p>
        </w:tc>
        <w:tc>
          <w:tcPr>
            <w:tcBorders/>
            <w:tcW w:w="2500" w:type="dxa"/>
          </w:tcPr>
          <w:p>
            <w:pPr>
              <w:pStyle w:val="731"/>
              <w:pBdr/>
              <w:spacing/>
              <w:ind/>
              <w:rPr/>
            </w:pPr>
            <w:r>
              <w:t xml:space="preserve">Responsable de la operación y el mantenimiento después de la primera versión (el equipo del proyecto o personal contratado).</w:t>
            </w:r>
            <w:r/>
          </w:p>
        </w:tc>
        <w:tc>
          <w:tcPr>
            <w:tcBorders/>
            <w:tcW w:w="1500" w:type="dxa"/>
          </w:tcPr>
          <w:p>
            <w:pPr>
              <w:pStyle w:val="731"/>
              <w:pBdr/>
              <w:spacing/>
              <w:ind/>
              <w:rPr/>
            </w:pPr>
            <w:r>
              <w:rPr>
                <w:b/>
                <w:bCs/>
                <w:color w:val="9c4a00"/>
                <w:shd w:val="clear" w:color="auto" w:fill="fff2cc"/>
              </w:rPr>
              <w:t xml:space="preserve">[POR DEFINIR]</w:t>
            </w:r>
            <w:r/>
          </w:p>
        </w:tc>
        <w:tc>
          <w:tcPr>
            <w:tcBorders/>
            <w:tcW w:w="3054" w:type="dxa"/>
          </w:tcPr>
          <w:p>
            <w:pPr>
              <w:pStyle w:val="731"/>
              <w:pBdr/>
              <w:spacing/>
              <w:ind/>
              <w:rPr/>
            </w:pPr>
            <w:r>
              <w:t xml:space="preserve">Medio: afecta los requisitos de mantenibilidad, documentación y capacitación.</w:t>
            </w:r>
            <w:r/>
          </w:p>
        </w:tc>
        <w:tc>
          <w:tcPr>
            <w:tcBorders/>
            <w:tcW w:w="1600" w:type="dxa"/>
          </w:tcPr>
          <w:p>
            <w:pPr>
              <w:pStyle w:val="731"/>
              <w:pBdr/>
              <w:spacing/>
              <w:ind/>
              <w:rPr/>
            </w:pPr>
            <w:r>
              <w:t xml:space="preserve">REF-07, P21</w:t>
            </w:r>
            <w:r/>
          </w:p>
        </w:tc>
      </w:tr>
      <w:tr>
        <w:trPr>
          <w:cantSplit/>
        </w:trPr>
        <w:tc>
          <w:tcPr>
            <w:shd w:val="clear" w:color="auto" w:fill="fafafc"/>
            <w:tcBorders/>
            <w:tcW w:w="750" w:type="dxa"/>
          </w:tcPr>
          <w:p>
            <w:pPr>
              <w:pStyle w:val="731"/>
              <w:pBdr/>
              <w:spacing/>
              <w:ind/>
              <w:rPr/>
            </w:pPr>
            <w:r>
              <w:t xml:space="preserve">C-04</w:t>
            </w:r>
            <w:r/>
          </w:p>
        </w:tc>
        <w:tc>
          <w:tcPr>
            <w:shd w:val="clear" w:color="auto" w:fill="fafafc"/>
            <w:tcBorders/>
            <w:tcW w:w="2500" w:type="dxa"/>
          </w:tcPr>
          <w:p>
            <w:pPr>
              <w:pStyle w:val="731"/>
              <w:pBdr/>
              <w:spacing/>
              <w:ind/>
              <w:rPr/>
            </w:pPr>
            <w:r>
              <w:t xml:space="preserve">Tratamiento de datos personales, incluidos los de menores de edad.</w:t>
            </w:r>
            <w:r/>
          </w:p>
        </w:tc>
        <w:tc>
          <w:tcPr>
            <w:shd w:val="clear" w:color="auto" w:fill="fafafc"/>
            <w:tcBorders/>
            <w:tcW w:w="1500" w:type="dxa"/>
          </w:tcPr>
          <w:p>
            <w:pPr>
              <w:pStyle w:val="731"/>
              <w:pBdr/>
              <w:spacing/>
              <w:ind/>
              <w:rPr/>
            </w:pPr>
            <w:r>
              <w:t xml:space="preserve">Definido: aplica la LFPDPPP [REF-12].</w:t>
            </w:r>
            <w:r/>
          </w:p>
        </w:tc>
        <w:tc>
          <w:tcPr>
            <w:shd w:val="clear" w:color="auto" w:fill="fafafc"/>
            <w:tcBorders/>
            <w:tcW w:w="3054" w:type="dxa"/>
          </w:tcPr>
          <w:p>
            <w:pPr>
              <w:pStyle w:val="731"/>
              <w:pBdr/>
              <w:spacing/>
              <w:ind/>
              <w:rPr/>
            </w:pPr>
            <w:r>
              <w:t xml:space="preserve">Alto: obliga a cumplir los principios y deberes de la ley, como el aviso de privacidad y el consentimiento. Se detallará en la sección 3.5.</w:t>
            </w:r>
            <w:r/>
          </w:p>
        </w:tc>
        <w:tc>
          <w:tcPr>
            <w:shd w:val="clear" w:color="auto" w:fill="fafafc"/>
            <w:tcBorders/>
            <w:tcW w:w="1600" w:type="dxa"/>
          </w:tcPr>
          <w:p>
            <w:pPr>
              <w:pStyle w:val="731"/>
              <w:pBdr/>
              <w:spacing/>
              <w:ind/>
              <w:rPr/>
            </w:pPr>
            <w:r>
              <w:t xml:space="preserve">REF-07, P16; REF-12</w:t>
            </w:r>
            <w:r/>
          </w:p>
        </w:tc>
      </w:tr>
      <w:tr>
        <w:trPr>
          <w:cantSplit/>
        </w:trPr>
        <w:tc>
          <w:tcPr>
            <w:tcBorders/>
            <w:tcW w:w="750" w:type="dxa"/>
          </w:tcPr>
          <w:p>
            <w:pPr>
              <w:pStyle w:val="731"/>
              <w:pBdr/>
              <w:spacing/>
              <w:ind/>
              <w:rPr/>
            </w:pPr>
            <w:r>
              <w:t xml:space="preserve">C-05</w:t>
            </w:r>
            <w:r/>
          </w:p>
        </w:tc>
        <w:tc>
          <w:tcPr>
            <w:tcBorders/>
            <w:tcW w:w="2500" w:type="dxa"/>
          </w:tcPr>
          <w:p>
            <w:pPr>
              <w:pStyle w:val="731"/>
              <w:pBdr/>
              <w:spacing/>
              <w:ind/>
              <w:rPr/>
            </w:pPr>
            <w:r>
              <w:t xml:space="preserve">Reglamento interno de la Liga.</w:t>
            </w:r>
            <w:r/>
          </w:p>
        </w:tc>
        <w:tc>
          <w:tcPr>
            <w:tcBorders/>
            <w:tcW w:w="1500" w:type="dxa"/>
          </w:tcPr>
          <w:p>
            <w:pPr>
              <w:pStyle w:val="731"/>
              <w:pBdr/>
              <w:spacing/>
              <w:ind/>
              <w:rPr/>
            </w:pPr>
            <w:r>
              <w:rPr>
                <w:b/>
                <w:bCs/>
                <w:color w:val="9c4a00"/>
                <w:shd w:val="clear" w:color="auto" w:fill="fff2cc"/>
              </w:rPr>
              <w:t xml:space="preserve">[POR DEFINIR]</w:t>
            </w:r>
            <w:r>
              <w:t xml:space="preserve">: no localizado.</w:t>
            </w:r>
            <w:r/>
          </w:p>
        </w:tc>
        <w:tc>
          <w:tcPr>
            <w:tcBorders/>
            <w:tcW w:w="3054" w:type="dxa"/>
          </w:tcPr>
          <w:p>
            <w:pPr>
              <w:pStyle w:val="731"/>
              <w:pBdr/>
              <w:spacing/>
              <w:ind/>
              <w:rPr/>
            </w:pPr>
            <w:r>
              <w:t xml:space="preserve">Alto: no pueden verificarse las reglas disciplinarias, los desempates ni los requisitos que cita la convocatoria (arts. 70, 71, 82, 147 y 154) y la programación (art. 103-E).</w:t>
            </w:r>
            <w:r/>
          </w:p>
        </w:tc>
        <w:tc>
          <w:tcPr>
            <w:tcBorders/>
            <w:tcW w:w="1600" w:type="dxa"/>
          </w:tcPr>
          <w:p>
            <w:pPr>
              <w:pStyle w:val="731"/>
              <w:pBdr/>
              <w:spacing/>
              <w:ind/>
              <w:rPr/>
            </w:pPr>
            <w:r>
              <w:t xml:space="preserve">REF-04</w:t>
            </w:r>
            <w:r/>
          </w:p>
        </w:tc>
      </w:tr>
      <w:tr>
        <w:trPr>
          <w:cantSplit/>
        </w:trPr>
        <w:tc>
          <w:tcPr>
            <w:shd w:val="clear" w:color="auto" w:fill="fafafc"/>
            <w:tcBorders/>
            <w:tcW w:w="750" w:type="dxa"/>
          </w:tcPr>
          <w:p>
            <w:pPr>
              <w:pStyle w:val="731"/>
              <w:pBdr/>
              <w:spacing/>
              <w:ind/>
              <w:rPr/>
            </w:pPr>
            <w:r>
              <w:t xml:space="preserve">C-06</w:t>
            </w:r>
            <w:r/>
          </w:p>
        </w:tc>
        <w:tc>
          <w:tcPr>
            <w:shd w:val="clear" w:color="auto" w:fill="fafafc"/>
            <w:tcBorders/>
            <w:tcW w:w="2500" w:type="dxa"/>
          </w:tcPr>
          <w:p>
            <w:pPr>
              <w:pStyle w:val="731"/>
              <w:pBdr/>
              <w:spacing/>
              <w:ind/>
              <w:rPr/>
            </w:pPr>
            <w:r>
              <w:t xml:space="preserve">Primera versión en 10 semanas.</w:t>
            </w:r>
            <w:r/>
          </w:p>
        </w:tc>
        <w:tc>
          <w:tcPr>
            <w:shd w:val="clear" w:color="auto" w:fill="fafafc"/>
            <w:tcBorders/>
            <w:tcW w:w="1500" w:type="dxa"/>
          </w:tcPr>
          <w:p>
            <w:pPr>
              <w:pStyle w:val="731"/>
              <w:pBdr/>
              <w:spacing/>
              <w:ind/>
              <w:rPr/>
            </w:pPr>
            <w:r>
              <w:t xml:space="preserve">Definido.</w:t>
            </w:r>
            <w:r/>
          </w:p>
        </w:tc>
        <w:tc>
          <w:tcPr>
            <w:shd w:val="clear" w:color="auto" w:fill="fafafc"/>
            <w:tcBorders/>
            <w:tcW w:w="3054" w:type="dxa"/>
          </w:tcPr>
          <w:p>
            <w:pPr>
              <w:pStyle w:val="731"/>
              <w:pBdr/>
              <w:spacing/>
              <w:ind/>
              <w:rPr/>
            </w:pPr>
            <w:r>
              <w:t xml:space="preserve">El alcance de la primera versión se prioriza en 1.2.5.</w:t>
            </w:r>
            <w:r/>
          </w:p>
        </w:tc>
        <w:tc>
          <w:tcPr>
            <w:shd w:val="clear" w:color="auto" w:fill="fafafc"/>
            <w:tcBorders/>
            <w:tcW w:w="1600" w:type="dxa"/>
          </w:tcPr>
          <w:p>
            <w:pPr>
              <w:pStyle w:val="731"/>
              <w:pBdr/>
              <w:spacing/>
              <w:ind/>
              <w:rPr/>
            </w:pPr>
            <w:r>
              <w:t xml:space="preserve">REF-07, P9; REF-06, diap. 38</w:t>
            </w:r>
            <w:r/>
          </w:p>
        </w:tc>
      </w:tr>
      <w:tr>
        <w:trPr>
          <w:cantSplit/>
        </w:trPr>
        <w:tc>
          <w:tcPr>
            <w:tcBorders/>
            <w:tcW w:w="750" w:type="dxa"/>
          </w:tcPr>
          <w:p>
            <w:pPr>
              <w:pStyle w:val="731"/>
              <w:pBdr/>
              <w:spacing/>
              <w:ind/>
              <w:rPr/>
            </w:pPr>
            <w:r>
              <w:t xml:space="preserve">C-07</w:t>
            </w:r>
            <w:r/>
          </w:p>
        </w:tc>
        <w:tc>
          <w:tcPr>
            <w:tcBorders/>
            <w:tcW w:w="2500" w:type="dxa"/>
          </w:tcPr>
          <w:p>
            <w:pPr>
              <w:pStyle w:val="731"/>
              <w:pBdr/>
              <w:spacing/>
              <w:ind/>
              <w:rPr/>
            </w:pPr>
            <w:r>
              <w:t xml:space="preserve">Reglas que cambian por temporada (categorías, cuotas, ascensos y descensos).</w:t>
            </w:r>
            <w:r/>
          </w:p>
        </w:tc>
        <w:tc>
          <w:tcPr>
            <w:tcBorders/>
            <w:tcW w:w="1500" w:type="dxa"/>
          </w:tcPr>
          <w:p>
            <w:pPr>
              <w:pStyle w:val="731"/>
              <w:pBdr/>
              <w:spacing/>
              <w:ind/>
              <w:rPr/>
            </w:pPr>
            <w:r>
              <w:t xml:space="preserve">Hecho (PR-06).</w:t>
            </w:r>
            <w:r/>
          </w:p>
        </w:tc>
        <w:tc>
          <w:tcPr>
            <w:tcBorders/>
            <w:tcW w:w="3054" w:type="dxa"/>
          </w:tcPr>
          <w:p>
            <w:pPr>
              <w:pStyle w:val="731"/>
              <w:pBdr/>
              <w:spacing/>
              <w:ind/>
              <w:rPr/>
            </w:pPr>
            <w:r>
              <w:t xml:space="preserve">Las reglas deberán poder actualizarse en cada temporada sin modificar el software (propuesta del documento base).</w:t>
            </w:r>
            <w:r/>
          </w:p>
        </w:tc>
        <w:tc>
          <w:tcPr>
            <w:tcBorders/>
            <w:tcW w:w="1600" w:type="dxa"/>
          </w:tcPr>
          <w:p>
            <w:pPr>
              <w:pStyle w:val="731"/>
              <w:pBdr/>
              <w:spacing/>
              <w:ind/>
              <w:rPr/>
            </w:pPr>
            <w:r>
              <w:t xml:space="preserve">REF-06, diap. 4 y 8</w:t>
            </w:r>
            <w:r/>
          </w:p>
        </w:tc>
      </w:tr>
    </w:tbl>
    <w:p>
      <w:pPr>
        <w:pBdr/>
        <w:spacing w:after="60" w:before="0"/>
        <w:ind/>
        <w:rPr/>
      </w:pPr>
      <w:r/>
      <w:r/>
    </w:p>
    <w:p>
      <w:pPr>
        <w:pStyle w:val="725"/>
        <w:pBdr/>
        <w:spacing/>
        <w:ind/>
        <w:rPr/>
      </w:pPr>
      <w:r/>
      <w:bookmarkStart w:id="15" w:name="_Toc100015"/>
      <w:r>
        <w:t xml:space="preserve">1.2.8 Consistencia con documentos de nivel superior</w:t>
      </w:r>
      <w:bookmarkEnd w:id="15"/>
      <w:r/>
      <w:r/>
    </w:p>
    <w:p>
      <w:pPr>
        <w:pBdr/>
        <w:spacing/>
        <w:ind/>
        <w:rPr/>
      </w:pPr>
      <w:r>
        <w:t xml:space="preserve">El alcance es consistente con el documento base de visión y alcance [REF-06], con dos diferencias: in</w:t>
      </w:r>
      <w:r>
        <w:t xml:space="preserve">corpora la gestión económica (AF-10), que el documento base no incluía [REF-07, P10-b], y limita las integraciones a WhatsApp [REF-07, P10-d]. Las reglas deportivas y administrativas se toman de las convocatorias de la temporada 2026–2027 [REF-01, REF-02].</w:t>
      </w:r>
      <w:r/>
    </w:p>
    <w:p>
      <w:pPr>
        <w:pStyle w:val="724"/>
        <w:pBdr/>
        <w:spacing/>
        <w:ind/>
        <w:rPr/>
      </w:pPr>
      <w:r/>
      <w:bookmarkStart w:id="16" w:name="_Toc100016"/>
      <w:r>
        <w:t xml:space="preserve">1.3 Definiciones, acrónimos y abreviaturas</w:t>
      </w:r>
      <w:bookmarkEnd w:id="16"/>
      <w:r/>
      <w:r/>
    </w:p>
    <w:p>
      <w:pPr>
        <w:pBdr/>
        <w:spacing/>
        <w:ind/>
        <w:rPr/>
      </w:pPr>
      <w:r>
        <w:t xml:space="preserve">La Liga no cuenta con un glosario oficial [REF-07,</w:t>
      </w:r>
      <w:r>
        <w:t xml:space="preserve"> P12]. Las definiciones del dominio provienen de sus convocatorias, de la programación oficial y del levantamiento de información. Cuando la fuente es una convocatoria, la definición tiene carácter normativo. Las definiciones no confirmadas se marcan como </w:t>
      </w:r>
      <w:r>
        <w:rPr>
          <w:b/>
          <w:bCs/>
          <w:color w:val="9c4a00"/>
          <w:shd w:val="clear" w:color="auto" w:fill="fff2cc"/>
        </w:rPr>
        <w:t xml:space="preserve">[POR DEFINIR]</w:t>
      </w:r>
      <w:r>
        <w:t xml:space="preserve">.</w:t>
      </w:r>
      <w:r/>
    </w:p>
    <w:p>
      <w:pPr>
        <w:pStyle w:val="725"/>
        <w:pBdr/>
        <w:spacing/>
        <w:ind/>
        <w:rPr/>
      </w:pPr>
      <w:r/>
      <w:bookmarkStart w:id="17" w:name="_Toc100017"/>
      <w:r>
        <w:t xml:space="preserve">1.3.1 Organización de la Liga</w:t>
      </w:r>
      <w:bookmarkEnd w:id="17"/>
      <w:r/>
      <w:r/>
    </w:p>
    <w:p>
      <w:pPr>
        <w:pStyle w:val="732"/>
        <w:keepNext w:val="true"/>
        <w:pBdr/>
        <w:spacing/>
        <w:ind/>
        <w:rPr/>
      </w:pPr>
      <w:r>
        <w:rPr>
          <w:b/>
          <w:bCs/>
          <w:color w:val="241a61"/>
          <w:sz w:val="18"/>
          <w:szCs w:val="18"/>
        </w:rPr>
        <w:t xml:space="preserve">Tabla 9. </w:t>
      </w:r>
      <w:r>
        <w:rPr>
          <w:sz w:val="18"/>
          <w:szCs w:val="18"/>
        </w:rPr>
        <w:t xml:space="preserve">Términos de la organización de la Liga.</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000"/>
        <w:gridCol w:w="5404"/>
        <w:gridCol w:w="2000"/>
      </w:tblGrid>
      <w:tr>
        <w:trPr>
          <w:cantSplit/>
          <w:tblHeader/>
        </w:trPr>
        <w:tc>
          <w:tcPr>
            <w:shd w:val="clear" w:color="auto" w:fill="241a61"/>
            <w:tcBorders/>
            <w:tcW w:w="2000" w:type="dxa"/>
            <w:vAlign w:val="center"/>
          </w:tcPr>
          <w:p>
            <w:pPr>
              <w:pStyle w:val="731"/>
              <w:pBdr/>
              <w:spacing/>
              <w:ind/>
              <w:rPr/>
            </w:pPr>
            <w:r>
              <w:rPr>
                <w:b/>
                <w:bCs/>
                <w:color w:val="ffffff"/>
              </w:rPr>
              <w:t xml:space="preserve">Término</w:t>
            </w:r>
            <w:r/>
          </w:p>
        </w:tc>
        <w:tc>
          <w:tcPr>
            <w:shd w:val="clear" w:color="auto" w:fill="241a61"/>
            <w:tcBorders/>
            <w:tcW w:w="5404" w:type="dxa"/>
            <w:vAlign w:val="center"/>
          </w:tcPr>
          <w:p>
            <w:pPr>
              <w:pStyle w:val="731"/>
              <w:pBdr/>
              <w:spacing/>
              <w:ind/>
              <w:rPr/>
            </w:pPr>
            <w:r>
              <w:rPr>
                <w:b/>
                <w:bCs/>
                <w:color w:val="ffffff"/>
              </w:rPr>
              <w:t xml:space="preserve">Definición</w:t>
            </w:r>
            <w:r/>
          </w:p>
        </w:tc>
        <w:tc>
          <w:tcPr>
            <w:shd w:val="clear" w:color="auto" w:fill="241a61"/>
            <w:tcBorders/>
            <w:tcW w:w="2000" w:type="dxa"/>
            <w:vAlign w:val="center"/>
          </w:tcPr>
          <w:p>
            <w:pPr>
              <w:pStyle w:val="731"/>
              <w:pBdr/>
              <w:spacing/>
              <w:ind/>
              <w:rPr/>
            </w:pPr>
            <w:r>
              <w:rPr>
                <w:b/>
                <w:bCs/>
                <w:color w:val="ffffff"/>
              </w:rPr>
              <w:t xml:space="preserve">Fuente</w:t>
            </w:r>
            <w:r/>
          </w:p>
        </w:tc>
      </w:tr>
      <w:tr>
        <w:trPr>
          <w:cantSplit/>
        </w:trPr>
        <w:tc>
          <w:tcPr>
            <w:tcBorders/>
            <w:tcW w:w="2000" w:type="dxa"/>
          </w:tcPr>
          <w:p>
            <w:pPr>
              <w:pStyle w:val="731"/>
              <w:pBdr/>
              <w:spacing/>
              <w:ind/>
              <w:rPr/>
            </w:pPr>
            <w:r>
              <w:t xml:space="preserve">Liga</w:t>
            </w:r>
            <w:r/>
          </w:p>
        </w:tc>
        <w:tc>
          <w:tcPr>
            <w:tcBorders/>
            <w:tcW w:w="5404" w:type="dxa"/>
          </w:tcPr>
          <w:p>
            <w:pPr>
              <w:pStyle w:val="731"/>
              <w:pBdr/>
              <w:spacing/>
              <w:ind/>
              <w:rPr/>
            </w:pPr>
            <w:r>
              <w:t xml:space="preserve">Liga Municipal de Fútbol Amateur de Morelia, Asociación Civil, también conocida como Liga Municipal de Futbol Amateur Morelia A.C. Es el cliente del Sistema.</w:t>
            </w:r>
            <w:r/>
          </w:p>
        </w:tc>
        <w:tc>
          <w:tcPr>
            <w:tcBorders/>
            <w:tcW w:w="2000" w:type="dxa"/>
          </w:tcPr>
          <w:p>
            <w:pPr>
              <w:pStyle w:val="731"/>
              <w:pBdr/>
              <w:spacing/>
              <w:ind/>
              <w:rPr/>
            </w:pPr>
            <w:r>
              <w:t xml:space="preserve">REF-07, P8; REF-01</w:t>
            </w:r>
            <w:r/>
          </w:p>
        </w:tc>
      </w:tr>
      <w:tr>
        <w:trPr>
          <w:cantSplit/>
        </w:trPr>
        <w:tc>
          <w:tcPr>
            <w:shd w:val="clear" w:color="auto" w:fill="fafafc"/>
            <w:tcBorders/>
            <w:tcW w:w="2000" w:type="dxa"/>
          </w:tcPr>
          <w:p>
            <w:pPr>
              <w:pStyle w:val="731"/>
              <w:pBdr/>
              <w:spacing/>
              <w:ind/>
              <w:rPr/>
            </w:pPr>
            <w:r>
              <w:t xml:space="preserve">Consejo Directivo</w:t>
            </w:r>
            <w:r/>
          </w:p>
        </w:tc>
        <w:tc>
          <w:tcPr>
            <w:shd w:val="clear" w:color="auto" w:fill="fafafc"/>
            <w:tcBorders/>
            <w:tcW w:w="5404" w:type="dxa"/>
          </w:tcPr>
          <w:p>
            <w:pPr>
              <w:pStyle w:val="731"/>
              <w:pBdr/>
              <w:spacing/>
              <w:ind/>
              <w:rPr/>
            </w:pPr>
            <w:r>
              <w:t xml:space="preserve">Órgano por cuyo conducto la Liga emite las convocatorias de cada temporada. En 2026–2027 las firman el Presidente, el Secretario y el Tesorero.</w:t>
            </w:r>
            <w:r/>
          </w:p>
        </w:tc>
        <w:tc>
          <w:tcPr>
            <w:shd w:val="clear" w:color="auto" w:fill="fafafc"/>
            <w:tcBorders/>
            <w:tcW w:w="2000" w:type="dxa"/>
          </w:tcPr>
          <w:p>
            <w:pPr>
              <w:pStyle w:val="731"/>
              <w:pBdr/>
              <w:spacing/>
              <w:ind/>
              <w:rPr/>
            </w:pPr>
            <w:r>
              <w:t xml:space="preserve">REF-01; REF-02</w:t>
            </w:r>
            <w:r/>
          </w:p>
        </w:tc>
      </w:tr>
      <w:tr>
        <w:trPr>
          <w:cantSplit/>
        </w:trPr>
        <w:tc>
          <w:tcPr>
            <w:tcBorders/>
            <w:tcW w:w="2000" w:type="dxa"/>
          </w:tcPr>
          <w:p>
            <w:pPr>
              <w:pStyle w:val="731"/>
              <w:pBdr/>
              <w:spacing/>
              <w:ind/>
              <w:rPr/>
            </w:pPr>
            <w:r>
              <w:t xml:space="preserve">Comité Ejecutivo</w:t>
            </w:r>
            <w:r/>
          </w:p>
        </w:tc>
        <w:tc>
          <w:tcPr>
            <w:tcBorders/>
            <w:tcW w:w="5404" w:type="dxa"/>
          </w:tcPr>
          <w:p>
            <w:pPr>
              <w:pStyle w:val="731"/>
              <w:pBdr/>
              <w:spacing/>
              <w:ind/>
              <w:rPr/>
            </w:pPr>
            <w:r>
              <w:t xml:space="preserve">Órgano que resuelve los casos no previstos en la Convocatoria de la rama libre y de veteranos. La Convocatoria de la Rama Infantil asigna esa función al «Comité Directivo». Relación entre ambos y con el Consejo Directivo: </w:t>
            </w:r>
            <w:r>
              <w:rPr>
                <w:b/>
                <w:bCs/>
                <w:color w:val="9c4a00"/>
                <w:shd w:val="clear" w:color="auto" w:fill="fff2cc"/>
              </w:rPr>
              <w:t xml:space="preserve">[POR DEFINIR]</w:t>
            </w:r>
            <w:r>
              <w:t xml:space="preserve">.</w:t>
            </w:r>
            <w:r/>
          </w:p>
        </w:tc>
        <w:tc>
          <w:tcPr>
            <w:tcBorders/>
            <w:tcW w:w="2000" w:type="dxa"/>
          </w:tcPr>
          <w:p>
            <w:pPr>
              <w:pStyle w:val="731"/>
              <w:pBdr/>
              <w:spacing/>
              <w:ind/>
              <w:rPr/>
            </w:pPr>
            <w:r>
              <w:t xml:space="preserve">REF-01; REF-02</w:t>
            </w:r>
            <w:r/>
          </w:p>
        </w:tc>
      </w:tr>
      <w:tr>
        <w:trPr>
          <w:cantSplit/>
        </w:trPr>
        <w:tc>
          <w:tcPr>
            <w:shd w:val="clear" w:color="auto" w:fill="fafafc"/>
            <w:tcBorders/>
            <w:tcW w:w="2000" w:type="dxa"/>
          </w:tcPr>
          <w:p>
            <w:pPr>
              <w:pStyle w:val="731"/>
              <w:pBdr/>
              <w:spacing/>
              <w:ind/>
              <w:rPr/>
            </w:pPr>
            <w:r>
              <w:t xml:space="preserve">Directiva (mesa directiva)</w:t>
            </w:r>
            <w:r/>
          </w:p>
        </w:tc>
        <w:tc>
          <w:tcPr>
            <w:shd w:val="clear" w:color="auto" w:fill="fafafc"/>
            <w:tcBorders/>
            <w:tcW w:w="5404" w:type="dxa"/>
          </w:tcPr>
          <w:p>
            <w:pPr>
              <w:pStyle w:val="731"/>
              <w:pBdr/>
              <w:spacing/>
              <w:ind/>
              <w:rPr/>
            </w:pPr>
            <w:r>
              <w:t xml:space="preserve">Término del levantamiento para referirse a la dirigencia de la Liga: define el formato del campeonato, reprograma partidos y entrega la programación a los medios. Correspondencia con los órganos anteriores: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REF-07, P13, P18, P21</w:t>
            </w:r>
            <w:r/>
          </w:p>
        </w:tc>
      </w:tr>
      <w:tr>
        <w:trPr>
          <w:cantSplit/>
        </w:trPr>
        <w:tc>
          <w:tcPr>
            <w:tcBorders/>
            <w:tcW w:w="2000" w:type="dxa"/>
          </w:tcPr>
          <w:p>
            <w:pPr>
              <w:pStyle w:val="731"/>
              <w:pBdr/>
              <w:spacing/>
              <w:ind/>
              <w:rPr/>
            </w:pPr>
            <w:r>
              <w:t xml:space="preserve">Secretaría de la Liga</w:t>
            </w:r>
            <w:r/>
          </w:p>
        </w:tc>
        <w:tc>
          <w:tcPr>
            <w:tcBorders/>
            <w:tcW w:w="5404" w:type="dxa"/>
          </w:tcPr>
          <w:p>
            <w:pPr>
              <w:pStyle w:val="731"/>
              <w:pBdr/>
              <w:spacing/>
              <w:ind/>
              <w:rPr/>
            </w:pPr>
            <w:r>
              <w:t xml:space="preserve">Área que programa los horarios de juego.</w:t>
            </w:r>
            <w:r/>
          </w:p>
        </w:tc>
        <w:tc>
          <w:tcPr>
            <w:tcBorders/>
            <w:tcW w:w="2000" w:type="dxa"/>
          </w:tcPr>
          <w:p>
            <w:pPr>
              <w:pStyle w:val="731"/>
              <w:pBdr/>
              <w:spacing/>
              <w:ind/>
              <w:rPr/>
            </w:pPr>
            <w:r>
              <w:t xml:space="preserve">REF-01, I-d</w:t>
            </w:r>
            <w:r/>
          </w:p>
        </w:tc>
      </w:tr>
      <w:tr>
        <w:trPr>
          <w:cantSplit/>
        </w:trPr>
        <w:tc>
          <w:tcPr>
            <w:shd w:val="clear" w:color="auto" w:fill="fafafc"/>
            <w:tcBorders/>
            <w:tcW w:w="2000" w:type="dxa"/>
          </w:tcPr>
          <w:p>
            <w:pPr>
              <w:pStyle w:val="731"/>
              <w:pBdr/>
              <w:spacing/>
              <w:ind/>
              <w:rPr/>
            </w:pPr>
            <w:r>
              <w:t xml:space="preserve">Tesorería de la Liga</w:t>
            </w:r>
            <w:r/>
          </w:p>
        </w:tc>
        <w:tc>
          <w:tcPr>
            <w:shd w:val="clear" w:color="auto" w:fill="fafafc"/>
            <w:tcBorders/>
            <w:tcW w:w="5404" w:type="dxa"/>
          </w:tcPr>
          <w:p>
            <w:pPr>
              <w:pStyle w:val="731"/>
              <w:pBdr/>
              <w:spacing/>
              <w:ind/>
              <w:rPr/>
            </w:pPr>
            <w:r>
              <w:t xml:space="preserve">Área que recibe las aportaciones de los clubes.</w:t>
            </w:r>
            <w:r/>
          </w:p>
        </w:tc>
        <w:tc>
          <w:tcPr>
            <w:shd w:val="clear" w:color="auto" w:fill="fafafc"/>
            <w:tcBorders/>
            <w:tcW w:w="2000" w:type="dxa"/>
          </w:tcPr>
          <w:p>
            <w:pPr>
              <w:pStyle w:val="731"/>
              <w:pBdr/>
              <w:spacing/>
              <w:ind/>
              <w:rPr/>
            </w:pPr>
            <w:r>
              <w:t xml:space="preserve">REF-01, IX-d</w:t>
            </w:r>
            <w:r/>
          </w:p>
        </w:tc>
      </w:tr>
      <w:tr>
        <w:trPr>
          <w:cantSplit/>
        </w:trPr>
        <w:tc>
          <w:tcPr>
            <w:tcBorders/>
            <w:tcW w:w="2000" w:type="dxa"/>
          </w:tcPr>
          <w:p>
            <w:pPr>
              <w:pStyle w:val="731"/>
              <w:pBdr/>
              <w:spacing/>
              <w:ind/>
              <w:rPr/>
            </w:pPr>
            <w:r>
              <w:t xml:space="preserve">Comisión de la Rama Infantil</w:t>
            </w:r>
            <w:r/>
          </w:p>
        </w:tc>
        <w:tc>
          <w:tcPr>
            <w:tcBorders/>
            <w:tcW w:w="5404" w:type="dxa"/>
          </w:tcPr>
          <w:p>
            <w:pPr>
              <w:pStyle w:val="731"/>
              <w:pBdr/>
              <w:spacing/>
              <w:ind/>
              <w:rPr/>
            </w:pPr>
            <w:r>
              <w:t xml:space="preserve">Comisión que convoca, junto con el Consejo Directivo, a la rama infantil y determina su sistema de competencia.</w:t>
            </w:r>
            <w:r/>
          </w:p>
        </w:tc>
        <w:tc>
          <w:tcPr>
            <w:tcBorders/>
            <w:tcW w:w="2000" w:type="dxa"/>
          </w:tcPr>
          <w:p>
            <w:pPr>
              <w:pStyle w:val="731"/>
              <w:pBdr/>
              <w:spacing/>
              <w:ind/>
              <w:rPr/>
            </w:pPr>
            <w:r>
              <w:t xml:space="preserve">REF-02, III-b</w:t>
            </w:r>
            <w:r/>
          </w:p>
        </w:tc>
      </w:tr>
      <w:tr>
        <w:trPr>
          <w:cantSplit/>
        </w:trPr>
        <w:tc>
          <w:tcPr>
            <w:shd w:val="clear" w:color="auto" w:fill="fafafc"/>
            <w:tcBorders/>
            <w:tcW w:w="2000" w:type="dxa"/>
          </w:tcPr>
          <w:p>
            <w:pPr>
              <w:pStyle w:val="731"/>
              <w:pBdr/>
              <w:spacing/>
              <w:ind/>
              <w:rPr/>
            </w:pPr>
            <w:r>
              <w:t xml:space="preserve">Tribunal de Penas</w:t>
            </w:r>
            <w:r/>
          </w:p>
        </w:tc>
        <w:tc>
          <w:tcPr>
            <w:shd w:val="clear" w:color="auto" w:fill="fafafc"/>
            <w:tcBorders/>
            <w:tcW w:w="5404" w:type="dxa"/>
          </w:tcPr>
          <w:p>
            <w:pPr>
              <w:pStyle w:val="731"/>
              <w:pBdr/>
              <w:spacing/>
              <w:ind/>
              <w:rPr/>
            </w:pPr>
            <w:r>
              <w:t xml:space="preserve">Órgano disciplinario de la Liga: </w:t>
            </w:r>
            <w:r>
              <w:t xml:space="preserve">lee las cédulas, dictamina los partidos de suspensión con base en el reglamento interno y emite el boletín semanal de castigados. Las fuentes también lo llaman «Comisión de Penas», «tribunal disciplinario» y «Comisión Disciplinaria»; denominación oficial: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REF-07, P18–P19; REF-06, diap. 6</w:t>
            </w:r>
            <w:r/>
          </w:p>
        </w:tc>
      </w:tr>
      <w:tr>
        <w:trPr>
          <w:cantSplit/>
        </w:trPr>
        <w:tc>
          <w:tcPr>
            <w:tcBorders/>
            <w:tcW w:w="2000" w:type="dxa"/>
          </w:tcPr>
          <w:p>
            <w:pPr>
              <w:pStyle w:val="731"/>
              <w:pBdr/>
              <w:spacing/>
              <w:ind/>
              <w:rPr/>
            </w:pPr>
            <w:r>
              <w:t xml:space="preserve">Asamblea de presidentes de clubes</w:t>
            </w:r>
            <w:r/>
          </w:p>
        </w:tc>
        <w:tc>
          <w:tcPr>
            <w:tcBorders/>
            <w:tcW w:w="5404" w:type="dxa"/>
          </w:tcPr>
          <w:p>
            <w:pPr>
              <w:pStyle w:val="731"/>
              <w:pBdr/>
              <w:spacing/>
              <w:ind/>
              <w:rPr/>
            </w:pPr>
            <w:r>
              <w:t xml:space="preserve">Reunión de los presidentes de los clubes. Por acuerdo de esta asamblea se fijaron, por ejemplo, las reglas de cambios de la temporada 2026–2027.</w:t>
            </w:r>
            <w:r/>
          </w:p>
        </w:tc>
        <w:tc>
          <w:tcPr>
            <w:tcBorders/>
            <w:tcW w:w="2000" w:type="dxa"/>
          </w:tcPr>
          <w:p>
            <w:pPr>
              <w:pStyle w:val="731"/>
              <w:pBdr/>
              <w:spacing/>
              <w:ind/>
              <w:rPr/>
            </w:pPr>
            <w:r>
              <w:t xml:space="preserve">REF-01, X; REF-07, P13</w:t>
            </w:r>
            <w:r/>
          </w:p>
        </w:tc>
      </w:tr>
      <w:tr>
        <w:trPr>
          <w:cantSplit/>
        </w:trPr>
        <w:tc>
          <w:tcPr>
            <w:shd w:val="clear" w:color="auto" w:fill="fafafc"/>
            <w:tcBorders/>
            <w:tcW w:w="2000" w:type="dxa"/>
          </w:tcPr>
          <w:p>
            <w:pPr>
              <w:pStyle w:val="731"/>
              <w:pBdr/>
              <w:spacing/>
              <w:ind/>
              <w:rPr/>
            </w:pPr>
            <w:r>
              <w:t xml:space="preserve">Reunión semanal de delegados</w:t>
            </w:r>
            <w:r/>
          </w:p>
        </w:tc>
        <w:tc>
          <w:tcPr>
            <w:shd w:val="clear" w:color="auto" w:fill="fafafc"/>
            <w:tcBorders/>
            <w:tcW w:w="5404" w:type="dxa"/>
          </w:tcPr>
          <w:p>
            <w:pPr>
              <w:pStyle w:val="731"/>
              <w:pBdr/>
              <w:spacing/>
              <w:ind/>
              <w:rPr/>
            </w:pPr>
            <w:r>
              <w:t xml:space="preserve">Reunión en las oficinas de la Liga a la que los delegados deben asistir; en ella reciben los horarios oficiales de la jornada.</w:t>
            </w:r>
            <w:r/>
          </w:p>
        </w:tc>
        <w:tc>
          <w:tcPr>
            <w:shd w:val="clear" w:color="auto" w:fill="fafafc"/>
            <w:tcBorders/>
            <w:tcW w:w="2000" w:type="dxa"/>
          </w:tcPr>
          <w:p>
            <w:pPr>
              <w:pStyle w:val="731"/>
              <w:pBdr/>
              <w:spacing/>
              <w:ind/>
              <w:rPr/>
            </w:pPr>
            <w:r>
              <w:t xml:space="preserve">REF-01, I-f; REF-07, P13</w:t>
            </w:r>
            <w:r/>
          </w:p>
        </w:tc>
      </w:tr>
      <w:tr>
        <w:trPr>
          <w:cantSplit/>
        </w:trPr>
        <w:tc>
          <w:tcPr>
            <w:tcBorders/>
            <w:tcW w:w="2000" w:type="dxa"/>
          </w:tcPr>
          <w:p>
            <w:pPr>
              <w:pStyle w:val="731"/>
              <w:pBdr/>
              <w:spacing/>
              <w:ind/>
              <w:rPr/>
            </w:pPr>
            <w:r>
              <w:t xml:space="preserve">Club</w:t>
            </w:r>
            <w:r/>
          </w:p>
        </w:tc>
        <w:tc>
          <w:tcPr>
            <w:tcBorders/>
            <w:tcW w:w="5404" w:type="dxa"/>
          </w:tcPr>
          <w:p>
            <w:pPr>
              <w:pStyle w:val="731"/>
              <w:pBdr/>
              <w:spacing/>
              <w:ind/>
              <w:rPr/>
            </w:pPr>
            <w:r>
              <w:t xml:space="preserve">Entidad deportiva afiliada a la Liga que puede inscribir equipos en varias categorías al mismo tiempo. En la rama infantil, un club puede inscribir dos o más equipos en una misma categoría con nombres diferentes.</w:t>
            </w:r>
            <w:r/>
          </w:p>
        </w:tc>
        <w:tc>
          <w:tcPr>
            <w:tcBorders/>
            <w:tcW w:w="2000" w:type="dxa"/>
          </w:tcPr>
          <w:p>
            <w:pPr>
              <w:pStyle w:val="731"/>
              <w:pBdr/>
              <w:spacing/>
              <w:ind/>
              <w:rPr/>
            </w:pPr>
            <w:r>
              <w:t xml:space="preserve">REF-07, P13; REF-02, I-f</w:t>
            </w:r>
            <w:r/>
          </w:p>
        </w:tc>
      </w:tr>
      <w:tr>
        <w:trPr>
          <w:cantSplit/>
        </w:trPr>
        <w:tc>
          <w:tcPr>
            <w:shd w:val="clear" w:color="auto" w:fill="fafafc"/>
            <w:tcBorders/>
            <w:tcW w:w="2000" w:type="dxa"/>
          </w:tcPr>
          <w:p>
            <w:pPr>
              <w:pStyle w:val="731"/>
              <w:pBdr/>
              <w:spacing/>
              <w:ind/>
              <w:rPr/>
            </w:pPr>
            <w:r>
              <w:t xml:space="preserve">Club foráneo</w:t>
            </w:r>
            <w:r/>
          </w:p>
        </w:tc>
        <w:tc>
          <w:tcPr>
            <w:shd w:val="clear" w:color="auto" w:fill="fafafc"/>
            <w:tcBorders/>
            <w:tcW w:w="5404" w:type="dxa"/>
          </w:tcPr>
          <w:p>
            <w:pPr>
              <w:pStyle w:val="731"/>
              <w:pBdr/>
              <w:spacing/>
              <w:ind/>
              <w:rPr/>
            </w:pPr>
            <w:r>
              <w:t xml:space="preserve">Club con sede fuera de Morelia. Juega en su localidad hasta terminar el torneo de liga; las liguillas y los desempates se juegan en la U.D.C.</w:t>
            </w:r>
            <w:r/>
          </w:p>
        </w:tc>
        <w:tc>
          <w:tcPr>
            <w:shd w:val="clear" w:color="auto" w:fill="fafafc"/>
            <w:tcBorders/>
            <w:tcW w:w="2000" w:type="dxa"/>
          </w:tcPr>
          <w:p>
            <w:pPr>
              <w:pStyle w:val="731"/>
              <w:pBdr/>
              <w:spacing/>
              <w:ind/>
              <w:rPr/>
            </w:pPr>
            <w:r>
              <w:t xml:space="preserve">REF-01, X-e</w:t>
            </w:r>
            <w:r/>
          </w:p>
        </w:tc>
      </w:tr>
      <w:tr>
        <w:trPr>
          <w:cantSplit/>
        </w:trPr>
        <w:tc>
          <w:tcPr>
            <w:tcBorders/>
            <w:tcW w:w="2000" w:type="dxa"/>
          </w:tcPr>
          <w:p>
            <w:pPr>
              <w:pStyle w:val="731"/>
              <w:pBdr/>
              <w:spacing/>
              <w:ind/>
              <w:rPr/>
            </w:pPr>
            <w:r>
              <w:t xml:space="preserve">Presidente del club</w:t>
            </w:r>
            <w:r/>
          </w:p>
        </w:tc>
        <w:tc>
          <w:tcPr>
            <w:tcBorders/>
            <w:tcW w:w="5404" w:type="dxa"/>
          </w:tcPr>
          <w:p>
            <w:pPr>
              <w:pStyle w:val="731"/>
              <w:pBdr/>
              <w:spacing/>
              <w:ind/>
              <w:rPr/>
            </w:pPr>
            <w:r>
              <w:t xml:space="preserve">Propietario, fundador o máxima autoridad legal e institucional del club. Administra su presupuesto y asiste a las asambleas generales y a las votaciones de directiva.</w:t>
            </w:r>
            <w:r/>
          </w:p>
        </w:tc>
        <w:tc>
          <w:tcPr>
            <w:tcBorders/>
            <w:tcW w:w="2000" w:type="dxa"/>
          </w:tcPr>
          <w:p>
            <w:pPr>
              <w:pStyle w:val="731"/>
              <w:pBdr/>
              <w:spacing/>
              <w:ind/>
              <w:rPr/>
            </w:pPr>
            <w:r>
              <w:t xml:space="preserve">REF-07, P13</w:t>
            </w:r>
            <w:r/>
          </w:p>
        </w:tc>
      </w:tr>
      <w:tr>
        <w:trPr>
          <w:cantSplit/>
        </w:trPr>
        <w:tc>
          <w:tcPr>
            <w:shd w:val="clear" w:color="auto" w:fill="fafafc"/>
            <w:tcBorders/>
            <w:tcW w:w="2000" w:type="dxa"/>
          </w:tcPr>
          <w:p>
            <w:pPr>
              <w:pStyle w:val="731"/>
              <w:pBdr/>
              <w:spacing/>
              <w:ind/>
              <w:rPr/>
            </w:pPr>
            <w:r>
              <w:t xml:space="preserve">Delegado del club (titular o suplente)</w:t>
            </w:r>
            <w:r/>
          </w:p>
        </w:tc>
        <w:tc>
          <w:tcPr>
            <w:shd w:val="clear" w:color="auto" w:fill="fafafc"/>
            <w:tcBorders/>
            <w:tcW w:w="5404" w:type="dxa"/>
          </w:tcPr>
          <w:p>
            <w:pPr>
              <w:pStyle w:val="731"/>
              <w:pBdr/>
              <w:spacing/>
              <w:ind/>
              <w:rPr/>
            </w:pPr>
            <w:r>
              <w:t xml:space="preserve">Vínculo operativo y administrativo diario entre el club y la Liga: asiste a las reuniones sema</w:t>
            </w:r>
            <w:r>
              <w:t xml:space="preserve">nales, recolecta las cooperaciones de los jugadores, paga los arbitrajes, recoge las credenciales selladas, revisa los reportes arbitrales, recibe los horarios oficiales de la jornada y notifica las sanciones. En la rama infantil debe ser mayor de 18 años.</w:t>
            </w:r>
            <w:r/>
          </w:p>
        </w:tc>
        <w:tc>
          <w:tcPr>
            <w:shd w:val="clear" w:color="auto" w:fill="fafafc"/>
            <w:tcBorders/>
            <w:tcW w:w="2000" w:type="dxa"/>
          </w:tcPr>
          <w:p>
            <w:pPr>
              <w:pStyle w:val="731"/>
              <w:pBdr/>
              <w:spacing/>
              <w:ind/>
              <w:rPr/>
            </w:pPr>
            <w:r>
              <w:t xml:space="preserve">REF-07, P13; REF-02, I-d; REF-01, I-f</w:t>
            </w:r>
            <w:r/>
          </w:p>
        </w:tc>
      </w:tr>
      <w:tr>
        <w:trPr>
          <w:cantSplit/>
        </w:trPr>
        <w:tc>
          <w:tcPr>
            <w:tcBorders/>
            <w:tcW w:w="2000" w:type="dxa"/>
          </w:tcPr>
          <w:p>
            <w:pPr>
              <w:pStyle w:val="731"/>
              <w:pBdr/>
              <w:spacing/>
              <w:ind/>
              <w:rPr/>
            </w:pPr>
            <w:r>
              <w:t xml:space="preserve">Franquicia</w:t>
            </w:r>
            <w:r/>
          </w:p>
        </w:tc>
        <w:tc>
          <w:tcPr>
            <w:tcBorders/>
            <w:tcW w:w="5404" w:type="dxa"/>
          </w:tcPr>
          <w:p>
            <w:pPr>
              <w:pStyle w:val="731"/>
              <w:pBdr/>
              <w:spacing/>
              <w:ind/>
              <w:rPr/>
            </w:pPr>
            <w:r>
              <w:t xml:space="preserve">Derecho de un club a participar en una categoría. La convocatoria restringe su cesión, su adquisición y la fusión de clubes.</w:t>
            </w:r>
            <w:r/>
          </w:p>
        </w:tc>
        <w:tc>
          <w:tcPr>
            <w:tcBorders/>
            <w:tcW w:w="2000" w:type="dxa"/>
          </w:tcPr>
          <w:p>
            <w:pPr>
              <w:pStyle w:val="731"/>
              <w:pBdr/>
              <w:spacing/>
              <w:ind/>
              <w:rPr/>
            </w:pPr>
            <w:r>
              <w:t xml:space="preserve">REF-01, I-d, I-e y II-n</w:t>
            </w:r>
            <w:r/>
          </w:p>
        </w:tc>
      </w:tr>
      <w:tr>
        <w:trPr>
          <w:cantSplit/>
        </w:trPr>
        <w:tc>
          <w:tcPr>
            <w:shd w:val="clear" w:color="auto" w:fill="fafafc"/>
            <w:tcBorders/>
            <w:tcW w:w="2000" w:type="dxa"/>
          </w:tcPr>
          <w:p>
            <w:pPr>
              <w:pStyle w:val="731"/>
              <w:pBdr/>
              <w:spacing/>
              <w:ind/>
              <w:rPr/>
            </w:pPr>
            <w:r>
              <w:t xml:space="preserve">Fuerza</w:t>
            </w:r>
            <w:r/>
          </w:p>
        </w:tc>
        <w:tc>
          <w:tcPr>
            <w:shd w:val="clear" w:color="auto" w:fill="fafafc"/>
            <w:tcBorders/>
            <w:tcW w:w="5404" w:type="dxa"/>
          </w:tcPr>
          <w:p>
            <w:pPr>
              <w:pStyle w:val="731"/>
              <w:pBdr/>
              <w:spacing/>
              <w:ind/>
              <w:rPr/>
            </w:pPr>
            <w:r>
              <w:t xml:space="preserve">Término de la convocatoria equivalente a una categoría inscrita por un club (por ejemplo, «cuarta fuerza» o «clubes que tengan más de 5 fuerzas»).</w:t>
            </w:r>
            <w:r/>
          </w:p>
        </w:tc>
        <w:tc>
          <w:tcPr>
            <w:shd w:val="clear" w:color="auto" w:fill="fafafc"/>
            <w:tcBorders/>
            <w:tcW w:w="2000" w:type="dxa"/>
          </w:tcPr>
          <w:p>
            <w:pPr>
              <w:pStyle w:val="731"/>
              <w:pBdr/>
              <w:spacing/>
              <w:ind/>
              <w:rPr/>
            </w:pPr>
            <w:r>
              <w:t xml:space="preserve">REF-01</w:t>
            </w:r>
            <w:r/>
          </w:p>
        </w:tc>
      </w:tr>
    </w:tbl>
    <w:p>
      <w:pPr>
        <w:pBdr/>
        <w:spacing w:after="60" w:before="0"/>
        <w:ind/>
        <w:rPr/>
      </w:pPr>
      <w:r/>
      <w:r/>
    </w:p>
    <w:p>
      <w:pPr>
        <w:pStyle w:val="725"/>
        <w:pBdr/>
        <w:spacing/>
        <w:ind/>
        <w:rPr/>
      </w:pPr>
      <w:r/>
      <w:bookmarkStart w:id="18" w:name="_Toc100018"/>
      <w:r>
        <w:t xml:space="preserve">1.3.2 Competencia</w:t>
      </w:r>
      <w:bookmarkEnd w:id="18"/>
      <w:r/>
      <w:r/>
    </w:p>
    <w:p>
      <w:pPr>
        <w:pStyle w:val="732"/>
        <w:keepNext w:val="true"/>
        <w:pBdr/>
        <w:spacing/>
        <w:ind/>
        <w:rPr/>
      </w:pPr>
      <w:r>
        <w:rPr>
          <w:b/>
          <w:bCs/>
          <w:color w:val="241a61"/>
          <w:sz w:val="18"/>
          <w:szCs w:val="18"/>
        </w:rPr>
        <w:t xml:space="preserve">Tabla 10. </w:t>
      </w:r>
      <w:r>
        <w:rPr>
          <w:sz w:val="18"/>
          <w:szCs w:val="18"/>
        </w:rPr>
        <w:t xml:space="preserve">Términos de la competencia.</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000"/>
        <w:gridCol w:w="5404"/>
        <w:gridCol w:w="2000"/>
      </w:tblGrid>
      <w:tr>
        <w:trPr>
          <w:cantSplit/>
          <w:tblHeader/>
        </w:trPr>
        <w:tc>
          <w:tcPr>
            <w:shd w:val="clear" w:color="auto" w:fill="241a61"/>
            <w:tcBorders/>
            <w:tcW w:w="2000" w:type="dxa"/>
            <w:vAlign w:val="center"/>
          </w:tcPr>
          <w:p>
            <w:pPr>
              <w:pStyle w:val="731"/>
              <w:pBdr/>
              <w:spacing/>
              <w:ind/>
              <w:rPr/>
            </w:pPr>
            <w:r>
              <w:rPr>
                <w:b/>
                <w:bCs/>
                <w:color w:val="ffffff"/>
              </w:rPr>
              <w:t xml:space="preserve">Término</w:t>
            </w:r>
            <w:r/>
          </w:p>
        </w:tc>
        <w:tc>
          <w:tcPr>
            <w:shd w:val="clear" w:color="auto" w:fill="241a61"/>
            <w:tcBorders/>
            <w:tcW w:w="5404" w:type="dxa"/>
            <w:vAlign w:val="center"/>
          </w:tcPr>
          <w:p>
            <w:pPr>
              <w:pStyle w:val="731"/>
              <w:pBdr/>
              <w:spacing/>
              <w:ind/>
              <w:rPr/>
            </w:pPr>
            <w:r>
              <w:rPr>
                <w:b/>
                <w:bCs/>
                <w:color w:val="ffffff"/>
              </w:rPr>
              <w:t xml:space="preserve">Definición</w:t>
            </w:r>
            <w:r/>
          </w:p>
        </w:tc>
        <w:tc>
          <w:tcPr>
            <w:shd w:val="clear" w:color="auto" w:fill="241a61"/>
            <w:tcBorders/>
            <w:tcW w:w="2000" w:type="dxa"/>
            <w:vAlign w:val="center"/>
          </w:tcPr>
          <w:p>
            <w:pPr>
              <w:pStyle w:val="731"/>
              <w:pBdr/>
              <w:spacing/>
              <w:ind/>
              <w:rPr/>
            </w:pPr>
            <w:r>
              <w:rPr>
                <w:b/>
                <w:bCs/>
                <w:color w:val="ffffff"/>
              </w:rPr>
              <w:t xml:space="preserve">Fuente</w:t>
            </w:r>
            <w:r/>
          </w:p>
        </w:tc>
      </w:tr>
      <w:tr>
        <w:trPr>
          <w:cantSplit/>
        </w:trPr>
        <w:tc>
          <w:tcPr>
            <w:tcBorders/>
            <w:tcW w:w="2000" w:type="dxa"/>
          </w:tcPr>
          <w:p>
            <w:pPr>
              <w:pStyle w:val="731"/>
              <w:pBdr/>
              <w:spacing/>
              <w:ind/>
              <w:rPr/>
            </w:pPr>
            <w:r>
              <w:t xml:space="preserve">Temporada</w:t>
            </w:r>
            <w:r/>
          </w:p>
        </w:tc>
        <w:tc>
          <w:tcPr>
            <w:tcBorders/>
            <w:tcW w:w="5404" w:type="dxa"/>
          </w:tcPr>
          <w:p>
            <w:pPr>
              <w:pStyle w:val="731"/>
              <w:pBdr/>
              <w:spacing/>
              <w:ind/>
              <w:rPr/>
            </w:pPr>
            <w:r>
              <w:t xml:space="preserve">Ciclo anual de competencia (por ejemplo, 2025–2026 o 2026–2027). La temporada oficial 2026–2027 inicia con el desfile inaugural del 8 de noviembre de 2026.</w:t>
            </w:r>
            <w:r/>
          </w:p>
        </w:tc>
        <w:tc>
          <w:tcPr>
            <w:tcBorders/>
            <w:tcW w:w="2000" w:type="dxa"/>
          </w:tcPr>
          <w:p>
            <w:pPr>
              <w:pStyle w:val="731"/>
              <w:pBdr/>
              <w:spacing/>
              <w:ind/>
              <w:rPr/>
            </w:pPr>
            <w:r>
              <w:t xml:space="preserve">REF-01, III; REF-07, P13</w:t>
            </w:r>
            <w:r/>
          </w:p>
        </w:tc>
      </w:tr>
      <w:tr>
        <w:trPr>
          <w:cantSplit/>
        </w:trPr>
        <w:tc>
          <w:tcPr>
            <w:shd w:val="clear" w:color="auto" w:fill="fafafc"/>
            <w:tcBorders/>
            <w:tcW w:w="2000" w:type="dxa"/>
          </w:tcPr>
          <w:p>
            <w:pPr>
              <w:pStyle w:val="731"/>
              <w:pBdr/>
              <w:spacing/>
              <w:ind/>
              <w:rPr/>
            </w:pPr>
            <w:r>
              <w:t xml:space="preserve">Temporada oficial</w:t>
            </w:r>
            <w:r/>
          </w:p>
        </w:tc>
        <w:tc>
          <w:tcPr>
            <w:shd w:val="clear" w:color="auto" w:fill="fafafc"/>
            <w:tcBorders/>
            <w:tcW w:w="5404" w:type="dxa"/>
          </w:tcPr>
          <w:p>
            <w:pPr>
              <w:pStyle w:val="731"/>
              <w:pBdr/>
              <w:spacing/>
              <w:ind/>
              <w:rPr/>
            </w:pPr>
            <w:r>
              <w:t xml:space="preserve">Conjunto de torneos obligatorios para todos los clubes: torneo de liga, liguilla, campeón de campeones y goleo.</w:t>
            </w:r>
            <w:r/>
          </w:p>
        </w:tc>
        <w:tc>
          <w:tcPr>
            <w:shd w:val="clear" w:color="auto" w:fill="fafafc"/>
            <w:tcBorders/>
            <w:tcW w:w="2000" w:type="dxa"/>
          </w:tcPr>
          <w:p>
            <w:pPr>
              <w:pStyle w:val="731"/>
              <w:pBdr/>
              <w:spacing/>
              <w:ind/>
              <w:rPr/>
            </w:pPr>
            <w:r>
              <w:t xml:space="preserve">REF-01, IV</w:t>
            </w:r>
            <w:r/>
          </w:p>
        </w:tc>
      </w:tr>
      <w:tr>
        <w:trPr>
          <w:cantSplit/>
        </w:trPr>
        <w:tc>
          <w:tcPr>
            <w:tcBorders/>
            <w:tcW w:w="2000" w:type="dxa"/>
          </w:tcPr>
          <w:p>
            <w:pPr>
              <w:pStyle w:val="731"/>
              <w:pBdr/>
              <w:spacing/>
              <w:ind/>
              <w:rPr/>
            </w:pPr>
            <w:r>
              <w:t xml:space="preserve">Convocatoria</w:t>
            </w:r>
            <w:r/>
          </w:p>
        </w:tc>
        <w:tc>
          <w:tcPr>
            <w:tcBorders/>
            <w:tcW w:w="5404" w:type="dxa"/>
          </w:tcPr>
          <w:p>
            <w:pPr>
              <w:pStyle w:val="731"/>
              <w:pBdr/>
              <w:spacing/>
              <w:ind/>
              <w:rPr/>
            </w:pPr>
            <w:r>
              <w:t xml:space="preserve">Documento normativo que la Liga emite para cada temporada y rama. Fija fechas de inscripción, categorías, requisitos, aportaciones, ascensos, descensos y premiación.</w:t>
            </w:r>
            <w:r/>
          </w:p>
        </w:tc>
        <w:tc>
          <w:tcPr>
            <w:tcBorders/>
            <w:tcW w:w="2000" w:type="dxa"/>
          </w:tcPr>
          <w:p>
            <w:pPr>
              <w:pStyle w:val="731"/>
              <w:pBdr/>
              <w:spacing/>
              <w:ind/>
              <w:rPr/>
            </w:pPr>
            <w:r>
              <w:t xml:space="preserve">REF-01; REF-02</w:t>
            </w:r>
            <w:r/>
          </w:p>
        </w:tc>
      </w:tr>
      <w:tr>
        <w:trPr>
          <w:cantSplit/>
        </w:trPr>
        <w:tc>
          <w:tcPr>
            <w:shd w:val="clear" w:color="auto" w:fill="fafafc"/>
            <w:tcBorders/>
            <w:tcW w:w="2000" w:type="dxa"/>
          </w:tcPr>
          <w:p>
            <w:pPr>
              <w:pStyle w:val="731"/>
              <w:pBdr/>
              <w:spacing/>
              <w:ind/>
              <w:rPr/>
            </w:pPr>
            <w:r>
              <w:t xml:space="preserve">Reglamento interno</w:t>
            </w:r>
            <w:r/>
          </w:p>
        </w:tc>
        <w:tc>
          <w:tcPr>
            <w:shd w:val="clear" w:color="auto" w:fill="fafafc"/>
            <w:tcBorders/>
            <w:tcW w:w="5404" w:type="dxa"/>
          </w:tcPr>
          <w:p>
            <w:pPr>
              <w:pStyle w:val="731"/>
              <w:pBdr/>
              <w:spacing/>
              <w:ind/>
              <w:rPr/>
            </w:pPr>
            <w:r>
              <w:t xml:space="preserve">Reglamento de la Liga que cita la convocatoria (por ejemplo, arts. 70, 71, 82, 147 y 154). Documento no disponible: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REF-01; REF-04</w:t>
            </w:r>
            <w:r/>
          </w:p>
        </w:tc>
      </w:tr>
      <w:tr>
        <w:trPr>
          <w:cantSplit/>
        </w:trPr>
        <w:tc>
          <w:tcPr>
            <w:tcBorders/>
            <w:tcW w:w="2000" w:type="dxa"/>
          </w:tcPr>
          <w:p>
            <w:pPr>
              <w:pStyle w:val="731"/>
              <w:pBdr/>
              <w:spacing/>
              <w:ind/>
              <w:rPr/>
            </w:pPr>
            <w:r>
              <w:t xml:space="preserve">Torneo de Liga</w:t>
            </w:r>
            <w:r/>
          </w:p>
        </w:tc>
        <w:tc>
          <w:tcPr>
            <w:tcBorders/>
            <w:tcW w:w="5404" w:type="dxa"/>
          </w:tcPr>
          <w:p>
            <w:pPr>
              <w:pStyle w:val="731"/>
              <w:pBdr/>
              <w:spacing/>
              <w:ind/>
              <w:rPr/>
            </w:pPr>
            <w:r>
              <w:t xml:space="preserve">Compe</w:t>
            </w:r>
            <w:r>
              <w:t xml:space="preserve">tencia larga de la temporada en la que los equipos se enfrentan todos contra todos y acumulan puntos jornada a jornada. Según la categoría y lo que disponga la directiva en cada ciclo, el campeonato se define por la tabla general o mediante una fase final.</w:t>
            </w:r>
            <w:r/>
          </w:p>
        </w:tc>
        <w:tc>
          <w:tcPr>
            <w:tcBorders/>
            <w:tcW w:w="2000" w:type="dxa"/>
          </w:tcPr>
          <w:p>
            <w:pPr>
              <w:pStyle w:val="731"/>
              <w:pBdr/>
              <w:spacing/>
              <w:ind/>
              <w:rPr/>
            </w:pPr>
            <w:r>
              <w:t xml:space="preserve">REF-07, P13</w:t>
            </w:r>
            <w:r/>
          </w:p>
        </w:tc>
      </w:tr>
      <w:tr>
        <w:trPr>
          <w:cantSplit/>
        </w:trPr>
        <w:tc>
          <w:tcPr>
            <w:shd w:val="clear" w:color="auto" w:fill="fafafc"/>
            <w:tcBorders/>
            <w:tcW w:w="2000" w:type="dxa"/>
          </w:tcPr>
          <w:p>
            <w:pPr>
              <w:pStyle w:val="731"/>
              <w:pBdr/>
              <w:spacing/>
              <w:ind/>
              <w:rPr/>
            </w:pPr>
            <w:r>
              <w:t xml:space="preserve">Campeón de liga</w:t>
            </w:r>
            <w:r/>
          </w:p>
        </w:tc>
        <w:tc>
          <w:tcPr>
            <w:shd w:val="clear" w:color="auto" w:fill="fafafc"/>
            <w:tcBorders/>
            <w:tcW w:w="5404" w:type="dxa"/>
          </w:tcPr>
          <w:p>
            <w:pPr>
              <w:pStyle w:val="731"/>
              <w:pBdr/>
              <w:spacing/>
              <w:ind/>
              <w:rPr/>
            </w:pPr>
            <w:r>
              <w:t xml:space="preserve">Primer lugar de cada grupo en el torneo de liga. Juega contra el campeón de liguilla por el título de Campeón de Campeones.</w:t>
            </w:r>
            <w:r/>
          </w:p>
        </w:tc>
        <w:tc>
          <w:tcPr>
            <w:shd w:val="clear" w:color="auto" w:fill="fafafc"/>
            <w:tcBorders/>
            <w:tcW w:w="2000" w:type="dxa"/>
          </w:tcPr>
          <w:p>
            <w:pPr>
              <w:pStyle w:val="731"/>
              <w:pBdr/>
              <w:spacing/>
              <w:ind/>
              <w:rPr/>
            </w:pPr>
            <w:r>
              <w:t xml:space="preserve">REF-01, VII</w:t>
            </w:r>
            <w:r/>
          </w:p>
        </w:tc>
      </w:tr>
      <w:tr>
        <w:trPr>
          <w:cantSplit/>
        </w:trPr>
        <w:tc>
          <w:tcPr>
            <w:tcBorders/>
            <w:tcW w:w="2000" w:type="dxa"/>
          </w:tcPr>
          <w:p>
            <w:pPr>
              <w:pStyle w:val="731"/>
              <w:pBdr/>
              <w:spacing/>
              <w:ind/>
              <w:rPr/>
            </w:pPr>
            <w:r>
              <w:t xml:space="preserve">Liguilla</w:t>
            </w:r>
            <w:r/>
          </w:p>
        </w:tc>
        <w:tc>
          <w:tcPr>
            <w:tcBorders/>
            <w:tcW w:w="5404" w:type="dxa"/>
          </w:tcPr>
          <w:p>
            <w:pPr>
              <w:pStyle w:val="731"/>
              <w:pBdr/>
              <w:spacing/>
              <w:ind/>
              <w:rPr/>
            </w:pPr>
            <w:r>
              <w:t xml:space="preserve">Fase final que define al campeón y al subcampeón. En las ramas libre y de veteranos califican los 8 primeros lugares de cada grupo, que se enfrentan 1.° vs. 8.°, 2.° vs. 7.°, 3.° vs. 6.° y 4.° vs. 5.°, hasta la final. Formato de las rondas intermedias: </w:t>
            </w:r>
            <w:r>
              <w:rPr>
                <w:b/>
                <w:bCs/>
                <w:color w:val="9c4a00"/>
                <w:shd w:val="clear" w:color="auto" w:fill="fff2cc"/>
              </w:rPr>
              <w:t xml:space="preserve">[POR DEFINIR]</w:t>
            </w:r>
            <w:r>
              <w:t xml:space="preserve">. En la rama infantil, el sistema lo determina la Comisión de la Rama Infantil.</w:t>
            </w:r>
            <w:r/>
          </w:p>
        </w:tc>
        <w:tc>
          <w:tcPr>
            <w:tcBorders/>
            <w:tcW w:w="2000" w:type="dxa"/>
          </w:tcPr>
          <w:p>
            <w:pPr>
              <w:pStyle w:val="731"/>
              <w:pBdr/>
              <w:spacing/>
              <w:ind/>
              <w:rPr/>
            </w:pPr>
            <w:r>
              <w:t xml:space="preserve">REF-01, VII; REF-02, III</w:t>
            </w:r>
            <w:r/>
          </w:p>
        </w:tc>
      </w:tr>
      <w:tr>
        <w:trPr>
          <w:cantSplit/>
        </w:trPr>
        <w:tc>
          <w:tcPr>
            <w:shd w:val="clear" w:color="auto" w:fill="fafafc"/>
            <w:tcBorders/>
            <w:tcW w:w="2000" w:type="dxa"/>
          </w:tcPr>
          <w:p>
            <w:pPr>
              <w:pStyle w:val="731"/>
              <w:pBdr/>
              <w:spacing/>
              <w:ind/>
              <w:rPr/>
            </w:pPr>
            <w:r>
              <w:t xml:space="preserve">Campeón de Campeones</w:t>
            </w:r>
            <w:r/>
          </w:p>
        </w:tc>
        <w:tc>
          <w:tcPr>
            <w:shd w:val="clear" w:color="auto" w:fill="fafafc"/>
            <w:tcBorders/>
            <w:tcW w:w="5404" w:type="dxa"/>
          </w:tcPr>
          <w:p>
            <w:pPr>
              <w:pStyle w:val="731"/>
              <w:pBdr/>
              <w:spacing/>
              <w:ind/>
              <w:rPr/>
            </w:pPr>
            <w:r>
              <w:t xml:space="preserve">Encuentro definitivo entre los campeones de los certámenes de la temporada. En las ramas libre y de veteranos, lo juegan el campeón de liga y el campeón de liguilla.</w:t>
            </w:r>
            <w:r/>
          </w:p>
        </w:tc>
        <w:tc>
          <w:tcPr>
            <w:shd w:val="clear" w:color="auto" w:fill="fafafc"/>
            <w:tcBorders/>
            <w:tcW w:w="2000" w:type="dxa"/>
          </w:tcPr>
          <w:p>
            <w:pPr>
              <w:pStyle w:val="731"/>
              <w:pBdr/>
              <w:spacing/>
              <w:ind/>
              <w:rPr/>
            </w:pPr>
            <w:r>
              <w:t xml:space="preserve">REF-07, P13; REF-01, VII</w:t>
            </w:r>
            <w:r/>
          </w:p>
        </w:tc>
      </w:tr>
      <w:tr>
        <w:trPr>
          <w:cantSplit/>
        </w:trPr>
        <w:tc>
          <w:tcPr>
            <w:tcBorders/>
            <w:tcW w:w="2000" w:type="dxa"/>
          </w:tcPr>
          <w:p>
            <w:pPr>
              <w:pStyle w:val="731"/>
              <w:pBdr/>
              <w:spacing/>
              <w:ind/>
              <w:rPr/>
            </w:pPr>
            <w:r>
              <w:t xml:space="preserve">Torneo de Copa</w:t>
            </w:r>
            <w:r/>
          </w:p>
        </w:tc>
        <w:tc>
          <w:tcPr>
            <w:tcBorders/>
            <w:tcW w:w="5404" w:type="dxa"/>
          </w:tcPr>
          <w:p>
            <w:pPr>
              <w:pStyle w:val="731"/>
              <w:pBdr/>
              <w:spacing/>
              <w:ind/>
              <w:rPr/>
            </w:pPr>
            <w:r>
              <w:t xml:space="preserve">Certamen complementario que se juega de manera simultánea a la temporada regular. Una nota de prensa lo describe como opcional en 2025–2026.</w:t>
            </w:r>
            <w:r/>
          </w:p>
        </w:tc>
        <w:tc>
          <w:tcPr>
            <w:tcBorders/>
            <w:tcW w:w="2000" w:type="dxa"/>
          </w:tcPr>
          <w:p>
            <w:pPr>
              <w:pStyle w:val="731"/>
              <w:pBdr/>
              <w:spacing/>
              <w:ind/>
              <w:rPr/>
            </w:pPr>
            <w:r>
              <w:t xml:space="preserve">REF-07, P13; REF-14</w:t>
            </w:r>
            <w:r/>
          </w:p>
        </w:tc>
      </w:tr>
      <w:tr>
        <w:trPr>
          <w:cantSplit/>
        </w:trPr>
        <w:tc>
          <w:tcPr>
            <w:shd w:val="clear" w:color="auto" w:fill="fafafc"/>
            <w:tcBorders/>
            <w:tcW w:w="2000" w:type="dxa"/>
          </w:tcPr>
          <w:p>
            <w:pPr>
              <w:pStyle w:val="731"/>
              <w:pBdr/>
              <w:spacing/>
              <w:ind/>
              <w:rPr/>
            </w:pPr>
            <w:r>
              <w:t xml:space="preserve">Torneo de goleo (campeón de goleo)</w:t>
            </w:r>
            <w:r/>
          </w:p>
        </w:tc>
        <w:tc>
          <w:tcPr>
            <w:shd w:val="clear" w:color="auto" w:fill="fafafc"/>
            <w:tcBorders/>
            <w:tcW w:w="5404" w:type="dxa"/>
          </w:tcPr>
          <w:p>
            <w:pPr>
              <w:pStyle w:val="731"/>
              <w:pBdr/>
              <w:spacing/>
              <w:ind/>
              <w:rPr/>
            </w:pPr>
            <w:r>
              <w:t xml:space="preserve">Reconocimiento al máximo goleador de cada categoría en el torneo de liga.</w:t>
            </w:r>
            <w:r/>
          </w:p>
        </w:tc>
        <w:tc>
          <w:tcPr>
            <w:shd w:val="clear" w:color="auto" w:fill="fafafc"/>
            <w:tcBorders/>
            <w:tcW w:w="2000" w:type="dxa"/>
          </w:tcPr>
          <w:p>
            <w:pPr>
              <w:pStyle w:val="731"/>
              <w:pBdr/>
              <w:spacing/>
              <w:ind/>
              <w:rPr/>
            </w:pPr>
            <w:r>
              <w:t xml:space="preserve">REF-01, VIII-b; REF-02, IV-b</w:t>
            </w:r>
            <w:r/>
          </w:p>
        </w:tc>
      </w:tr>
      <w:tr>
        <w:trPr>
          <w:cantSplit/>
        </w:trPr>
        <w:tc>
          <w:tcPr>
            <w:tcBorders/>
            <w:tcW w:w="2000" w:type="dxa"/>
          </w:tcPr>
          <w:p>
            <w:pPr>
              <w:pStyle w:val="731"/>
              <w:pBdr/>
              <w:spacing/>
              <w:ind/>
              <w:rPr/>
            </w:pPr>
            <w:r>
              <w:t xml:space="preserve">Campeón alterno</w:t>
            </w:r>
            <w:r/>
          </w:p>
        </w:tc>
        <w:tc>
          <w:tcPr>
            <w:tcBorders/>
            <w:tcW w:w="5404" w:type="dxa"/>
          </w:tcPr>
          <w:p>
            <w:pPr>
              <w:pStyle w:val="731"/>
              <w:pBdr/>
              <w:spacing/>
              <w:ind/>
              <w:rPr/>
            </w:pPr>
            <w:r>
              <w:t xml:space="preserve">Premiación de campeón y subcampeón «alterno» en la rama infantil. Definición: </w:t>
            </w:r>
            <w:r>
              <w:rPr>
                <w:b/>
                <w:bCs/>
                <w:color w:val="9c4a00"/>
                <w:shd w:val="clear" w:color="auto" w:fill="fff2cc"/>
              </w:rPr>
              <w:t xml:space="preserve">[POR DEFINIR]</w:t>
            </w:r>
            <w:r>
              <w:t xml:space="preserve">.</w:t>
            </w:r>
            <w:r/>
          </w:p>
        </w:tc>
        <w:tc>
          <w:tcPr>
            <w:tcBorders/>
            <w:tcW w:w="2000" w:type="dxa"/>
          </w:tcPr>
          <w:p>
            <w:pPr>
              <w:pStyle w:val="731"/>
              <w:pBdr/>
              <w:spacing/>
              <w:ind/>
              <w:rPr/>
            </w:pPr>
            <w:r>
              <w:t xml:space="preserve">REF-02, IV-c</w:t>
            </w:r>
            <w:r/>
          </w:p>
        </w:tc>
      </w:tr>
      <w:tr>
        <w:trPr>
          <w:cantSplit/>
        </w:trPr>
        <w:tc>
          <w:tcPr>
            <w:shd w:val="clear" w:color="auto" w:fill="fafafc"/>
            <w:tcBorders/>
            <w:tcW w:w="2000" w:type="dxa"/>
          </w:tcPr>
          <w:p>
            <w:pPr>
              <w:pStyle w:val="731"/>
              <w:pBdr/>
              <w:spacing/>
              <w:ind/>
              <w:rPr/>
            </w:pPr>
            <w:r>
              <w:t xml:space="preserve">Torneos especiales</w:t>
            </w:r>
            <w:r/>
          </w:p>
        </w:tc>
        <w:tc>
          <w:tcPr>
            <w:shd w:val="clear" w:color="auto" w:fill="fafafc"/>
            <w:tcBorders/>
            <w:tcW w:w="5404" w:type="dxa"/>
          </w:tcPr>
          <w:p>
            <w:pPr>
              <w:pStyle w:val="731"/>
              <w:pBdr/>
              <w:spacing/>
              <w:ind/>
              <w:rPr/>
            </w:pPr>
            <w:r>
              <w:t xml:space="preserve">Convocatorias espec</w:t>
            </w:r>
            <w:r>
              <w:t xml:space="preserve">iales en recesos o durante el año, como los torneos de verano (por ejemplo, el «5.º Torneo de Verano 2026» de la rama infantil) o el Torneo de Interdependencias, que se juega entre semana con trabajadores de dependencias de gobierno, sindicatos y empresas.</w:t>
            </w:r>
            <w:r/>
          </w:p>
        </w:tc>
        <w:tc>
          <w:tcPr>
            <w:shd w:val="clear" w:color="auto" w:fill="fafafc"/>
            <w:tcBorders/>
            <w:tcW w:w="2000" w:type="dxa"/>
          </w:tcPr>
          <w:p>
            <w:pPr>
              <w:pStyle w:val="731"/>
              <w:pBdr/>
              <w:spacing/>
              <w:ind/>
              <w:rPr/>
            </w:pPr>
            <w:r>
              <w:t xml:space="preserve">REF-07, P13 y P21; REF-03</w:t>
            </w:r>
            <w:r/>
          </w:p>
        </w:tc>
      </w:tr>
      <w:tr>
        <w:trPr>
          <w:cantSplit/>
        </w:trPr>
        <w:tc>
          <w:tcPr>
            <w:tcBorders/>
            <w:tcW w:w="2000" w:type="dxa"/>
          </w:tcPr>
          <w:p>
            <w:pPr>
              <w:pStyle w:val="731"/>
              <w:pBdr/>
              <w:spacing/>
              <w:ind/>
              <w:rPr/>
            </w:pPr>
            <w:r>
              <w:t xml:space="preserve">Rama</w:t>
            </w:r>
            <w:r/>
          </w:p>
        </w:tc>
        <w:tc>
          <w:tcPr>
            <w:tcBorders/>
            <w:tcW w:w="5404" w:type="dxa"/>
          </w:tcPr>
          <w:p>
            <w:pPr>
              <w:pStyle w:val="731"/>
              <w:pBdr/>
              <w:spacing/>
              <w:ind/>
              <w:rPr/>
            </w:pPr>
            <w:r>
              <w:t xml:space="preserve">Agrupación de categorías: libre (mayores de 18 años), veteranos, femenil e infantil.</w:t>
            </w:r>
            <w:r/>
          </w:p>
        </w:tc>
        <w:tc>
          <w:tcPr>
            <w:tcBorders/>
            <w:tcW w:w="2000" w:type="dxa"/>
          </w:tcPr>
          <w:p>
            <w:pPr>
              <w:pStyle w:val="731"/>
              <w:pBdr/>
              <w:spacing/>
              <w:ind/>
              <w:rPr/>
            </w:pPr>
            <w:r>
              <w:t xml:space="preserve">REF-07, P13; REF-01; REF-02</w:t>
            </w:r>
            <w:r/>
          </w:p>
        </w:tc>
      </w:tr>
      <w:tr>
        <w:trPr>
          <w:cantSplit/>
        </w:trPr>
        <w:tc>
          <w:tcPr>
            <w:shd w:val="clear" w:color="auto" w:fill="fafafc"/>
            <w:tcBorders/>
            <w:tcW w:w="2000" w:type="dxa"/>
          </w:tcPr>
          <w:p>
            <w:pPr>
              <w:pStyle w:val="731"/>
              <w:pBdr/>
              <w:spacing/>
              <w:ind/>
              <w:rPr/>
            </w:pPr>
            <w:r>
              <w:t xml:space="preserve">Categoría</w:t>
            </w:r>
            <w:r/>
          </w:p>
        </w:tc>
        <w:tc>
          <w:tcPr>
            <w:shd w:val="clear" w:color="auto" w:fill="fafafc"/>
            <w:tcBorders/>
            <w:tcW w:w="5404" w:type="dxa"/>
          </w:tcPr>
          <w:p>
            <w:pPr>
              <w:pStyle w:val="731"/>
              <w:pBdr/>
              <w:spacing/>
              <w:ind/>
              <w:rPr/>
            </w:pPr>
            <w:r>
              <w:t xml:space="preserve">División de competencia definida por nivel deportivo (fuerza) o por año de nacimiento de los jugadores. Ver 1.3.3.</w:t>
            </w:r>
            <w:r/>
          </w:p>
        </w:tc>
        <w:tc>
          <w:tcPr>
            <w:shd w:val="clear" w:color="auto" w:fill="fafafc"/>
            <w:tcBorders/>
            <w:tcW w:w="2000" w:type="dxa"/>
          </w:tcPr>
          <w:p>
            <w:pPr>
              <w:pStyle w:val="731"/>
              <w:pBdr/>
              <w:spacing/>
              <w:ind/>
              <w:rPr/>
            </w:pPr>
            <w:r>
              <w:t xml:space="preserve">REF-01; REF-02</w:t>
            </w:r>
            <w:r/>
          </w:p>
        </w:tc>
      </w:tr>
      <w:tr>
        <w:trPr>
          <w:cantSplit/>
        </w:trPr>
        <w:tc>
          <w:tcPr>
            <w:tcBorders/>
            <w:tcW w:w="2000" w:type="dxa"/>
          </w:tcPr>
          <w:p>
            <w:pPr>
              <w:pStyle w:val="731"/>
              <w:pBdr/>
              <w:spacing/>
              <w:ind/>
              <w:rPr/>
            </w:pPr>
            <w:r>
              <w:t xml:space="preserve">Grupo</w:t>
            </w:r>
            <w:r/>
          </w:p>
        </w:tc>
        <w:tc>
          <w:tcPr>
            <w:tcBorders/>
            <w:tcW w:w="5404" w:type="dxa"/>
          </w:tcPr>
          <w:p>
            <w:pPr>
              <w:pStyle w:val="731"/>
              <w:pBdr/>
              <w:spacing/>
              <w:ind/>
              <w:rPr/>
            </w:pPr>
            <w:r>
              <w:t xml:space="preserve">Subdivisión de una categoría. La clasificación a liguilla, los ascensos y los descensos se determinan por grupo.</w:t>
            </w:r>
            <w:r/>
          </w:p>
        </w:tc>
        <w:tc>
          <w:tcPr>
            <w:tcBorders/>
            <w:tcW w:w="2000" w:type="dxa"/>
          </w:tcPr>
          <w:p>
            <w:pPr>
              <w:pStyle w:val="731"/>
              <w:pBdr/>
              <w:spacing/>
              <w:ind/>
              <w:rPr/>
            </w:pPr>
            <w:r>
              <w:t xml:space="preserve">REF-01, V–VII</w:t>
            </w:r>
            <w:r/>
          </w:p>
        </w:tc>
      </w:tr>
      <w:tr>
        <w:trPr>
          <w:cantSplit/>
        </w:trPr>
        <w:tc>
          <w:tcPr>
            <w:shd w:val="clear" w:color="auto" w:fill="fafafc"/>
            <w:tcBorders/>
            <w:tcW w:w="2000" w:type="dxa"/>
          </w:tcPr>
          <w:p>
            <w:pPr>
              <w:pStyle w:val="731"/>
              <w:pBdr/>
              <w:spacing/>
              <w:ind/>
              <w:rPr/>
            </w:pPr>
            <w:r>
              <w:t xml:space="preserve">Ascenso</w:t>
            </w:r>
            <w:r/>
          </w:p>
        </w:tc>
        <w:tc>
          <w:tcPr>
            <w:shd w:val="clear" w:color="auto" w:fill="fafafc"/>
            <w:tcBorders/>
            <w:tcW w:w="5404" w:type="dxa"/>
          </w:tcPr>
          <w:p>
            <w:pPr>
              <w:pStyle w:val="731"/>
              <w:pBdr/>
              <w:spacing/>
              <w:ind/>
              <w:rPr/>
            </w:pPr>
            <w:r>
              <w:t xml:space="preserve">Paso de un equipo a la categoría superior. Ascienden el campeón y el subcampeón de liguilla de cada grupo; en Juvenil, solo el primer lugar.</w:t>
            </w:r>
            <w:r/>
          </w:p>
        </w:tc>
        <w:tc>
          <w:tcPr>
            <w:shd w:val="clear" w:color="auto" w:fill="fafafc"/>
            <w:tcBorders/>
            <w:tcW w:w="2000" w:type="dxa"/>
          </w:tcPr>
          <w:p>
            <w:pPr>
              <w:pStyle w:val="731"/>
              <w:pBdr/>
              <w:spacing/>
              <w:ind/>
              <w:rPr/>
            </w:pPr>
            <w:r>
              <w:t xml:space="preserve">REF-01, V</w:t>
            </w:r>
            <w:r/>
          </w:p>
        </w:tc>
      </w:tr>
      <w:tr>
        <w:trPr>
          <w:cantSplit/>
        </w:trPr>
        <w:tc>
          <w:tcPr>
            <w:tcBorders/>
            <w:tcW w:w="2000" w:type="dxa"/>
          </w:tcPr>
          <w:p>
            <w:pPr>
              <w:pStyle w:val="731"/>
              <w:pBdr/>
              <w:spacing/>
              <w:ind/>
              <w:rPr/>
            </w:pPr>
            <w:r>
              <w:t xml:space="preserve">Descenso</w:t>
            </w:r>
            <w:r/>
          </w:p>
        </w:tc>
        <w:tc>
          <w:tcPr>
            <w:tcBorders/>
            <w:tcW w:w="5404" w:type="dxa"/>
          </w:tcPr>
          <w:p>
            <w:pPr>
              <w:pStyle w:val="731"/>
              <w:pBdr/>
              <w:spacing/>
              <w:ind/>
              <w:rPr/>
            </w:pPr>
            <w:r>
              <w:t xml:space="preserve">Paso de un equipo a la categoría inferior: los 4 últimos lugares de Primera Especial y los 2 últimos de cada grupo en las demás categorías. En Cuarta Sábado, los 5 últimos lugares de cada grupo desaparecen.</w:t>
            </w:r>
            <w:r/>
          </w:p>
        </w:tc>
        <w:tc>
          <w:tcPr>
            <w:tcBorders/>
            <w:tcW w:w="2000" w:type="dxa"/>
          </w:tcPr>
          <w:p>
            <w:pPr>
              <w:pStyle w:val="731"/>
              <w:pBdr/>
              <w:spacing/>
              <w:ind/>
              <w:rPr/>
            </w:pPr>
            <w:r>
              <w:t xml:space="preserve">REF-01, VI</w:t>
            </w:r>
            <w:r/>
          </w:p>
        </w:tc>
      </w:tr>
      <w:tr>
        <w:trPr>
          <w:cantSplit/>
        </w:trPr>
        <w:tc>
          <w:tcPr>
            <w:shd w:val="clear" w:color="auto" w:fill="fafafc"/>
            <w:tcBorders/>
            <w:tcW w:w="2000" w:type="dxa"/>
          </w:tcPr>
          <w:p>
            <w:pPr>
              <w:pStyle w:val="731"/>
              <w:pBdr/>
              <w:spacing/>
              <w:ind/>
              <w:rPr/>
            </w:pPr>
            <w:r>
              <w:t xml:space="preserve">Jornada</w:t>
            </w:r>
            <w:r/>
          </w:p>
        </w:tc>
        <w:tc>
          <w:tcPr>
            <w:shd w:val="clear" w:color="auto" w:fill="fafafc"/>
            <w:tcBorders/>
            <w:tcW w:w="5404" w:type="dxa"/>
          </w:tcPr>
          <w:p>
            <w:pPr>
              <w:pStyle w:val="731"/>
              <w:pBdr/>
              <w:spacing/>
              <w:ind/>
              <w:rPr/>
            </w:pPr>
            <w:r>
              <w:t xml:space="preserve">Número de la ronda o semana del torneo; es un concepto de calendario deportivo.</w:t>
            </w:r>
            <w:r/>
          </w:p>
        </w:tc>
        <w:tc>
          <w:tcPr>
            <w:shd w:val="clear" w:color="auto" w:fill="fafafc"/>
            <w:tcBorders/>
            <w:tcW w:w="2000" w:type="dxa"/>
          </w:tcPr>
          <w:p>
            <w:pPr>
              <w:pStyle w:val="731"/>
              <w:pBdr/>
              <w:spacing/>
              <w:ind/>
              <w:rPr/>
            </w:pPr>
            <w:r>
              <w:t xml:space="preserve">REF-07, P13; REF-03</w:t>
            </w:r>
            <w:r/>
          </w:p>
        </w:tc>
      </w:tr>
      <w:tr>
        <w:trPr>
          <w:cantSplit/>
        </w:trPr>
        <w:tc>
          <w:tcPr>
            <w:tcBorders/>
            <w:tcW w:w="2000" w:type="dxa"/>
          </w:tcPr>
          <w:p>
            <w:pPr>
              <w:pStyle w:val="731"/>
              <w:pBdr/>
              <w:spacing/>
              <w:ind/>
              <w:rPr/>
            </w:pPr>
            <w:r>
              <w:t xml:space="preserve">Fecha</w:t>
            </w:r>
            <w:r/>
          </w:p>
        </w:tc>
        <w:tc>
          <w:tcPr>
            <w:tcBorders/>
            <w:tcW w:w="5404" w:type="dxa"/>
          </w:tcPr>
          <w:p>
            <w:pPr>
              <w:pStyle w:val="731"/>
              <w:pBdr/>
              <w:spacing/>
              <w:ind/>
              <w:rPr/>
            </w:pPr>
            <w:r>
              <w:t xml:space="preserve">Día exacto (día, mes y año) en que se disputa un partido. Algunas publicaciones usan «Fecha N» como número de ronda (por ejemplo, «Programación Oficial Fecha 32»); este ERS usa «jornada» para la ronda y «fecha» para el día.</w:t>
            </w:r>
            <w:r/>
          </w:p>
        </w:tc>
        <w:tc>
          <w:tcPr>
            <w:tcBorders/>
            <w:tcW w:w="2000" w:type="dxa"/>
          </w:tcPr>
          <w:p>
            <w:pPr>
              <w:pStyle w:val="731"/>
              <w:pBdr/>
              <w:spacing/>
              <w:ind/>
              <w:rPr/>
            </w:pPr>
            <w:r>
              <w:t xml:space="preserve">REF-07, P13; REF-06, diap. 3</w:t>
            </w:r>
            <w:r/>
          </w:p>
        </w:tc>
      </w:tr>
      <w:tr>
        <w:trPr>
          <w:cantSplit/>
        </w:trPr>
        <w:tc>
          <w:tcPr>
            <w:shd w:val="clear" w:color="auto" w:fill="fafafc"/>
            <w:tcBorders/>
            <w:tcW w:w="2000" w:type="dxa"/>
          </w:tcPr>
          <w:p>
            <w:pPr>
              <w:pStyle w:val="731"/>
              <w:pBdr/>
              <w:spacing/>
              <w:ind/>
              <w:rPr/>
            </w:pPr>
            <w:r>
              <w:t xml:space="preserve">Programación oficial (rol de juego)</w:t>
            </w:r>
            <w:r/>
          </w:p>
        </w:tc>
        <w:tc>
          <w:tcPr>
            <w:shd w:val="clear" w:color="auto" w:fill="fafafc"/>
            <w:tcBorders/>
            <w:tcW w:w="5404" w:type="dxa"/>
          </w:tcPr>
          <w:p>
            <w:pPr>
              <w:pStyle w:val="731"/>
              <w:pBdr/>
              <w:spacing/>
              <w:ind/>
              <w:rPr/>
            </w:pPr>
            <w:r>
              <w:t xml:space="preserve">Publicación de la Liga que asigna, por día, categoría y jornada, los partidos con su número, equipos, cancha, horario y árbitro. Incluye descansos, resultados por default y la duración de los tiempos de juego.</w:t>
            </w:r>
            <w:r/>
          </w:p>
        </w:tc>
        <w:tc>
          <w:tcPr>
            <w:shd w:val="clear" w:color="auto" w:fill="fafafc"/>
            <w:tcBorders/>
            <w:tcW w:w="2000" w:type="dxa"/>
          </w:tcPr>
          <w:p>
            <w:pPr>
              <w:pStyle w:val="731"/>
              <w:pBdr/>
              <w:spacing/>
              <w:ind/>
              <w:rPr/>
            </w:pPr>
            <w:r>
              <w:t xml:space="preserve">REF-03; REF-07, P18</w:t>
            </w:r>
            <w:r/>
          </w:p>
        </w:tc>
      </w:tr>
      <w:tr>
        <w:trPr>
          <w:cantSplit/>
        </w:trPr>
        <w:tc>
          <w:tcPr>
            <w:tcBorders/>
            <w:tcW w:w="2000" w:type="dxa"/>
          </w:tcPr>
          <w:p>
            <w:pPr>
              <w:pStyle w:val="731"/>
              <w:pBdr/>
              <w:spacing/>
              <w:ind/>
              <w:rPr/>
            </w:pPr>
            <w:r>
              <w:t xml:space="preserve">Sábana de programación</w:t>
            </w:r>
            <w:r/>
          </w:p>
        </w:tc>
        <w:tc>
          <w:tcPr>
            <w:tcBorders/>
            <w:tcW w:w="5404" w:type="dxa"/>
          </w:tcPr>
          <w:p>
            <w:pPr>
              <w:pStyle w:val="731"/>
              <w:pBdr/>
              <w:spacing/>
              <w:ind/>
              <w:rPr/>
            </w:pPr>
            <w:r>
              <w:t xml:space="preserve">Programación oficial en formato imagen o PDF que la directiva entrega a los portales locales para su difusión.</w:t>
            </w:r>
            <w:r/>
          </w:p>
        </w:tc>
        <w:tc>
          <w:tcPr>
            <w:tcBorders/>
            <w:tcW w:w="2000" w:type="dxa"/>
          </w:tcPr>
          <w:p>
            <w:pPr>
              <w:pStyle w:val="731"/>
              <w:pBdr/>
              <w:spacing/>
              <w:ind/>
              <w:rPr/>
            </w:pPr>
            <w:r>
              <w:t xml:space="preserve">REF-07, P18</w:t>
            </w:r>
            <w:r/>
          </w:p>
        </w:tc>
      </w:tr>
      <w:tr>
        <w:trPr>
          <w:cantSplit/>
        </w:trPr>
        <w:tc>
          <w:tcPr>
            <w:shd w:val="clear" w:color="auto" w:fill="fafafc"/>
            <w:tcBorders/>
            <w:tcW w:w="2000" w:type="dxa"/>
          </w:tcPr>
          <w:p>
            <w:pPr>
              <w:pStyle w:val="731"/>
              <w:pBdr/>
              <w:spacing/>
              <w:ind/>
              <w:rPr/>
            </w:pPr>
            <w:r>
              <w:t xml:space="preserve">Descansa</w:t>
            </w:r>
            <w:r/>
          </w:p>
        </w:tc>
        <w:tc>
          <w:tcPr>
            <w:shd w:val="clear" w:color="auto" w:fill="fafafc"/>
            <w:tcBorders/>
            <w:tcW w:w="5404" w:type="dxa"/>
          </w:tcPr>
          <w:p>
            <w:pPr>
              <w:pStyle w:val="731"/>
              <w:pBdr/>
              <w:spacing/>
              <w:ind/>
              <w:rPr/>
            </w:pPr>
            <w:r>
              <w:t xml:space="preserve">Indicación de que un equipo no tiene partido en la jornada.</w:t>
            </w:r>
            <w:r/>
          </w:p>
        </w:tc>
        <w:tc>
          <w:tcPr>
            <w:shd w:val="clear" w:color="auto" w:fill="fafafc"/>
            <w:tcBorders/>
            <w:tcW w:w="2000" w:type="dxa"/>
          </w:tcPr>
          <w:p>
            <w:pPr>
              <w:pStyle w:val="731"/>
              <w:pBdr/>
              <w:spacing/>
              <w:ind/>
              <w:rPr/>
            </w:pPr>
            <w:r>
              <w:t xml:space="preserve">REF-03</w:t>
            </w:r>
            <w:r/>
          </w:p>
        </w:tc>
      </w:tr>
      <w:tr>
        <w:trPr>
          <w:cantSplit/>
        </w:trPr>
        <w:tc>
          <w:tcPr>
            <w:tcBorders/>
            <w:tcW w:w="2000" w:type="dxa"/>
          </w:tcPr>
          <w:p>
            <w:pPr>
              <w:pStyle w:val="731"/>
              <w:pBdr/>
              <w:spacing/>
              <w:ind/>
              <w:rPr/>
            </w:pPr>
            <w:r>
              <w:t xml:space="preserve">Partido reprogramado</w:t>
            </w:r>
            <w:r/>
          </w:p>
        </w:tc>
        <w:tc>
          <w:tcPr>
            <w:tcBorders/>
            <w:tcW w:w="5404" w:type="dxa"/>
          </w:tcPr>
          <w:p>
            <w:pPr>
              <w:pStyle w:val="731"/>
              <w:pBdr/>
              <w:spacing/>
              <w:ind/>
              <w:rPr/>
            </w:pPr>
            <w:r>
              <w:t xml:space="preserve">Partido suspendido (por ejemplo, por tormentas, inundación de canchas o fuerza mayor) que la directiva vuelve a programar, habitualmente entre semana por la tarde, previo acuerdo de los delegados.</w:t>
            </w:r>
            <w:r/>
          </w:p>
        </w:tc>
        <w:tc>
          <w:tcPr>
            <w:tcBorders/>
            <w:tcW w:w="2000" w:type="dxa"/>
          </w:tcPr>
          <w:p>
            <w:pPr>
              <w:pStyle w:val="731"/>
              <w:pBdr/>
              <w:spacing/>
              <w:ind/>
              <w:rPr/>
            </w:pPr>
            <w:r>
              <w:t xml:space="preserve">REF-07, P21</w:t>
            </w:r>
            <w:r/>
          </w:p>
        </w:tc>
      </w:tr>
      <w:tr>
        <w:trPr>
          <w:cantSplit/>
        </w:trPr>
        <w:tc>
          <w:tcPr>
            <w:shd w:val="clear" w:color="auto" w:fill="fafafc"/>
            <w:tcBorders/>
            <w:tcW w:w="2000" w:type="dxa"/>
          </w:tcPr>
          <w:p>
            <w:pPr>
              <w:pStyle w:val="731"/>
              <w:pBdr/>
              <w:spacing/>
              <w:ind/>
              <w:rPr/>
            </w:pPr>
            <w:r>
              <w:t xml:space="preserve">«Ya terminó»</w:t>
            </w:r>
            <w:r/>
          </w:p>
        </w:tc>
        <w:tc>
          <w:tcPr>
            <w:shd w:val="clear" w:color="auto" w:fill="fafafc"/>
            <w:tcBorders/>
            <w:tcW w:w="5404" w:type="dxa"/>
          </w:tcPr>
          <w:p>
            <w:pPr>
              <w:pStyle w:val="731"/>
              <w:pBdr/>
              <w:spacing/>
              <w:ind/>
              <w:rPr/>
            </w:pPr>
            <w:r>
              <w:t xml:space="preserve">Anotación en la programación que indica que el partido ya se jugó y finalizó.</w:t>
            </w:r>
            <w:r/>
          </w:p>
        </w:tc>
        <w:tc>
          <w:tcPr>
            <w:shd w:val="clear" w:color="auto" w:fill="fafafc"/>
            <w:tcBorders/>
            <w:tcW w:w="2000" w:type="dxa"/>
          </w:tcPr>
          <w:p>
            <w:pPr>
              <w:pStyle w:val="731"/>
              <w:pBdr/>
              <w:spacing/>
              <w:ind/>
              <w:rPr/>
            </w:pPr>
            <w:r>
              <w:t xml:space="preserve">REF-07, P13</w:t>
            </w:r>
            <w:r/>
          </w:p>
        </w:tc>
      </w:tr>
      <w:tr>
        <w:trPr>
          <w:cantSplit/>
        </w:trPr>
        <w:tc>
          <w:tcPr>
            <w:tcBorders/>
            <w:tcW w:w="2000" w:type="dxa"/>
          </w:tcPr>
          <w:p>
            <w:pPr>
              <w:pStyle w:val="731"/>
              <w:pBdr/>
              <w:spacing/>
              <w:ind/>
              <w:rPr/>
            </w:pPr>
            <w:r>
              <w:t xml:space="preserve">Resultado por default</w:t>
            </w:r>
            <w:r/>
          </w:p>
        </w:tc>
        <w:tc>
          <w:tcPr>
            <w:tcBorders/>
            <w:tcW w:w="5404" w:type="dxa"/>
          </w:tcPr>
          <w:p>
            <w:pPr>
              <w:pStyle w:val="731"/>
              <w:pBdr/>
              <w:spacing/>
              <w:ind/>
              <w:rPr/>
            </w:pPr>
            <w:r>
              <w:t xml:space="preserve">Victoria que se otorga sin disputar el partido. En la programación aparece como «PIERDE [equipo]» seguido del motivo (por ejemplo, «ART. 103-E» o «PPP»). El ganador recibe los tres puntos y debe pagar su arbitraje. Catálogo de motivos: </w:t>
            </w:r>
            <w:r>
              <w:rPr>
                <w:b/>
                <w:bCs/>
                <w:color w:val="9c4a00"/>
                <w:shd w:val="clear" w:color="auto" w:fill="fff2cc"/>
              </w:rPr>
              <w:t xml:space="preserve">[POR DEFINIR]</w:t>
            </w:r>
            <w:r>
              <w:t xml:space="preserve">.</w:t>
            </w:r>
            <w:r/>
          </w:p>
        </w:tc>
        <w:tc>
          <w:tcPr>
            <w:tcBorders/>
            <w:tcW w:w="2000" w:type="dxa"/>
          </w:tcPr>
          <w:p>
            <w:pPr>
              <w:pStyle w:val="731"/>
              <w:pBdr/>
              <w:spacing/>
              <w:ind/>
              <w:rPr/>
            </w:pPr>
            <w:r>
              <w:t xml:space="preserve">REF-03; REF-01, nota de X</w:t>
            </w:r>
            <w:r/>
          </w:p>
        </w:tc>
      </w:tr>
      <w:tr>
        <w:trPr>
          <w:cantSplit/>
        </w:trPr>
        <w:tc>
          <w:tcPr>
            <w:shd w:val="clear" w:color="auto" w:fill="fafafc"/>
            <w:tcBorders/>
            <w:tcW w:w="2000" w:type="dxa"/>
          </w:tcPr>
          <w:p>
            <w:pPr>
              <w:pStyle w:val="731"/>
              <w:pBdr/>
              <w:spacing/>
              <w:ind/>
              <w:rPr/>
            </w:pPr>
            <w:r>
              <w:t xml:space="preserve">Cambio o sustitución</w:t>
            </w:r>
            <w:r/>
          </w:p>
        </w:tc>
        <w:tc>
          <w:tcPr>
            <w:shd w:val="clear" w:color="auto" w:fill="fafafc"/>
            <w:tcBorders/>
            <w:tcW w:w="5404" w:type="dxa"/>
          </w:tcPr>
          <w:p>
            <w:pPr>
              <w:pStyle w:val="731"/>
              <w:pBdr/>
              <w:spacing/>
              <w:ind/>
              <w:rPr/>
            </w:pPr>
            <w:r>
              <w:t xml:space="preserve">Reemplazo de un jugador durante </w:t>
            </w:r>
            <w:r>
              <w:t xml:space="preserve">el partido. El número permitido varía por categoría: 9 de Primera Especial a Juvenil; 8 en Veteranos Libre; 9 en Veteranos Especiales; sin límite y con reingreso en Masters, Premier, Diamante, Dorado y Platino; ilimitados con reingreso en la rama infantil.</w:t>
            </w:r>
            <w:r/>
          </w:p>
        </w:tc>
        <w:tc>
          <w:tcPr>
            <w:shd w:val="clear" w:color="auto" w:fill="fafafc"/>
            <w:tcBorders/>
            <w:tcW w:w="2000" w:type="dxa"/>
          </w:tcPr>
          <w:p>
            <w:pPr>
              <w:pStyle w:val="731"/>
              <w:pBdr/>
              <w:spacing/>
              <w:ind/>
              <w:rPr/>
            </w:pPr>
            <w:r>
              <w:t xml:space="preserve">REF-01, X; REF-02, II-e; REF-03</w:t>
            </w:r>
            <w:r/>
          </w:p>
        </w:tc>
      </w:tr>
      <w:tr>
        <w:trPr>
          <w:cantSplit/>
        </w:trPr>
        <w:tc>
          <w:tcPr>
            <w:tcBorders/>
            <w:tcW w:w="2000" w:type="dxa"/>
          </w:tcPr>
          <w:p>
            <w:pPr>
              <w:pStyle w:val="731"/>
              <w:pBdr/>
              <w:spacing/>
              <w:ind/>
              <w:rPr/>
            </w:pPr>
            <w:r>
              <w:t xml:space="preserve">Desfile inaugural</w:t>
            </w:r>
            <w:r/>
          </w:p>
        </w:tc>
        <w:tc>
          <w:tcPr>
            <w:tcBorders/>
            <w:tcW w:w="5404" w:type="dxa"/>
          </w:tcPr>
          <w:p>
            <w:pPr>
              <w:pStyle w:val="731"/>
              <w:pBdr/>
              <w:spacing/>
              <w:ind/>
              <w:rPr/>
            </w:pPr>
            <w:r>
              <w:t xml:space="preserve">Acto de apertura de la temporada oficial: 8 de noviembre de 2026, 10:00 h, campo «Félix Cerda Loza».</w:t>
            </w:r>
            <w:r/>
          </w:p>
        </w:tc>
        <w:tc>
          <w:tcPr>
            <w:tcBorders/>
            <w:tcW w:w="2000" w:type="dxa"/>
          </w:tcPr>
          <w:p>
            <w:pPr>
              <w:pStyle w:val="731"/>
              <w:pBdr/>
              <w:spacing/>
              <w:ind/>
              <w:rPr/>
            </w:pPr>
            <w:r>
              <w:t xml:space="preserve">REF-01, III; REF-02, VI</w:t>
            </w:r>
            <w:r/>
          </w:p>
        </w:tc>
      </w:tr>
    </w:tbl>
    <w:p>
      <w:pPr>
        <w:pBdr/>
        <w:spacing w:after="60" w:before="0"/>
        <w:ind/>
        <w:rPr/>
      </w:pPr>
      <w:r/>
      <w:r/>
    </w:p>
    <w:p>
      <w:pPr>
        <w:pStyle w:val="725"/>
        <w:pBdr/>
        <w:spacing/>
        <w:ind/>
        <w:rPr/>
      </w:pPr>
      <w:r/>
      <w:bookmarkStart w:id="19" w:name="_Toc100019"/>
      <w:r>
        <w:t xml:space="preserve">1.3.3 Categorías</w:t>
      </w:r>
      <w:bookmarkEnd w:id="19"/>
      <w:r/>
      <w:r/>
    </w:p>
    <w:p>
      <w:pPr>
        <w:pBdr/>
        <w:spacing/>
        <w:ind/>
        <w:rPr/>
      </w:pPr>
      <w:r>
        <w:t xml:space="preserve">La tabla resume las categorías que nombran las convocatorias 2026–2027 y su criterio de edad. Los años de nacimiento se transcriben tal como aparecen en cada convocatoria.</w:t>
      </w:r>
      <w:r/>
    </w:p>
    <w:p>
      <w:pPr>
        <w:pStyle w:val="732"/>
        <w:keepNext w:val="true"/>
        <w:pBdr/>
        <w:spacing/>
        <w:ind/>
        <w:rPr/>
      </w:pPr>
      <w:r>
        <w:rPr>
          <w:b/>
          <w:bCs/>
          <w:color w:val="241a61"/>
          <w:sz w:val="18"/>
          <w:szCs w:val="18"/>
        </w:rPr>
        <w:t xml:space="preserve">Tabla 11. </w:t>
      </w:r>
      <w:r>
        <w:rPr>
          <w:sz w:val="18"/>
          <w:szCs w:val="18"/>
        </w:rPr>
        <w:t xml:space="preserve">Categorías de la temporada 2026–2027.</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300"/>
        <w:gridCol w:w="2200"/>
        <w:gridCol w:w="2400"/>
        <w:gridCol w:w="3504"/>
      </w:tblGrid>
      <w:tr>
        <w:trPr>
          <w:cantSplit/>
          <w:tblHeader/>
        </w:trPr>
        <w:tc>
          <w:tcPr>
            <w:shd w:val="clear" w:color="auto" w:fill="241a61"/>
            <w:tcBorders/>
            <w:tcW w:w="1300" w:type="dxa"/>
            <w:vAlign w:val="center"/>
          </w:tcPr>
          <w:p>
            <w:pPr>
              <w:pStyle w:val="731"/>
              <w:pBdr/>
              <w:spacing/>
              <w:ind/>
              <w:rPr/>
            </w:pPr>
            <w:r>
              <w:rPr>
                <w:b/>
                <w:bCs/>
                <w:color w:val="ffffff"/>
              </w:rPr>
              <w:t xml:space="preserve">Rama</w:t>
            </w:r>
            <w:r/>
          </w:p>
        </w:tc>
        <w:tc>
          <w:tcPr>
            <w:shd w:val="clear" w:color="auto" w:fill="241a61"/>
            <w:tcBorders/>
            <w:tcW w:w="2200" w:type="dxa"/>
            <w:vAlign w:val="center"/>
          </w:tcPr>
          <w:p>
            <w:pPr>
              <w:pStyle w:val="731"/>
              <w:pBdr/>
              <w:spacing/>
              <w:ind/>
              <w:rPr/>
            </w:pPr>
            <w:r>
              <w:rPr>
                <w:b/>
                <w:bCs/>
                <w:color w:val="ffffff"/>
              </w:rPr>
              <w:t xml:space="preserve">Categoría</w:t>
            </w:r>
            <w:r/>
          </w:p>
        </w:tc>
        <w:tc>
          <w:tcPr>
            <w:shd w:val="clear" w:color="auto" w:fill="241a61"/>
            <w:tcBorders/>
            <w:tcW w:w="2400" w:type="dxa"/>
            <w:vAlign w:val="center"/>
          </w:tcPr>
          <w:p>
            <w:pPr>
              <w:pStyle w:val="731"/>
              <w:pBdr/>
              <w:spacing/>
              <w:ind/>
              <w:rPr/>
            </w:pPr>
            <w:r>
              <w:rPr>
                <w:b/>
                <w:bCs/>
                <w:color w:val="ffffff"/>
              </w:rPr>
              <w:t xml:space="preserve">Año de nacimiento</w:t>
            </w:r>
            <w:r/>
          </w:p>
        </w:tc>
        <w:tc>
          <w:tcPr>
            <w:shd w:val="clear" w:color="auto" w:fill="241a61"/>
            <w:tcBorders/>
            <w:tcW w:w="3504" w:type="dxa"/>
            <w:vAlign w:val="center"/>
          </w:tcPr>
          <w:p>
            <w:pPr>
              <w:pStyle w:val="731"/>
              <w:pBdr/>
              <w:spacing/>
              <w:ind/>
              <w:rPr/>
            </w:pPr>
            <w:r>
              <w:rPr>
                <w:b/>
                <w:bCs/>
                <w:color w:val="ffffff"/>
              </w:rPr>
              <w:t xml:space="preserve">Observaciones</w:t>
            </w:r>
            <w:r/>
          </w:p>
        </w:tc>
      </w:tr>
      <w:tr>
        <w:trPr>
          <w:cantSplit/>
        </w:trPr>
        <w:tc>
          <w:tcPr>
            <w:tcBorders/>
            <w:tcW w:w="1300" w:type="dxa"/>
          </w:tcPr>
          <w:p>
            <w:pPr>
              <w:pStyle w:val="731"/>
              <w:pBdr/>
              <w:spacing/>
              <w:ind/>
              <w:rPr/>
            </w:pPr>
            <w:r>
              <w:t xml:space="preserve">Libre</w:t>
            </w:r>
            <w:r/>
          </w:p>
        </w:tc>
        <w:tc>
          <w:tcPr>
            <w:tcBorders/>
            <w:tcW w:w="2200" w:type="dxa"/>
          </w:tcPr>
          <w:p>
            <w:pPr>
              <w:pStyle w:val="731"/>
              <w:pBdr/>
              <w:spacing/>
              <w:ind/>
              <w:rPr/>
            </w:pPr>
            <w:r>
              <w:t xml:space="preserve">Primera Especial</w:t>
            </w:r>
            <w:r/>
          </w:p>
        </w:tc>
        <w:tc>
          <w:tcPr>
            <w:tcBorders/>
            <w:tcW w:w="2400" w:type="dxa"/>
          </w:tcPr>
          <w:p>
            <w:pPr>
              <w:pStyle w:val="731"/>
              <w:pBdr/>
              <w:spacing/>
              <w:ind/>
              <w:rPr/>
            </w:pPr>
            <w:r>
              <w:t xml:space="preserve">No se indica</w:t>
            </w:r>
            <w:r/>
          </w:p>
        </w:tc>
        <w:tc>
          <w:tcPr>
            <w:tcBorders/>
            <w:tcW w:w="3504" w:type="dxa"/>
          </w:tcPr>
          <w:p>
            <w:pPr>
              <w:pStyle w:val="731"/>
              <w:pBdr/>
              <w:spacing/>
              <w:ind/>
              <w:rPr/>
            </w:pPr>
            <w:r>
              <w:t xml:space="preserve">Desciende a Primera Fuerza (4 últimos lugares).</w:t>
            </w:r>
            <w:r/>
          </w:p>
        </w:tc>
      </w:tr>
      <w:tr>
        <w:trPr>
          <w:cantSplit/>
        </w:trPr>
        <w:tc>
          <w:tcPr>
            <w:shd w:val="clear" w:color="auto" w:fill="fafafc"/>
            <w:tcBorders/>
            <w:tcW w:w="1300" w:type="dxa"/>
          </w:tcPr>
          <w:p>
            <w:pPr>
              <w:pStyle w:val="731"/>
              <w:pBdr/>
              <w:spacing/>
              <w:ind/>
              <w:rPr/>
            </w:pPr>
            <w:r>
              <w:t xml:space="preserve">Libre</w:t>
            </w:r>
            <w:r/>
          </w:p>
        </w:tc>
        <w:tc>
          <w:tcPr>
            <w:shd w:val="clear" w:color="auto" w:fill="fafafc"/>
            <w:tcBorders/>
            <w:tcW w:w="2200" w:type="dxa"/>
          </w:tcPr>
          <w:p>
            <w:pPr>
              <w:pStyle w:val="731"/>
              <w:pBdr/>
              <w:spacing/>
              <w:ind/>
              <w:rPr/>
            </w:pPr>
            <w:r>
              <w:t xml:space="preserve">Primera Fuerza</w:t>
            </w:r>
            <w:r/>
          </w:p>
        </w:tc>
        <w:tc>
          <w:tcPr>
            <w:shd w:val="clear" w:color="auto" w:fill="fafafc"/>
            <w:tcBorders/>
            <w:tcW w:w="2400" w:type="dxa"/>
          </w:tcPr>
          <w:p>
            <w:pPr>
              <w:pStyle w:val="731"/>
              <w:pBdr/>
              <w:spacing/>
              <w:ind/>
              <w:rPr/>
            </w:pPr>
            <w:r>
              <w:t xml:space="preserve">No se indica</w:t>
            </w:r>
            <w:r/>
          </w:p>
        </w:tc>
        <w:tc>
          <w:tcPr>
            <w:shd w:val="clear" w:color="auto" w:fill="fafafc"/>
            <w:tcBorders/>
            <w:tcW w:w="3504" w:type="dxa"/>
          </w:tcPr>
          <w:p>
            <w:pPr>
              <w:pStyle w:val="731"/>
              <w:pBdr/>
              <w:spacing/>
              <w:ind/>
              <w:rPr/>
            </w:pPr>
            <w:r/>
            <w:r/>
          </w:p>
        </w:tc>
      </w:tr>
      <w:tr>
        <w:trPr>
          <w:cantSplit/>
        </w:trPr>
        <w:tc>
          <w:tcPr>
            <w:tcBorders/>
            <w:tcW w:w="1300" w:type="dxa"/>
          </w:tcPr>
          <w:p>
            <w:pPr>
              <w:pStyle w:val="731"/>
              <w:pBdr/>
              <w:spacing/>
              <w:ind/>
              <w:rPr/>
            </w:pPr>
            <w:r>
              <w:t xml:space="preserve">Libre</w:t>
            </w:r>
            <w:r/>
          </w:p>
        </w:tc>
        <w:tc>
          <w:tcPr>
            <w:tcBorders/>
            <w:tcW w:w="2200" w:type="dxa"/>
          </w:tcPr>
          <w:p>
            <w:pPr>
              <w:pStyle w:val="731"/>
              <w:pBdr/>
              <w:spacing/>
              <w:ind/>
              <w:rPr/>
            </w:pPr>
            <w:r>
              <w:t xml:space="preserve">Reserva</w:t>
            </w:r>
            <w:r/>
          </w:p>
        </w:tc>
        <w:tc>
          <w:tcPr>
            <w:tcBorders/>
            <w:tcW w:w="2400" w:type="dxa"/>
          </w:tcPr>
          <w:p>
            <w:pPr>
              <w:pStyle w:val="731"/>
              <w:pBdr/>
              <w:spacing/>
              <w:ind/>
              <w:rPr/>
            </w:pPr>
            <w:r>
              <w:t xml:space="preserve">No se indica</w:t>
            </w:r>
            <w:r/>
          </w:p>
        </w:tc>
        <w:tc>
          <w:tcPr>
            <w:tcBorders/>
            <w:tcW w:w="3504" w:type="dxa"/>
          </w:tcPr>
          <w:p>
            <w:pPr>
              <w:pStyle w:val="731"/>
              <w:pBdr/>
              <w:spacing/>
              <w:ind/>
              <w:rPr/>
            </w:pPr>
            <w:r/>
            <w:r/>
          </w:p>
        </w:tc>
      </w:tr>
      <w:tr>
        <w:trPr>
          <w:cantSplit/>
        </w:trPr>
        <w:tc>
          <w:tcPr>
            <w:shd w:val="clear" w:color="auto" w:fill="fafafc"/>
            <w:tcBorders/>
            <w:tcW w:w="1300" w:type="dxa"/>
          </w:tcPr>
          <w:p>
            <w:pPr>
              <w:pStyle w:val="731"/>
              <w:pBdr/>
              <w:spacing/>
              <w:ind/>
              <w:rPr/>
            </w:pPr>
            <w:r>
              <w:t xml:space="preserve">Libre</w:t>
            </w:r>
            <w:r/>
          </w:p>
        </w:tc>
        <w:tc>
          <w:tcPr>
            <w:shd w:val="clear" w:color="auto" w:fill="fafafc"/>
            <w:tcBorders/>
            <w:tcW w:w="2200" w:type="dxa"/>
          </w:tcPr>
          <w:p>
            <w:pPr>
              <w:pStyle w:val="731"/>
              <w:pBdr/>
              <w:spacing/>
              <w:ind/>
              <w:rPr/>
            </w:pPr>
            <w:r>
              <w:t xml:space="preserve">Intermedia</w:t>
            </w:r>
            <w:r/>
          </w:p>
        </w:tc>
        <w:tc>
          <w:tcPr>
            <w:shd w:val="clear" w:color="auto" w:fill="fafafc"/>
            <w:tcBorders/>
            <w:tcW w:w="2400" w:type="dxa"/>
          </w:tcPr>
          <w:p>
            <w:pPr>
              <w:pStyle w:val="731"/>
              <w:pBdr/>
              <w:spacing/>
              <w:ind/>
              <w:rPr/>
            </w:pPr>
            <w:r>
              <w:t xml:space="preserve">No se indica</w:t>
            </w:r>
            <w:r/>
          </w:p>
        </w:tc>
        <w:tc>
          <w:tcPr>
            <w:shd w:val="clear" w:color="auto" w:fill="fafafc"/>
            <w:tcBorders/>
            <w:tcW w:w="3504" w:type="dxa"/>
          </w:tcPr>
          <w:p>
            <w:pPr>
              <w:pStyle w:val="731"/>
              <w:pBdr/>
              <w:spacing/>
              <w:ind/>
              <w:rPr/>
            </w:pPr>
            <w:r/>
            <w:r/>
          </w:p>
        </w:tc>
      </w:tr>
      <w:tr>
        <w:trPr>
          <w:cantSplit/>
        </w:trPr>
        <w:tc>
          <w:tcPr>
            <w:tcBorders/>
            <w:tcW w:w="1300" w:type="dxa"/>
          </w:tcPr>
          <w:p>
            <w:pPr>
              <w:pStyle w:val="731"/>
              <w:pBdr/>
              <w:spacing/>
              <w:ind/>
              <w:rPr/>
            </w:pPr>
            <w:r>
              <w:t xml:space="preserve">Libre</w:t>
            </w:r>
            <w:r/>
          </w:p>
        </w:tc>
        <w:tc>
          <w:tcPr>
            <w:tcBorders/>
            <w:tcW w:w="2200" w:type="dxa"/>
          </w:tcPr>
          <w:p>
            <w:pPr>
              <w:pStyle w:val="731"/>
              <w:pBdr/>
              <w:spacing/>
              <w:ind/>
              <w:rPr/>
            </w:pPr>
            <w:r>
              <w:t xml:space="preserve">Segunda Fuerza</w:t>
            </w:r>
            <w:r/>
          </w:p>
        </w:tc>
        <w:tc>
          <w:tcPr>
            <w:tcBorders/>
            <w:tcW w:w="2400" w:type="dxa"/>
          </w:tcPr>
          <w:p>
            <w:pPr>
              <w:pStyle w:val="731"/>
              <w:pBdr/>
              <w:spacing/>
              <w:ind/>
              <w:rPr/>
            </w:pPr>
            <w:r>
              <w:t xml:space="preserve">No se indica</w:t>
            </w:r>
            <w:r/>
          </w:p>
        </w:tc>
        <w:tc>
          <w:tcPr>
            <w:tcBorders/>
            <w:tcW w:w="3504" w:type="dxa"/>
          </w:tcPr>
          <w:p>
            <w:pPr>
              <w:pStyle w:val="731"/>
              <w:pBdr/>
              <w:spacing/>
              <w:ind/>
              <w:rPr/>
            </w:pPr>
            <w:r/>
            <w:r/>
          </w:p>
        </w:tc>
      </w:tr>
      <w:tr>
        <w:trPr>
          <w:cantSplit/>
        </w:trPr>
        <w:tc>
          <w:tcPr>
            <w:shd w:val="clear" w:color="auto" w:fill="fafafc"/>
            <w:tcBorders/>
            <w:tcW w:w="1300" w:type="dxa"/>
          </w:tcPr>
          <w:p>
            <w:pPr>
              <w:pStyle w:val="731"/>
              <w:pBdr/>
              <w:spacing/>
              <w:ind/>
              <w:rPr/>
            </w:pPr>
            <w:r>
              <w:t xml:space="preserve">Libre</w:t>
            </w:r>
            <w:r/>
          </w:p>
        </w:tc>
        <w:tc>
          <w:tcPr>
            <w:shd w:val="clear" w:color="auto" w:fill="fafafc"/>
            <w:tcBorders/>
            <w:tcW w:w="2200" w:type="dxa"/>
          </w:tcPr>
          <w:p>
            <w:pPr>
              <w:pStyle w:val="731"/>
              <w:pBdr/>
              <w:spacing/>
              <w:ind/>
              <w:rPr/>
            </w:pPr>
            <w:r>
              <w:t xml:space="preserve">Tercera Fuerza</w:t>
            </w:r>
            <w:r/>
          </w:p>
        </w:tc>
        <w:tc>
          <w:tcPr>
            <w:shd w:val="clear" w:color="auto" w:fill="fafafc"/>
            <w:tcBorders/>
            <w:tcW w:w="2400" w:type="dxa"/>
          </w:tcPr>
          <w:p>
            <w:pPr>
              <w:pStyle w:val="731"/>
              <w:pBdr/>
              <w:spacing/>
              <w:ind/>
              <w:rPr/>
            </w:pPr>
            <w:r>
              <w:t xml:space="preserve">No se indica</w:t>
            </w:r>
            <w:r/>
          </w:p>
        </w:tc>
        <w:tc>
          <w:tcPr>
            <w:shd w:val="clear" w:color="auto" w:fill="fafafc"/>
            <w:tcBorders/>
            <w:tcW w:w="3504" w:type="dxa"/>
          </w:tcPr>
          <w:p>
            <w:pPr>
              <w:pStyle w:val="731"/>
              <w:pBdr/>
              <w:spacing/>
              <w:ind/>
              <w:rPr/>
            </w:pPr>
            <w:r/>
            <w:r/>
          </w:p>
        </w:tc>
      </w:tr>
      <w:tr>
        <w:trPr>
          <w:cantSplit/>
        </w:trPr>
        <w:tc>
          <w:tcPr>
            <w:tcBorders/>
            <w:tcW w:w="1300" w:type="dxa"/>
          </w:tcPr>
          <w:p>
            <w:pPr>
              <w:pStyle w:val="731"/>
              <w:pBdr/>
              <w:spacing/>
              <w:ind/>
              <w:rPr/>
            </w:pPr>
            <w:r>
              <w:t xml:space="preserve">Libre</w:t>
            </w:r>
            <w:r/>
          </w:p>
        </w:tc>
        <w:tc>
          <w:tcPr>
            <w:tcBorders/>
            <w:tcW w:w="2200" w:type="dxa"/>
          </w:tcPr>
          <w:p>
            <w:pPr>
              <w:pStyle w:val="731"/>
              <w:pBdr/>
              <w:spacing/>
              <w:ind/>
              <w:rPr/>
            </w:pPr>
            <w:r>
              <w:t xml:space="preserve">Cuarta Fuerza Domingo</w:t>
            </w:r>
            <w:r/>
          </w:p>
        </w:tc>
        <w:tc>
          <w:tcPr>
            <w:tcBorders/>
            <w:tcW w:w="2400" w:type="dxa"/>
          </w:tcPr>
          <w:p>
            <w:pPr>
              <w:pStyle w:val="731"/>
              <w:pBdr/>
              <w:spacing/>
              <w:ind/>
              <w:rPr/>
            </w:pPr>
            <w:r>
              <w:t xml:space="preserve">No se indica</w:t>
            </w:r>
            <w:r/>
          </w:p>
        </w:tc>
        <w:tc>
          <w:tcPr>
            <w:tcBorders/>
            <w:tcW w:w="3504" w:type="dxa"/>
          </w:tcPr>
          <w:p>
            <w:pPr>
              <w:pStyle w:val="731"/>
              <w:pBdr/>
              <w:spacing/>
              <w:ind/>
              <w:rPr/>
            </w:pPr>
            <w:r>
              <w:t xml:space="preserve">Inscripción restringida (art. 82 del reglamento interno y antigüedad mínima de dos temporadas).</w:t>
            </w:r>
            <w:r/>
          </w:p>
        </w:tc>
      </w:tr>
      <w:tr>
        <w:trPr>
          <w:cantSplit/>
        </w:trPr>
        <w:tc>
          <w:tcPr>
            <w:shd w:val="clear" w:color="auto" w:fill="fafafc"/>
            <w:tcBorders/>
            <w:tcW w:w="1300" w:type="dxa"/>
          </w:tcPr>
          <w:p>
            <w:pPr>
              <w:pStyle w:val="731"/>
              <w:pBdr/>
              <w:spacing/>
              <w:ind/>
              <w:rPr/>
            </w:pPr>
            <w:r>
              <w:t xml:space="preserve">Libre</w:t>
            </w:r>
            <w:r/>
          </w:p>
        </w:tc>
        <w:tc>
          <w:tcPr>
            <w:shd w:val="clear" w:color="auto" w:fill="fafafc"/>
            <w:tcBorders/>
            <w:tcW w:w="2200" w:type="dxa"/>
          </w:tcPr>
          <w:p>
            <w:pPr>
              <w:pStyle w:val="731"/>
              <w:pBdr/>
              <w:spacing/>
              <w:ind/>
              <w:rPr/>
            </w:pPr>
            <w:r>
              <w:t xml:space="preserve">Cuarta Sábado</w:t>
            </w:r>
            <w:r/>
          </w:p>
        </w:tc>
        <w:tc>
          <w:tcPr>
            <w:shd w:val="clear" w:color="auto" w:fill="fafafc"/>
            <w:tcBorders/>
            <w:tcW w:w="2400" w:type="dxa"/>
          </w:tcPr>
          <w:p>
            <w:pPr>
              <w:pStyle w:val="731"/>
              <w:pBdr/>
              <w:spacing/>
              <w:ind/>
              <w:rPr/>
            </w:pPr>
            <w:r>
              <w:t xml:space="preserve">No se indica</w:t>
            </w:r>
            <w:r/>
          </w:p>
        </w:tc>
        <w:tc>
          <w:tcPr>
            <w:shd w:val="clear" w:color="auto" w:fill="fafafc"/>
            <w:tcBorders/>
            <w:tcW w:w="3504" w:type="dxa"/>
          </w:tcPr>
          <w:p>
            <w:pPr>
              <w:pStyle w:val="731"/>
              <w:pBdr/>
              <w:spacing/>
              <w:ind/>
              <w:rPr/>
            </w:pPr>
            <w:r>
              <w:t xml:space="preserve">Los 5 últimos lugares de cada grupo desaparecen.</w:t>
            </w:r>
            <w:r/>
          </w:p>
        </w:tc>
      </w:tr>
      <w:tr>
        <w:trPr>
          <w:cantSplit/>
        </w:trPr>
        <w:tc>
          <w:tcPr>
            <w:tcBorders/>
            <w:tcW w:w="1300" w:type="dxa"/>
          </w:tcPr>
          <w:p>
            <w:pPr>
              <w:pStyle w:val="731"/>
              <w:pBdr/>
              <w:spacing/>
              <w:ind/>
              <w:rPr/>
            </w:pPr>
            <w:r>
              <w:t xml:space="preserve">Libre / Infantil</w:t>
            </w:r>
            <w:r/>
          </w:p>
        </w:tc>
        <w:tc>
          <w:tcPr>
            <w:tcBorders/>
            <w:tcW w:w="2200" w:type="dxa"/>
          </w:tcPr>
          <w:p>
            <w:pPr>
              <w:pStyle w:val="731"/>
              <w:pBdr/>
              <w:spacing/>
              <w:ind/>
              <w:rPr/>
            </w:pPr>
            <w:r>
              <w:t xml:space="preserve">Juvenil</w:t>
            </w:r>
            <w:r/>
          </w:p>
        </w:tc>
        <w:tc>
          <w:tcPr>
            <w:tcBorders/>
            <w:tcW w:w="2400" w:type="dxa"/>
          </w:tcPr>
          <w:p>
            <w:pPr>
              <w:pStyle w:val="731"/>
              <w:pBdr/>
              <w:spacing/>
              <w:ind/>
              <w:rPr/>
            </w:pPr>
            <w:r>
              <w:t xml:space="preserve">2009–2010</w:t>
            </w:r>
            <w:r/>
          </w:p>
        </w:tc>
        <w:tc>
          <w:tcPr>
            <w:tcBorders/>
            <w:tcW w:w="3504" w:type="dxa"/>
          </w:tcPr>
          <w:p>
            <w:pPr>
              <w:pStyle w:val="731"/>
              <w:pBdr/>
              <w:spacing/>
              <w:ind/>
              <w:rPr/>
            </w:pPr>
            <w:r>
              <w:t xml:space="preserve">Aparece en ambas convocatorias. Si es una sola categoría: </w:t>
            </w:r>
            <w:r>
              <w:rPr>
                <w:b/>
                <w:bCs/>
                <w:color w:val="9c4a00"/>
                <w:shd w:val="clear" w:color="auto" w:fill="fff2cc"/>
              </w:rPr>
              <w:t xml:space="preserve">[POR DEFINIR]</w:t>
            </w:r>
            <w:r>
              <w:t xml:space="preserve">.</w:t>
            </w:r>
            <w:r/>
          </w:p>
        </w:tc>
      </w:tr>
      <w:tr>
        <w:trPr>
          <w:cantSplit/>
        </w:trPr>
        <w:tc>
          <w:tcPr>
            <w:shd w:val="clear" w:color="auto" w:fill="fafafc"/>
            <w:tcBorders/>
            <w:tcW w:w="1300" w:type="dxa"/>
          </w:tcPr>
          <w:p>
            <w:pPr>
              <w:pStyle w:val="731"/>
              <w:pBdr/>
              <w:spacing/>
              <w:ind/>
              <w:rPr/>
            </w:pPr>
            <w:r>
              <w:t xml:space="preserve">Veteranos</w:t>
            </w:r>
            <w:r/>
          </w:p>
        </w:tc>
        <w:tc>
          <w:tcPr>
            <w:shd w:val="clear" w:color="auto" w:fill="fafafc"/>
            <w:tcBorders/>
            <w:tcW w:w="2200" w:type="dxa"/>
          </w:tcPr>
          <w:p>
            <w:pPr>
              <w:pStyle w:val="731"/>
              <w:pBdr/>
              <w:spacing/>
              <w:ind/>
              <w:rPr/>
            </w:pPr>
            <w:r>
              <w:t xml:space="preserve">Veteranos Libre</w:t>
            </w:r>
            <w:r/>
          </w:p>
        </w:tc>
        <w:tc>
          <w:tcPr>
            <w:shd w:val="clear" w:color="auto" w:fill="fafafc"/>
            <w:tcBorders/>
            <w:tcW w:w="2400" w:type="dxa"/>
          </w:tcPr>
          <w:p>
            <w:pPr>
              <w:pStyle w:val="731"/>
              <w:pBdr/>
              <w:spacing/>
              <w:ind/>
              <w:rPr/>
            </w:pPr>
            <w:r>
              <w:t xml:space="preserve">1990 o antes</w:t>
            </w:r>
            <w:r/>
          </w:p>
        </w:tc>
        <w:tc>
          <w:tcPr>
            <w:shd w:val="clear" w:color="auto" w:fill="fafafc"/>
            <w:tcBorders/>
            <w:tcW w:w="3504" w:type="dxa"/>
          </w:tcPr>
          <w:p>
            <w:pPr>
              <w:pStyle w:val="731"/>
              <w:pBdr/>
              <w:spacing/>
              <w:ind/>
              <w:rPr/>
            </w:pPr>
            <w:r>
              <w:t xml:space="preserve">La prensa 2025–2026 menciona «Primera de Veteranos» y «Segunda de Veteranos»; relación con Veteranos Libre: </w:t>
            </w:r>
            <w:r>
              <w:rPr>
                <w:b/>
                <w:bCs/>
                <w:color w:val="9c4a00"/>
                <w:shd w:val="clear" w:color="auto" w:fill="fff2cc"/>
              </w:rPr>
              <w:t xml:space="preserve">[POR DEFINIR]</w:t>
            </w:r>
            <w:r>
              <w:t xml:space="preserve">.</w:t>
            </w:r>
            <w:r/>
          </w:p>
        </w:tc>
      </w:tr>
      <w:tr>
        <w:trPr>
          <w:cantSplit/>
        </w:trPr>
        <w:tc>
          <w:tcPr>
            <w:tcBorders/>
            <w:tcW w:w="1300" w:type="dxa"/>
          </w:tcPr>
          <w:p>
            <w:pPr>
              <w:pStyle w:val="731"/>
              <w:pBdr/>
              <w:spacing/>
              <w:ind/>
              <w:rPr/>
            </w:pPr>
            <w:r>
              <w:t xml:space="preserve">Veteranos</w:t>
            </w:r>
            <w:r/>
          </w:p>
        </w:tc>
        <w:tc>
          <w:tcPr>
            <w:tcBorders/>
            <w:tcW w:w="2200" w:type="dxa"/>
          </w:tcPr>
          <w:p>
            <w:pPr>
              <w:pStyle w:val="731"/>
              <w:pBdr/>
              <w:spacing/>
              <w:ind/>
              <w:rPr/>
            </w:pPr>
            <w:r>
              <w:t xml:space="preserve">Veteranos Especiales</w:t>
            </w:r>
            <w:r/>
          </w:p>
        </w:tc>
        <w:tc>
          <w:tcPr>
            <w:tcBorders/>
            <w:tcW w:w="2400" w:type="dxa"/>
          </w:tcPr>
          <w:p>
            <w:pPr>
              <w:pStyle w:val="731"/>
              <w:pBdr/>
              <w:spacing/>
              <w:ind/>
              <w:rPr/>
            </w:pPr>
            <w:r>
              <w:t xml:space="preserve">1984 o antes</w:t>
            </w:r>
            <w:r/>
          </w:p>
        </w:tc>
        <w:tc>
          <w:tcPr>
            <w:tcBorders/>
            <w:tcW w:w="3504" w:type="dxa"/>
          </w:tcPr>
          <w:p>
            <w:pPr>
              <w:pStyle w:val="731"/>
              <w:pBdr/>
              <w:spacing/>
              <w:ind/>
              <w:rPr/>
            </w:pPr>
            <w:r/>
            <w:r/>
          </w:p>
        </w:tc>
      </w:tr>
      <w:tr>
        <w:trPr>
          <w:cantSplit/>
        </w:trPr>
        <w:tc>
          <w:tcPr>
            <w:shd w:val="clear" w:color="auto" w:fill="fafafc"/>
            <w:tcBorders/>
            <w:tcW w:w="1300" w:type="dxa"/>
          </w:tcPr>
          <w:p>
            <w:pPr>
              <w:pStyle w:val="731"/>
              <w:pBdr/>
              <w:spacing/>
              <w:ind/>
              <w:rPr/>
            </w:pPr>
            <w:r>
              <w:t xml:space="preserve">Veteranos</w:t>
            </w:r>
            <w:r/>
          </w:p>
        </w:tc>
        <w:tc>
          <w:tcPr>
            <w:shd w:val="clear" w:color="auto" w:fill="fafafc"/>
            <w:tcBorders/>
            <w:tcW w:w="2200" w:type="dxa"/>
          </w:tcPr>
          <w:p>
            <w:pPr>
              <w:pStyle w:val="731"/>
              <w:pBdr/>
              <w:spacing/>
              <w:ind/>
              <w:rPr/>
            </w:pPr>
            <w:r>
              <w:t xml:space="preserve">Masters</w:t>
            </w:r>
            <w:r/>
          </w:p>
        </w:tc>
        <w:tc>
          <w:tcPr>
            <w:shd w:val="clear" w:color="auto" w:fill="fafafc"/>
            <w:tcBorders/>
            <w:tcW w:w="2400" w:type="dxa"/>
          </w:tcPr>
          <w:p>
            <w:pPr>
              <w:pStyle w:val="731"/>
              <w:pBdr/>
              <w:spacing/>
              <w:ind/>
              <w:rPr/>
            </w:pPr>
            <w:r>
              <w:t xml:space="preserve">1978 o antes</w:t>
            </w:r>
            <w:r/>
          </w:p>
        </w:tc>
        <w:tc>
          <w:tcPr>
            <w:shd w:val="clear" w:color="auto" w:fill="fafafc"/>
            <w:tcBorders/>
            <w:tcW w:w="3504" w:type="dxa"/>
          </w:tcPr>
          <w:p>
            <w:pPr>
              <w:pStyle w:val="731"/>
              <w:pBdr/>
              <w:spacing/>
              <w:ind/>
              <w:rPr/>
            </w:pPr>
            <w:r>
              <w:t xml:space="preserve">Juega los sábados.</w:t>
            </w:r>
            <w:r/>
          </w:p>
        </w:tc>
      </w:tr>
      <w:tr>
        <w:trPr>
          <w:cantSplit/>
        </w:trPr>
        <w:tc>
          <w:tcPr>
            <w:tcBorders/>
            <w:tcW w:w="1300" w:type="dxa"/>
          </w:tcPr>
          <w:p>
            <w:pPr>
              <w:pStyle w:val="731"/>
              <w:pBdr/>
              <w:spacing/>
              <w:ind/>
              <w:rPr/>
            </w:pPr>
            <w:r>
              <w:t xml:space="preserve">Veteranos</w:t>
            </w:r>
            <w:r/>
          </w:p>
        </w:tc>
        <w:tc>
          <w:tcPr>
            <w:tcBorders/>
            <w:tcW w:w="2200" w:type="dxa"/>
          </w:tcPr>
          <w:p>
            <w:pPr>
              <w:pStyle w:val="731"/>
              <w:pBdr/>
              <w:spacing/>
              <w:ind/>
              <w:rPr/>
            </w:pPr>
            <w:r>
              <w:t xml:space="preserve">Premier</w:t>
            </w:r>
            <w:r/>
          </w:p>
        </w:tc>
        <w:tc>
          <w:tcPr>
            <w:tcBorders/>
            <w:tcW w:w="2400" w:type="dxa"/>
          </w:tcPr>
          <w:p>
            <w:pPr>
              <w:pStyle w:val="731"/>
              <w:pBdr/>
              <w:spacing/>
              <w:ind/>
              <w:rPr/>
            </w:pPr>
            <w:r>
              <w:t xml:space="preserve">1972 o antes</w:t>
            </w:r>
            <w:r/>
          </w:p>
        </w:tc>
        <w:tc>
          <w:tcPr>
            <w:tcBorders/>
            <w:tcW w:w="3504" w:type="dxa"/>
          </w:tcPr>
          <w:p>
            <w:pPr>
              <w:pStyle w:val="731"/>
              <w:pBdr/>
              <w:spacing/>
              <w:ind/>
              <w:rPr/>
            </w:pPr>
            <w:r>
              <w:t xml:space="preserve">Juega los sábados.</w:t>
            </w:r>
            <w:r/>
          </w:p>
        </w:tc>
      </w:tr>
      <w:tr>
        <w:trPr>
          <w:cantSplit/>
        </w:trPr>
        <w:tc>
          <w:tcPr>
            <w:shd w:val="clear" w:color="auto" w:fill="fafafc"/>
            <w:tcBorders/>
            <w:tcW w:w="1300" w:type="dxa"/>
          </w:tcPr>
          <w:p>
            <w:pPr>
              <w:pStyle w:val="731"/>
              <w:pBdr/>
              <w:spacing/>
              <w:ind/>
              <w:rPr/>
            </w:pPr>
            <w:r>
              <w:t xml:space="preserve">Veteranos</w:t>
            </w:r>
            <w:r/>
          </w:p>
        </w:tc>
        <w:tc>
          <w:tcPr>
            <w:shd w:val="clear" w:color="auto" w:fill="fafafc"/>
            <w:tcBorders/>
            <w:tcW w:w="2200" w:type="dxa"/>
          </w:tcPr>
          <w:p>
            <w:pPr>
              <w:pStyle w:val="731"/>
              <w:pBdr/>
              <w:spacing/>
              <w:ind/>
              <w:rPr/>
            </w:pPr>
            <w:r>
              <w:t xml:space="preserve">Diamante</w:t>
            </w:r>
            <w:r/>
          </w:p>
        </w:tc>
        <w:tc>
          <w:tcPr>
            <w:shd w:val="clear" w:color="auto" w:fill="fafafc"/>
            <w:tcBorders/>
            <w:tcW w:w="2400" w:type="dxa"/>
          </w:tcPr>
          <w:p>
            <w:pPr>
              <w:pStyle w:val="731"/>
              <w:pBdr/>
              <w:spacing/>
              <w:ind/>
              <w:rPr/>
            </w:pPr>
            <w:r>
              <w:t xml:space="preserve">1967 o antes</w:t>
            </w:r>
            <w:r/>
          </w:p>
        </w:tc>
        <w:tc>
          <w:tcPr>
            <w:shd w:val="clear" w:color="auto" w:fill="fafafc"/>
            <w:tcBorders/>
            <w:tcW w:w="3504" w:type="dxa"/>
          </w:tcPr>
          <w:p>
            <w:pPr>
              <w:pStyle w:val="731"/>
              <w:pBdr/>
              <w:spacing/>
              <w:ind/>
              <w:rPr/>
            </w:pPr>
            <w:r>
              <w:t xml:space="preserve">Juega los sábados.</w:t>
            </w:r>
            <w:r/>
          </w:p>
        </w:tc>
      </w:tr>
      <w:tr>
        <w:trPr>
          <w:cantSplit/>
        </w:trPr>
        <w:tc>
          <w:tcPr>
            <w:tcBorders/>
            <w:tcW w:w="1300" w:type="dxa"/>
          </w:tcPr>
          <w:p>
            <w:pPr>
              <w:pStyle w:val="731"/>
              <w:pBdr/>
              <w:spacing/>
              <w:ind/>
              <w:rPr/>
            </w:pPr>
            <w:r>
              <w:t xml:space="preserve">Veteranos</w:t>
            </w:r>
            <w:r/>
          </w:p>
        </w:tc>
        <w:tc>
          <w:tcPr>
            <w:tcBorders/>
            <w:tcW w:w="2200" w:type="dxa"/>
          </w:tcPr>
          <w:p>
            <w:pPr>
              <w:pStyle w:val="731"/>
              <w:pBdr/>
              <w:spacing/>
              <w:ind/>
              <w:rPr/>
            </w:pPr>
            <w:r>
              <w:t xml:space="preserve">Dorado</w:t>
            </w:r>
            <w:r/>
          </w:p>
        </w:tc>
        <w:tc>
          <w:tcPr>
            <w:tcBorders/>
            <w:tcW w:w="2400" w:type="dxa"/>
          </w:tcPr>
          <w:p>
            <w:pPr>
              <w:pStyle w:val="731"/>
              <w:pBdr/>
              <w:spacing/>
              <w:ind/>
              <w:rPr/>
            </w:pPr>
            <w:r>
              <w:t xml:space="preserve">1963 o antes</w:t>
            </w:r>
            <w:r/>
          </w:p>
        </w:tc>
        <w:tc>
          <w:tcPr>
            <w:tcBorders/>
            <w:tcW w:w="3504" w:type="dxa"/>
          </w:tcPr>
          <w:p>
            <w:pPr>
              <w:pStyle w:val="731"/>
              <w:pBdr/>
              <w:spacing/>
              <w:ind/>
              <w:rPr/>
            </w:pPr>
            <w:r>
              <w:t xml:space="preserve">Juega los sábados.</w:t>
            </w:r>
            <w:r/>
          </w:p>
        </w:tc>
      </w:tr>
      <w:tr>
        <w:trPr>
          <w:cantSplit/>
        </w:trPr>
        <w:tc>
          <w:tcPr>
            <w:shd w:val="clear" w:color="auto" w:fill="fafafc"/>
            <w:tcBorders/>
            <w:tcW w:w="1300" w:type="dxa"/>
          </w:tcPr>
          <w:p>
            <w:pPr>
              <w:pStyle w:val="731"/>
              <w:pBdr/>
              <w:spacing/>
              <w:ind/>
              <w:rPr/>
            </w:pPr>
            <w:r>
              <w:t xml:space="preserve">Veteranos</w:t>
            </w:r>
            <w:r/>
          </w:p>
        </w:tc>
        <w:tc>
          <w:tcPr>
            <w:shd w:val="clear" w:color="auto" w:fill="fafafc"/>
            <w:tcBorders/>
            <w:tcW w:w="2200" w:type="dxa"/>
          </w:tcPr>
          <w:p>
            <w:pPr>
              <w:pStyle w:val="731"/>
              <w:pBdr/>
              <w:spacing/>
              <w:ind/>
              <w:rPr/>
            </w:pPr>
            <w:r>
              <w:t xml:space="preserve">Platino</w:t>
            </w:r>
            <w:r/>
          </w:p>
        </w:tc>
        <w:tc>
          <w:tcPr>
            <w:shd w:val="clear" w:color="auto" w:fill="fafafc"/>
            <w:tcBorders/>
            <w:tcW w:w="2400" w:type="dxa"/>
          </w:tcPr>
          <w:p>
            <w:pPr>
              <w:pStyle w:val="731"/>
              <w:pBdr/>
              <w:spacing/>
              <w:ind/>
              <w:rPr/>
            </w:pPr>
            <w:r>
              <w:t xml:space="preserve">1959 o antes</w:t>
            </w:r>
            <w:r/>
          </w:p>
        </w:tc>
        <w:tc>
          <w:tcPr>
            <w:shd w:val="clear" w:color="auto" w:fill="fafafc"/>
            <w:tcBorders/>
            <w:tcW w:w="3504" w:type="dxa"/>
          </w:tcPr>
          <w:p>
            <w:pPr>
              <w:pStyle w:val="731"/>
              <w:pBdr/>
              <w:spacing/>
              <w:ind/>
              <w:rPr/>
            </w:pPr>
            <w:r>
              <w:t xml:space="preserve">Juega los sábados.</w:t>
            </w:r>
            <w:r/>
          </w:p>
        </w:tc>
      </w:tr>
      <w:tr>
        <w:trPr>
          <w:cantSplit/>
        </w:trPr>
        <w:tc>
          <w:tcPr>
            <w:tcBorders/>
            <w:tcW w:w="1300" w:type="dxa"/>
          </w:tcPr>
          <w:p>
            <w:pPr>
              <w:pStyle w:val="731"/>
              <w:pBdr/>
              <w:spacing/>
              <w:ind/>
              <w:rPr/>
            </w:pPr>
            <w:r>
              <w:t xml:space="preserve">Infantil</w:t>
            </w:r>
            <w:r/>
          </w:p>
        </w:tc>
        <w:tc>
          <w:tcPr>
            <w:tcBorders/>
            <w:tcW w:w="2200" w:type="dxa"/>
          </w:tcPr>
          <w:p>
            <w:pPr>
              <w:pStyle w:val="731"/>
              <w:pBdr/>
              <w:spacing/>
              <w:ind/>
              <w:rPr/>
            </w:pPr>
            <w:r>
              <w:t xml:space="preserve">Miniponys Especiales</w:t>
            </w:r>
            <w:r/>
          </w:p>
        </w:tc>
        <w:tc>
          <w:tcPr>
            <w:tcBorders/>
            <w:tcW w:w="2400" w:type="dxa"/>
          </w:tcPr>
          <w:p>
            <w:pPr>
              <w:pStyle w:val="731"/>
              <w:pBdr/>
              <w:spacing/>
              <w:ind/>
              <w:rPr/>
            </w:pPr>
            <w:r>
              <w:t xml:space="preserve">2021 o menores</w:t>
            </w:r>
            <w:r/>
          </w:p>
        </w:tc>
        <w:tc>
          <w:tcPr>
            <w:tcBorders/>
            <w:tcW w:w="3504" w:type="dxa"/>
          </w:tcPr>
          <w:p>
            <w:pPr>
              <w:pStyle w:val="731"/>
              <w:pBdr/>
              <w:spacing/>
              <w:ind/>
              <w:rPr/>
            </w:pPr>
            <w:r/>
            <w:r/>
          </w:p>
        </w:tc>
      </w:tr>
      <w:tr>
        <w:trPr>
          <w:cantSplit/>
        </w:trPr>
        <w:tc>
          <w:tcPr>
            <w:shd w:val="clear" w:color="auto" w:fill="fafafc"/>
            <w:tcBorders/>
            <w:tcW w:w="1300" w:type="dxa"/>
          </w:tcPr>
          <w:p>
            <w:pPr>
              <w:pStyle w:val="731"/>
              <w:pBdr/>
              <w:spacing/>
              <w:ind/>
              <w:rPr/>
            </w:pPr>
            <w:r>
              <w:t xml:space="preserve">Infantil</w:t>
            </w:r>
            <w:r/>
          </w:p>
        </w:tc>
        <w:tc>
          <w:tcPr>
            <w:shd w:val="clear" w:color="auto" w:fill="fafafc"/>
            <w:tcBorders/>
            <w:tcW w:w="2200" w:type="dxa"/>
          </w:tcPr>
          <w:p>
            <w:pPr>
              <w:pStyle w:val="731"/>
              <w:pBdr/>
              <w:spacing/>
              <w:ind/>
              <w:rPr/>
            </w:pPr>
            <w:r>
              <w:t xml:space="preserve">Miniponys</w:t>
            </w:r>
            <w:r/>
          </w:p>
        </w:tc>
        <w:tc>
          <w:tcPr>
            <w:shd w:val="clear" w:color="auto" w:fill="fafafc"/>
            <w:tcBorders/>
            <w:tcW w:w="2400" w:type="dxa"/>
          </w:tcPr>
          <w:p>
            <w:pPr>
              <w:pStyle w:val="731"/>
              <w:pBdr/>
              <w:spacing/>
              <w:ind/>
              <w:rPr/>
            </w:pPr>
            <w:r>
              <w:t xml:space="preserve">2019–2020</w:t>
            </w:r>
            <w:r/>
          </w:p>
        </w:tc>
        <w:tc>
          <w:tcPr>
            <w:shd w:val="clear" w:color="auto" w:fill="fafafc"/>
            <w:tcBorders/>
            <w:tcW w:w="3504" w:type="dxa"/>
          </w:tcPr>
          <w:p>
            <w:pPr>
              <w:pStyle w:val="731"/>
              <w:pBdr/>
              <w:spacing/>
              <w:ind/>
              <w:rPr/>
            </w:pPr>
            <w:r>
              <w:t xml:space="preserve">9 jugadores por equipo.</w:t>
            </w:r>
            <w:r/>
          </w:p>
        </w:tc>
      </w:tr>
      <w:tr>
        <w:trPr>
          <w:cantSplit/>
        </w:trPr>
        <w:tc>
          <w:tcPr>
            <w:tcBorders/>
            <w:tcW w:w="1300" w:type="dxa"/>
          </w:tcPr>
          <w:p>
            <w:pPr>
              <w:pStyle w:val="731"/>
              <w:pBdr/>
              <w:spacing/>
              <w:ind/>
              <w:rPr/>
            </w:pPr>
            <w:r>
              <w:t xml:space="preserve">Infantil</w:t>
            </w:r>
            <w:r/>
          </w:p>
        </w:tc>
        <w:tc>
          <w:tcPr>
            <w:tcBorders/>
            <w:tcW w:w="2200" w:type="dxa"/>
          </w:tcPr>
          <w:p>
            <w:pPr>
              <w:pStyle w:val="731"/>
              <w:pBdr/>
              <w:spacing/>
              <w:ind/>
              <w:rPr/>
            </w:pPr>
            <w:r>
              <w:t xml:space="preserve">Ponys</w:t>
            </w:r>
            <w:r/>
          </w:p>
        </w:tc>
        <w:tc>
          <w:tcPr>
            <w:tcBorders/>
            <w:tcW w:w="2400" w:type="dxa"/>
          </w:tcPr>
          <w:p>
            <w:pPr>
              <w:pStyle w:val="731"/>
              <w:pBdr/>
              <w:spacing/>
              <w:ind/>
              <w:rPr/>
            </w:pPr>
            <w:r>
              <w:t xml:space="preserve">2017–2018</w:t>
            </w:r>
            <w:r/>
          </w:p>
        </w:tc>
        <w:tc>
          <w:tcPr>
            <w:tcBorders/>
            <w:tcW w:w="3504" w:type="dxa"/>
          </w:tcPr>
          <w:p>
            <w:pPr>
              <w:pStyle w:val="731"/>
              <w:pBdr/>
              <w:spacing/>
              <w:ind/>
              <w:rPr/>
            </w:pPr>
            <w:r>
              <w:t xml:space="preserve">9 jugadores por equipo.</w:t>
            </w:r>
            <w:r/>
          </w:p>
        </w:tc>
      </w:tr>
      <w:tr>
        <w:trPr>
          <w:cantSplit/>
        </w:trPr>
        <w:tc>
          <w:tcPr>
            <w:shd w:val="clear" w:color="auto" w:fill="fafafc"/>
            <w:tcBorders/>
            <w:tcW w:w="1300" w:type="dxa"/>
          </w:tcPr>
          <w:p>
            <w:pPr>
              <w:pStyle w:val="731"/>
              <w:pBdr/>
              <w:spacing/>
              <w:ind/>
              <w:rPr/>
            </w:pPr>
            <w:r>
              <w:t xml:space="preserve">Infantil</w:t>
            </w:r>
            <w:r/>
          </w:p>
        </w:tc>
        <w:tc>
          <w:tcPr>
            <w:shd w:val="clear" w:color="auto" w:fill="fafafc"/>
            <w:tcBorders/>
            <w:tcW w:w="2200" w:type="dxa"/>
          </w:tcPr>
          <w:p>
            <w:pPr>
              <w:pStyle w:val="731"/>
              <w:pBdr/>
              <w:spacing/>
              <w:ind/>
              <w:rPr/>
            </w:pPr>
            <w:r>
              <w:t xml:space="preserve">Pre infantil</w:t>
            </w:r>
            <w:r/>
          </w:p>
        </w:tc>
        <w:tc>
          <w:tcPr>
            <w:shd w:val="clear" w:color="auto" w:fill="fafafc"/>
            <w:tcBorders/>
            <w:tcW w:w="2400" w:type="dxa"/>
          </w:tcPr>
          <w:p>
            <w:pPr>
              <w:pStyle w:val="731"/>
              <w:pBdr/>
              <w:spacing/>
              <w:ind/>
              <w:rPr/>
            </w:pPr>
            <w:r>
              <w:t xml:space="preserve">2015–2016</w:t>
            </w:r>
            <w:r/>
          </w:p>
        </w:tc>
        <w:tc>
          <w:tcPr>
            <w:shd w:val="clear" w:color="auto" w:fill="fafafc"/>
            <w:tcBorders/>
            <w:tcW w:w="3504" w:type="dxa"/>
          </w:tcPr>
          <w:p>
            <w:pPr>
              <w:pStyle w:val="731"/>
              <w:pBdr/>
              <w:spacing/>
              <w:ind/>
              <w:rPr/>
            </w:pPr>
            <w:r>
              <w:t xml:space="preserve">11 jugadores por equipo.</w:t>
            </w:r>
            <w:r/>
          </w:p>
        </w:tc>
      </w:tr>
      <w:tr>
        <w:trPr>
          <w:cantSplit/>
        </w:trPr>
        <w:tc>
          <w:tcPr>
            <w:tcBorders/>
            <w:tcW w:w="1300" w:type="dxa"/>
          </w:tcPr>
          <w:p>
            <w:pPr>
              <w:pStyle w:val="731"/>
              <w:pBdr/>
              <w:spacing/>
              <w:ind/>
              <w:rPr/>
            </w:pPr>
            <w:r>
              <w:t xml:space="preserve">Infantil</w:t>
            </w:r>
            <w:r/>
          </w:p>
        </w:tc>
        <w:tc>
          <w:tcPr>
            <w:tcBorders/>
            <w:tcW w:w="2200" w:type="dxa"/>
          </w:tcPr>
          <w:p>
            <w:pPr>
              <w:pStyle w:val="731"/>
              <w:pBdr/>
              <w:spacing/>
              <w:ind/>
              <w:rPr/>
            </w:pPr>
            <w:r>
              <w:t xml:space="preserve">Infantil</w:t>
            </w:r>
            <w:r/>
          </w:p>
        </w:tc>
        <w:tc>
          <w:tcPr>
            <w:tcBorders/>
            <w:tcW w:w="2400" w:type="dxa"/>
          </w:tcPr>
          <w:p>
            <w:pPr>
              <w:pStyle w:val="731"/>
              <w:pBdr/>
              <w:spacing/>
              <w:ind/>
              <w:rPr/>
            </w:pPr>
            <w:r>
              <w:t xml:space="preserve">2013–2014</w:t>
            </w:r>
            <w:r/>
          </w:p>
        </w:tc>
        <w:tc>
          <w:tcPr>
            <w:tcBorders/>
            <w:tcW w:w="3504" w:type="dxa"/>
          </w:tcPr>
          <w:p>
            <w:pPr>
              <w:pStyle w:val="731"/>
              <w:pBdr/>
              <w:spacing/>
              <w:ind/>
              <w:rPr/>
            </w:pPr>
            <w:r>
              <w:t xml:space="preserve">11 jugadores por equipo.</w:t>
            </w:r>
            <w:r/>
          </w:p>
        </w:tc>
      </w:tr>
      <w:tr>
        <w:trPr>
          <w:cantSplit/>
        </w:trPr>
        <w:tc>
          <w:tcPr>
            <w:shd w:val="clear" w:color="auto" w:fill="fafafc"/>
            <w:tcBorders/>
            <w:tcW w:w="1300" w:type="dxa"/>
          </w:tcPr>
          <w:p>
            <w:pPr>
              <w:pStyle w:val="731"/>
              <w:pBdr/>
              <w:spacing/>
              <w:ind/>
              <w:rPr/>
            </w:pPr>
            <w:r>
              <w:t xml:space="preserve">Infantil</w:t>
            </w:r>
            <w:r/>
          </w:p>
        </w:tc>
        <w:tc>
          <w:tcPr>
            <w:shd w:val="clear" w:color="auto" w:fill="fafafc"/>
            <w:tcBorders/>
            <w:tcW w:w="2200" w:type="dxa"/>
          </w:tcPr>
          <w:p>
            <w:pPr>
              <w:pStyle w:val="731"/>
              <w:pBdr/>
              <w:spacing/>
              <w:ind/>
              <w:rPr/>
            </w:pPr>
            <w:r>
              <w:t xml:space="preserve">Pre juvenil</w:t>
            </w:r>
            <w:r/>
          </w:p>
        </w:tc>
        <w:tc>
          <w:tcPr>
            <w:shd w:val="clear" w:color="auto" w:fill="fafafc"/>
            <w:tcBorders/>
            <w:tcW w:w="2400" w:type="dxa"/>
          </w:tcPr>
          <w:p>
            <w:pPr>
              <w:pStyle w:val="731"/>
              <w:pBdr/>
              <w:spacing/>
              <w:ind/>
              <w:rPr/>
            </w:pPr>
            <w:r>
              <w:t xml:space="preserve">2011–2012</w:t>
            </w:r>
            <w:r/>
          </w:p>
        </w:tc>
        <w:tc>
          <w:tcPr>
            <w:shd w:val="clear" w:color="auto" w:fill="fafafc"/>
            <w:tcBorders/>
            <w:tcW w:w="3504" w:type="dxa"/>
          </w:tcPr>
          <w:p>
            <w:pPr>
              <w:pStyle w:val="731"/>
              <w:pBdr/>
              <w:spacing/>
              <w:ind/>
              <w:rPr/>
            </w:pPr>
            <w:r>
              <w:t xml:space="preserve">11 jugadores por equipo.</w:t>
            </w:r>
            <w:r/>
          </w:p>
        </w:tc>
      </w:tr>
      <w:tr>
        <w:trPr>
          <w:cantSplit/>
        </w:trPr>
        <w:tc>
          <w:tcPr>
            <w:tcBorders/>
            <w:tcW w:w="1300" w:type="dxa"/>
          </w:tcPr>
          <w:p>
            <w:pPr>
              <w:pStyle w:val="731"/>
              <w:pBdr/>
              <w:spacing/>
              <w:ind/>
              <w:rPr/>
            </w:pPr>
            <w:r>
              <w:t xml:space="preserve">Femenil</w:t>
            </w:r>
            <w:r/>
          </w:p>
        </w:tc>
        <w:tc>
          <w:tcPr>
            <w:tcBorders/>
            <w:tcW w:w="2200" w:type="dxa"/>
          </w:tcPr>
          <w:p>
            <w:pPr>
              <w:pStyle w:val="731"/>
              <w:pBdr/>
              <w:spacing/>
              <w:ind/>
              <w:rPr/>
            </w:pPr>
            <w:r>
              <w:t xml:space="preserve">Femenil Libre</w:t>
            </w:r>
            <w:r/>
          </w:p>
        </w:tc>
        <w:tc>
          <w:tcPr>
            <w:tcBorders/>
            <w:tcW w:w="2400" w:type="dxa"/>
          </w:tcPr>
          <w:p>
            <w:pPr>
              <w:pStyle w:val="731"/>
              <w:pBdr/>
              <w:spacing/>
              <w:ind/>
              <w:rPr/>
            </w:pPr>
            <w:r>
              <w:t xml:space="preserve">No se indica</w:t>
            </w:r>
            <w:r/>
          </w:p>
        </w:tc>
        <w:tc>
          <w:tcPr>
            <w:tcBorders/>
            <w:tcW w:w="3504" w:type="dxa"/>
          </w:tcPr>
          <w:p>
            <w:pPr>
              <w:pStyle w:val="731"/>
              <w:pBdr/>
              <w:spacing/>
              <w:ind/>
              <w:rPr/>
            </w:pPr>
            <w:r/>
            <w:r/>
          </w:p>
        </w:tc>
      </w:tr>
      <w:tr>
        <w:trPr>
          <w:cantSplit/>
        </w:trPr>
        <w:tc>
          <w:tcPr>
            <w:shd w:val="clear" w:color="auto" w:fill="fafafc"/>
            <w:tcBorders/>
            <w:tcW w:w="1300" w:type="dxa"/>
          </w:tcPr>
          <w:p>
            <w:pPr>
              <w:pStyle w:val="731"/>
              <w:pBdr/>
              <w:spacing/>
              <w:ind/>
              <w:rPr/>
            </w:pPr>
            <w:r>
              <w:t xml:space="preserve">Femenil</w:t>
            </w:r>
            <w:r/>
          </w:p>
        </w:tc>
        <w:tc>
          <w:tcPr>
            <w:shd w:val="clear" w:color="auto" w:fill="fafafc"/>
            <w:tcBorders/>
            <w:tcW w:w="2200" w:type="dxa"/>
          </w:tcPr>
          <w:p>
            <w:pPr>
              <w:pStyle w:val="731"/>
              <w:pBdr/>
              <w:spacing/>
              <w:ind/>
              <w:rPr/>
            </w:pPr>
            <w:r>
              <w:t xml:space="preserve">Femenil</w:t>
            </w:r>
            <w:r/>
          </w:p>
        </w:tc>
        <w:tc>
          <w:tcPr>
            <w:shd w:val="clear" w:color="auto" w:fill="fafafc"/>
            <w:tcBorders/>
            <w:tcW w:w="2400" w:type="dxa"/>
          </w:tcPr>
          <w:p>
            <w:pPr>
              <w:pStyle w:val="731"/>
              <w:pBdr/>
              <w:spacing/>
              <w:ind/>
              <w:rPr/>
            </w:pPr>
            <w:r>
              <w:t xml:space="preserve">2012 o menores</w:t>
            </w:r>
            <w:r/>
          </w:p>
        </w:tc>
        <w:tc>
          <w:tcPr>
            <w:shd w:val="clear" w:color="auto" w:fill="fafafc"/>
            <w:tcBorders/>
            <w:tcW w:w="3504" w:type="dxa"/>
          </w:tcPr>
          <w:p>
            <w:pPr>
              <w:pStyle w:val="731"/>
              <w:pBdr/>
              <w:spacing/>
              <w:ind/>
              <w:rPr/>
            </w:pPr>
            <w:r/>
            <w:r/>
          </w:p>
        </w:tc>
      </w:tr>
    </w:tbl>
    <w:p>
      <w:pPr>
        <w:pBdr/>
        <w:spacing w:after="60" w:before="0"/>
        <w:ind/>
        <w:rPr/>
      </w:pPr>
      <w:r/>
      <w:r/>
    </w:p>
    <w:p>
      <w:pPr>
        <w:keepNext w:val="true"/>
        <w:pBdr/>
        <w:spacing/>
        <w:ind/>
        <w:rPr/>
      </w:pPr>
      <w:r>
        <w:t xml:space="preserve">Observaciones sobre las categorías:</w:t>
      </w:r>
      <w:r/>
    </w:p>
    <w:p>
      <w:pPr>
        <w:pStyle w:val="730"/>
        <w:numPr>
          <w:ilvl w:val="0"/>
          <w:numId w:val="1"/>
        </w:numPr>
        <w:pBdr/>
        <w:spacing/>
        <w:ind/>
        <w:rPr/>
      </w:pPr>
      <w:r>
        <w:rPr>
          <w:b/>
          <w:bCs/>
        </w:rPr>
        <w:t xml:space="preserve">Número de categorías.</w:t>
      </w:r>
      <w:r>
        <w:t xml:space="preserve"> En 2025–20</w:t>
      </w:r>
      <w:r>
        <w:t xml:space="preserve">26 hubo 25 categorías [REF-07, P13; REF-14]. Las convocatorias 2026–2027 nombran 25 (9 libres, 7 de veteranos, 7 infantiles y 2 femeniles), pero «Juvenil» aparece en las dos convocatorias; si es la misma categoría, serían 24. Total vigente para 2026–2027: </w:t>
      </w:r>
      <w:r>
        <w:rPr>
          <w:b/>
          <w:bCs/>
          <w:color w:val="9c4a00"/>
          <w:shd w:val="clear" w:color="auto" w:fill="fff2cc"/>
        </w:rPr>
        <w:t xml:space="preserve">[POR DEFINIR]</w:t>
      </w:r>
      <w:r>
        <w:t xml:space="preserve">. </w:t>
      </w:r>
      <w:r>
        <w:rPr>
          <w:b/>
          <w:bCs/>
        </w:rPr>
        <w:t xml:space="preserve">Impacto:</w:t>
      </w:r>
      <w:r>
        <w:t xml:space="preserve"> bajo, siempre que el Sistema no limite el número de categorías.</w:t>
      </w:r>
      <w:r/>
    </w:p>
    <w:p>
      <w:pPr>
        <w:pStyle w:val="730"/>
        <w:numPr>
          <w:ilvl w:val="0"/>
          <w:numId w:val="1"/>
        </w:numPr>
        <w:pBdr/>
        <w:spacing/>
        <w:ind/>
        <w:rPr/>
      </w:pPr>
      <w:r>
        <w:rPr>
          <w:b/>
          <w:bCs/>
        </w:rPr>
        <w:t xml:space="preserve">Discrepancia de edades.</w:t>
      </w:r>
      <w:r>
        <w:t xml:space="preserve"> El levantamiento indica que Dorado es para jugadores de 63 años o más </w:t>
      </w:r>
      <w:r>
        <w:t xml:space="preserve">y Premier para mayores de 65 [REF-07, P13]. La Convocatoria 2026–2027 establece Premier para nacidos en 1972 o antes, Dorado para 1963 o antes y Platino para 1959 o antes [REF-01, II]. Este ERS adopta la convocatoria por ser el documento normativo vigente.</w:t>
      </w:r>
      <w:r/>
    </w:p>
    <w:p>
      <w:pPr>
        <w:pStyle w:val="730"/>
        <w:numPr>
          <w:ilvl w:val="0"/>
          <w:numId w:val="1"/>
        </w:numPr>
        <w:pBdr/>
        <w:spacing/>
        <w:ind/>
        <w:rPr/>
      </w:pPr>
      <w:r>
        <w:rPr>
          <w:b/>
          <w:bCs/>
        </w:rPr>
        <w:t xml:space="preserve">Alineación en otras categorías.</w:t>
      </w:r>
      <w:r>
        <w:t xml:space="preserve"> En la rama infantil, los jugadores de categorías inferiores pueden alinear en la categoría inmediata superior [REF-02, II-d]. En veteranos, un jugador puede jugar en otra categoría de veteranos si su club la tiene [REF-01, II-i a II-m].</w:t>
      </w:r>
      <w:r/>
    </w:p>
    <w:p>
      <w:pPr>
        <w:pStyle w:val="725"/>
        <w:pBdr/>
        <w:spacing/>
        <w:ind/>
        <w:rPr/>
      </w:pPr>
      <w:r/>
      <w:bookmarkStart w:id="20" w:name="_Toc100020"/>
      <w:r>
        <w:t xml:space="preserve">1.3.4 Partidos, arbitraje y disciplina</w:t>
      </w:r>
      <w:bookmarkEnd w:id="20"/>
      <w:r/>
      <w:r/>
    </w:p>
    <w:p>
      <w:pPr>
        <w:pStyle w:val="732"/>
        <w:keepNext w:val="true"/>
        <w:pBdr/>
        <w:spacing/>
        <w:ind/>
        <w:rPr/>
      </w:pPr>
      <w:r>
        <w:rPr>
          <w:b/>
          <w:bCs/>
          <w:color w:val="241a61"/>
          <w:sz w:val="18"/>
          <w:szCs w:val="18"/>
        </w:rPr>
        <w:t xml:space="preserve">Tabla 12. </w:t>
      </w:r>
      <w:r>
        <w:rPr>
          <w:sz w:val="18"/>
          <w:szCs w:val="18"/>
        </w:rPr>
        <w:t xml:space="preserve">Términos de partidos, arbitraje y disciplina.</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000"/>
        <w:gridCol w:w="5404"/>
        <w:gridCol w:w="2000"/>
      </w:tblGrid>
      <w:tr>
        <w:trPr>
          <w:cantSplit/>
          <w:tblHeader/>
        </w:trPr>
        <w:tc>
          <w:tcPr>
            <w:shd w:val="clear" w:color="auto" w:fill="241a61"/>
            <w:tcBorders/>
            <w:tcW w:w="2000" w:type="dxa"/>
            <w:vAlign w:val="center"/>
          </w:tcPr>
          <w:p>
            <w:pPr>
              <w:pStyle w:val="731"/>
              <w:pBdr/>
              <w:spacing/>
              <w:ind/>
              <w:rPr/>
            </w:pPr>
            <w:r>
              <w:rPr>
                <w:b/>
                <w:bCs/>
                <w:color w:val="ffffff"/>
              </w:rPr>
              <w:t xml:space="preserve">Término</w:t>
            </w:r>
            <w:r/>
          </w:p>
        </w:tc>
        <w:tc>
          <w:tcPr>
            <w:shd w:val="clear" w:color="auto" w:fill="241a61"/>
            <w:tcBorders/>
            <w:tcW w:w="5404" w:type="dxa"/>
            <w:vAlign w:val="center"/>
          </w:tcPr>
          <w:p>
            <w:pPr>
              <w:pStyle w:val="731"/>
              <w:pBdr/>
              <w:spacing/>
              <w:ind/>
              <w:rPr/>
            </w:pPr>
            <w:r>
              <w:rPr>
                <w:b/>
                <w:bCs/>
                <w:color w:val="ffffff"/>
              </w:rPr>
              <w:t xml:space="preserve">Definición</w:t>
            </w:r>
            <w:r/>
          </w:p>
        </w:tc>
        <w:tc>
          <w:tcPr>
            <w:shd w:val="clear" w:color="auto" w:fill="241a61"/>
            <w:tcBorders/>
            <w:tcW w:w="2000" w:type="dxa"/>
            <w:vAlign w:val="center"/>
          </w:tcPr>
          <w:p>
            <w:pPr>
              <w:pStyle w:val="731"/>
              <w:pBdr/>
              <w:spacing/>
              <w:ind/>
              <w:rPr/>
            </w:pPr>
            <w:r>
              <w:rPr>
                <w:b/>
                <w:bCs/>
                <w:color w:val="ffffff"/>
              </w:rPr>
              <w:t xml:space="preserve">Fuente</w:t>
            </w:r>
            <w:r/>
          </w:p>
        </w:tc>
      </w:tr>
      <w:tr>
        <w:trPr>
          <w:cantSplit/>
        </w:trPr>
        <w:tc>
          <w:tcPr>
            <w:tcBorders/>
            <w:tcW w:w="2000" w:type="dxa"/>
          </w:tcPr>
          <w:p>
            <w:pPr>
              <w:pStyle w:val="731"/>
              <w:pBdr/>
              <w:spacing/>
              <w:ind/>
              <w:rPr/>
            </w:pPr>
            <w:r>
              <w:t xml:space="preserve">Cancha</w:t>
            </w:r>
            <w:r/>
          </w:p>
        </w:tc>
        <w:tc>
          <w:tcPr>
            <w:tcBorders/>
            <w:tcW w:w="5404" w:type="dxa"/>
          </w:tcPr>
          <w:p>
            <w:pPr>
              <w:pStyle w:val="731"/>
              <w:pBdr/>
              <w:spacing/>
              <w:ind/>
              <w:rPr/>
            </w:pPr>
            <w:r>
              <w:t xml:space="preserve">Campo de juego donde se disputa un partido. En la U.D.C. se identifica por número (por ejemplo, las canchas 1, 7–13, 16, 17 y 20 de la programación del 03/10/2026) y algunas tienen nombre, como «Félix Cerda Loza».</w:t>
            </w:r>
            <w:r/>
          </w:p>
        </w:tc>
        <w:tc>
          <w:tcPr>
            <w:tcBorders/>
            <w:tcW w:w="2000" w:type="dxa"/>
          </w:tcPr>
          <w:p>
            <w:pPr>
              <w:pStyle w:val="731"/>
              <w:pBdr/>
              <w:spacing/>
              <w:ind/>
              <w:rPr/>
            </w:pPr>
            <w:r>
              <w:t xml:space="preserve">REF-03; REF-15</w:t>
            </w:r>
            <w:r/>
          </w:p>
        </w:tc>
      </w:tr>
      <w:tr>
        <w:trPr>
          <w:cantSplit/>
        </w:trPr>
        <w:tc>
          <w:tcPr>
            <w:shd w:val="clear" w:color="auto" w:fill="fafafc"/>
            <w:tcBorders/>
            <w:tcW w:w="2000" w:type="dxa"/>
          </w:tcPr>
          <w:p>
            <w:pPr>
              <w:pStyle w:val="731"/>
              <w:pBdr/>
              <w:spacing/>
              <w:ind/>
              <w:rPr/>
            </w:pPr>
            <w:r>
              <w:t xml:space="preserve">Cancha alterna o foránea</w:t>
            </w:r>
            <w:r/>
          </w:p>
        </w:tc>
        <w:tc>
          <w:tcPr>
            <w:shd w:val="clear" w:color="auto" w:fill="fafafc"/>
            <w:tcBorders/>
            <w:tcW w:w="5404" w:type="dxa"/>
          </w:tcPr>
          <w:p>
            <w:pPr>
              <w:pStyle w:val="731"/>
              <w:pBdr/>
              <w:spacing/>
              <w:ind/>
              <w:rPr/>
            </w:pPr>
            <w:r>
              <w:t xml:space="preserve">Cancha fuera de la U.D.C.: de clubes o en otras localidades.</w:t>
            </w:r>
            <w:r/>
          </w:p>
        </w:tc>
        <w:tc>
          <w:tcPr>
            <w:shd w:val="clear" w:color="auto" w:fill="fafafc"/>
            <w:tcBorders/>
            <w:tcW w:w="2000" w:type="dxa"/>
          </w:tcPr>
          <w:p>
            <w:pPr>
              <w:pStyle w:val="731"/>
              <w:pBdr/>
              <w:spacing/>
              <w:ind/>
              <w:rPr/>
            </w:pPr>
            <w:r>
              <w:t xml:space="preserve">REF-07, P19; REF-01, X-e</w:t>
            </w:r>
            <w:r/>
          </w:p>
        </w:tc>
      </w:tr>
      <w:tr>
        <w:trPr>
          <w:cantSplit/>
        </w:trPr>
        <w:tc>
          <w:tcPr>
            <w:tcBorders/>
            <w:tcW w:w="2000" w:type="dxa"/>
          </w:tcPr>
          <w:p>
            <w:pPr>
              <w:pStyle w:val="731"/>
              <w:pBdr/>
              <w:spacing/>
              <w:ind/>
              <w:rPr/>
            </w:pPr>
            <w:r>
              <w:t xml:space="preserve">Árbitro (silbante)</w:t>
            </w:r>
            <w:r/>
          </w:p>
        </w:tc>
        <w:tc>
          <w:tcPr>
            <w:tcBorders/>
            <w:tcW w:w="5404" w:type="dxa"/>
          </w:tcPr>
          <w:p>
            <w:pPr>
              <w:pStyle w:val="731"/>
              <w:pBdr/>
              <w:spacing/>
              <w:ind/>
              <w:rPr/>
            </w:pPr>
            <w:r>
              <w:t xml:space="preserve">Persona que dirige el partido. La Liga no emplea árbitros: contrata colegios de arbitraje independientes de la región.</w:t>
            </w:r>
            <w:r/>
          </w:p>
        </w:tc>
        <w:tc>
          <w:tcPr>
            <w:tcBorders/>
            <w:tcW w:w="2000" w:type="dxa"/>
          </w:tcPr>
          <w:p>
            <w:pPr>
              <w:pStyle w:val="731"/>
              <w:pBdr/>
              <w:spacing/>
              <w:ind/>
              <w:rPr/>
            </w:pPr>
            <w:r>
              <w:t xml:space="preserve">REF-07, P18</w:t>
            </w:r>
            <w:r/>
          </w:p>
        </w:tc>
      </w:tr>
      <w:tr>
        <w:trPr>
          <w:cantSplit/>
        </w:trPr>
        <w:tc>
          <w:tcPr>
            <w:shd w:val="clear" w:color="auto" w:fill="fafafc"/>
            <w:tcBorders/>
            <w:tcW w:w="2000" w:type="dxa"/>
          </w:tcPr>
          <w:p>
            <w:pPr>
              <w:pStyle w:val="731"/>
              <w:pBdr/>
              <w:spacing/>
              <w:ind/>
              <w:rPr/>
            </w:pPr>
            <w:r>
              <w:t xml:space="preserve">Colegio de árbitros</w:t>
            </w:r>
            <w:r/>
          </w:p>
        </w:tc>
        <w:tc>
          <w:tcPr>
            <w:shd w:val="clear" w:color="auto" w:fill="fafafc"/>
            <w:tcBorders/>
            <w:tcW w:w="5404" w:type="dxa"/>
          </w:tcPr>
          <w:p>
            <w:pPr>
              <w:pStyle w:val="731"/>
              <w:pBdr/>
              <w:spacing/>
              <w:ind/>
              <w:rPr/>
            </w:pPr>
            <w:r>
              <w:t xml:space="preserve">Organización independiente que provee árbitros a la Liga. Recolecta las cédulas de sus árbitros y las entrega en las oficinas de la Liga.</w:t>
            </w:r>
            <w:r/>
          </w:p>
        </w:tc>
        <w:tc>
          <w:tcPr>
            <w:shd w:val="clear" w:color="auto" w:fill="fafafc"/>
            <w:tcBorders/>
            <w:tcW w:w="2000" w:type="dxa"/>
          </w:tcPr>
          <w:p>
            <w:pPr>
              <w:pStyle w:val="731"/>
              <w:pBdr/>
              <w:spacing/>
              <w:ind/>
              <w:rPr/>
            </w:pPr>
            <w:r>
              <w:t xml:space="preserve">REF-07, P18–P19</w:t>
            </w:r>
            <w:r/>
          </w:p>
        </w:tc>
      </w:tr>
      <w:tr>
        <w:trPr>
          <w:cantSplit/>
        </w:trPr>
        <w:tc>
          <w:tcPr>
            <w:tcBorders/>
            <w:tcW w:w="2000" w:type="dxa"/>
          </w:tcPr>
          <w:p>
            <w:pPr>
              <w:pStyle w:val="731"/>
              <w:pBdr/>
              <w:spacing/>
              <w:ind/>
              <w:rPr/>
            </w:pPr>
            <w:r>
              <w:t xml:space="preserve">Cuerpo arbitral (terna)</w:t>
            </w:r>
            <w:r/>
          </w:p>
        </w:tc>
        <w:tc>
          <w:tcPr>
            <w:tcBorders/>
            <w:tcW w:w="5404" w:type="dxa"/>
          </w:tcPr>
          <w:p>
            <w:pPr>
              <w:pStyle w:val="731"/>
              <w:pBdr/>
              <w:spacing/>
              <w:ind/>
              <w:rPr/>
            </w:pPr>
            <w:r>
              <w:t xml:space="preserve">Árbitro central y, cuando hay terna, sus asistentes.</w:t>
            </w:r>
            <w:r/>
          </w:p>
        </w:tc>
        <w:tc>
          <w:tcPr>
            <w:tcBorders/>
            <w:tcW w:w="2000" w:type="dxa"/>
          </w:tcPr>
          <w:p>
            <w:pPr>
              <w:pStyle w:val="731"/>
              <w:pBdr/>
              <w:spacing/>
              <w:ind/>
              <w:rPr/>
            </w:pPr>
            <w:r>
              <w:t xml:space="preserve">REF-07, P19</w:t>
            </w:r>
            <w:r/>
          </w:p>
        </w:tc>
      </w:tr>
      <w:tr>
        <w:trPr>
          <w:cantSplit/>
        </w:trPr>
        <w:tc>
          <w:tcPr>
            <w:shd w:val="clear" w:color="auto" w:fill="fafafc"/>
            <w:tcBorders/>
            <w:tcW w:w="2000" w:type="dxa"/>
          </w:tcPr>
          <w:p>
            <w:pPr>
              <w:pStyle w:val="731"/>
              <w:pBdr/>
              <w:spacing/>
              <w:ind/>
              <w:rPr/>
            </w:pPr>
            <w:r>
              <w:t xml:space="preserve">Árbitro titular y suplente del club</w:t>
            </w:r>
            <w:r/>
          </w:p>
        </w:tc>
        <w:tc>
          <w:tcPr>
            <w:shd w:val="clear" w:color="auto" w:fill="fafafc"/>
            <w:tcBorders/>
            <w:tcW w:w="5404" w:type="dxa"/>
          </w:tcPr>
          <w:p>
            <w:pPr>
              <w:pStyle w:val="731"/>
              <w:pBdr/>
              <w:spacing/>
              <w:ind/>
              <w:rPr/>
            </w:pPr>
            <w:r>
              <w:t xml:space="preserve">Árbitros qu</w:t>
            </w:r>
            <w:r>
              <w:t xml:space="preserve">e cada club debe registrar. Deben presentar acta de nacimiento y constancia del colegio de árbitros, con edad máxima de 35 años. Los clubes con más de 5 fuerzas deben presentar un árbitro adicional menor de 20 años. Relación con los colegios de arbitraje: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REF-01, I-f y IX-e</w:t>
            </w:r>
            <w:r/>
          </w:p>
        </w:tc>
      </w:tr>
      <w:tr>
        <w:trPr>
          <w:cantSplit/>
        </w:trPr>
        <w:tc>
          <w:tcPr>
            <w:tcBorders/>
            <w:tcW w:w="2000" w:type="dxa"/>
          </w:tcPr>
          <w:p>
            <w:pPr>
              <w:pStyle w:val="731"/>
              <w:pBdr/>
              <w:spacing/>
              <w:ind/>
              <w:rPr/>
            </w:pPr>
            <w:r>
              <w:t xml:space="preserve">Mesa del árbitro (mesa técnica)</w:t>
            </w:r>
            <w:r/>
          </w:p>
        </w:tc>
        <w:tc>
          <w:tcPr>
            <w:tcBorders/>
            <w:tcW w:w="5404" w:type="dxa"/>
          </w:tcPr>
          <w:p>
            <w:pPr>
              <w:pStyle w:val="731"/>
              <w:pBdr/>
              <w:spacing/>
              <w:ind/>
              <w:rPr/>
            </w:pPr>
            <w:r>
              <w:t xml:space="preserve">Mesa junto a la cancha donde se registran los jugadores antes del partido y se cierra la cédula.</w:t>
            </w:r>
            <w:r/>
          </w:p>
        </w:tc>
        <w:tc>
          <w:tcPr>
            <w:tcBorders/>
            <w:tcW w:w="2000" w:type="dxa"/>
          </w:tcPr>
          <w:p>
            <w:pPr>
              <w:pStyle w:val="731"/>
              <w:pBdr/>
              <w:spacing/>
              <w:ind/>
              <w:rPr/>
            </w:pPr>
            <w:r>
              <w:t xml:space="preserve">REF-07, P19</w:t>
            </w:r>
            <w:r/>
          </w:p>
        </w:tc>
      </w:tr>
      <w:tr>
        <w:trPr>
          <w:cantSplit/>
        </w:trPr>
        <w:tc>
          <w:tcPr>
            <w:shd w:val="clear" w:color="auto" w:fill="fafafc"/>
            <w:tcBorders/>
            <w:tcW w:w="2000" w:type="dxa"/>
          </w:tcPr>
          <w:p>
            <w:pPr>
              <w:pStyle w:val="731"/>
              <w:pBdr/>
              <w:spacing/>
              <w:ind/>
              <w:rPr/>
            </w:pPr>
            <w:r>
              <w:t xml:space="preserve">Cédula arbitral (cédula de juego)</w:t>
            </w:r>
            <w:r/>
          </w:p>
        </w:tc>
        <w:tc>
          <w:tcPr>
            <w:shd w:val="clear" w:color="auto" w:fill="fafafc"/>
            <w:tcBorders/>
            <w:tcW w:w="5404" w:type="dxa"/>
          </w:tcPr>
          <w:p>
            <w:pPr>
              <w:pStyle w:val="731"/>
              <w:pBdr/>
              <w:spacing/>
              <w:ind/>
              <w:rPr/>
            </w:pPr>
            <w:r>
              <w:t xml:space="preserve">Formato en papel autocopiante. Antes del partido se anotan los jugadores titulares y suplentes (nombre, número de camiseta y número </w:t>
            </w:r>
            <w:r>
              <w:t xml:space="preserve">de credencial); al final, el marcador, los goleadores, las tarjetas con el motivo de las expulsiones y observaciones sobre las porras o el estado de la cancha. La firman el árbitro y los capitanes; el original queda al árbitro y las copias a los delegados.</w:t>
            </w:r>
            <w:r/>
          </w:p>
        </w:tc>
        <w:tc>
          <w:tcPr>
            <w:shd w:val="clear" w:color="auto" w:fill="fafafc"/>
            <w:tcBorders/>
            <w:tcW w:w="2000" w:type="dxa"/>
          </w:tcPr>
          <w:p>
            <w:pPr>
              <w:pStyle w:val="731"/>
              <w:pBdr/>
              <w:spacing/>
              <w:ind/>
              <w:rPr/>
            </w:pPr>
            <w:r>
              <w:t xml:space="preserve">REF-07, P19</w:t>
            </w:r>
            <w:r/>
          </w:p>
        </w:tc>
      </w:tr>
      <w:tr>
        <w:trPr>
          <w:cantSplit/>
        </w:trPr>
        <w:tc>
          <w:tcPr>
            <w:tcBorders/>
            <w:tcW w:w="2000" w:type="dxa"/>
          </w:tcPr>
          <w:p>
            <w:pPr>
              <w:pStyle w:val="731"/>
              <w:pBdr/>
              <w:spacing/>
              <w:ind/>
              <w:rPr/>
            </w:pPr>
            <w:r>
              <w:t xml:space="preserve">Reporte arbitral</w:t>
            </w:r>
            <w:r/>
          </w:p>
        </w:tc>
        <w:tc>
          <w:tcPr>
            <w:tcBorders/>
            <w:tcW w:w="5404" w:type="dxa"/>
          </w:tcPr>
          <w:p>
            <w:pPr>
              <w:pStyle w:val="731"/>
              <w:pBdr/>
              <w:spacing/>
              <w:ind/>
              <w:rPr/>
            </w:pPr>
            <w:r>
              <w:t xml:space="preserve">Informe del cuerpo arbitral que se entrega junto con la cédula. Contenido distinto al de la cédula: </w:t>
            </w:r>
            <w:r>
              <w:rPr>
                <w:b/>
                <w:bCs/>
                <w:color w:val="9c4a00"/>
                <w:shd w:val="clear" w:color="auto" w:fill="fff2cc"/>
              </w:rPr>
              <w:t xml:space="preserve">[POR DEFINIR]</w:t>
            </w:r>
            <w:r>
              <w:t xml:space="preserve">.</w:t>
            </w:r>
            <w:r/>
          </w:p>
        </w:tc>
        <w:tc>
          <w:tcPr>
            <w:tcBorders/>
            <w:tcW w:w="2000" w:type="dxa"/>
          </w:tcPr>
          <w:p>
            <w:pPr>
              <w:pStyle w:val="731"/>
              <w:pBdr/>
              <w:spacing/>
              <w:ind/>
              <w:rPr/>
            </w:pPr>
            <w:r>
              <w:t xml:space="preserve">REF-07, P18</w:t>
            </w:r>
            <w:r/>
          </w:p>
        </w:tc>
      </w:tr>
      <w:tr>
        <w:trPr>
          <w:cantSplit/>
        </w:trPr>
        <w:tc>
          <w:tcPr>
            <w:shd w:val="clear" w:color="auto" w:fill="fafafc"/>
            <w:tcBorders/>
            <w:tcW w:w="2000" w:type="dxa"/>
          </w:tcPr>
          <w:p>
            <w:pPr>
              <w:pStyle w:val="731"/>
              <w:pBdr/>
              <w:spacing/>
              <w:ind/>
              <w:rPr/>
            </w:pPr>
            <w:r>
              <w:t xml:space="preserve">Credencial</w:t>
            </w:r>
            <w:r/>
          </w:p>
        </w:tc>
        <w:tc>
          <w:tcPr>
            <w:shd w:val="clear" w:color="auto" w:fill="fafafc"/>
            <w:tcBorders/>
            <w:tcW w:w="5404" w:type="dxa"/>
          </w:tcPr>
          <w:p>
            <w:pPr>
              <w:pStyle w:val="731"/>
              <w:pBdr/>
              <w:spacing/>
              <w:ind/>
              <w:rPr/>
            </w:pPr>
            <w:r>
              <w:t xml:space="preserve">Identificación física del jugador emitida por la Liga, con número de credencial, que el árbitro coteja antes del partido. Los delegados recogen las credenciales selladas. Relación con el registro de jugador: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REF-07, P13 y P19</w:t>
            </w:r>
            <w:r/>
          </w:p>
        </w:tc>
      </w:tr>
      <w:tr>
        <w:trPr>
          <w:cantSplit/>
        </w:trPr>
        <w:tc>
          <w:tcPr>
            <w:tcBorders/>
            <w:tcW w:w="2000" w:type="dxa"/>
          </w:tcPr>
          <w:p>
            <w:pPr>
              <w:pStyle w:val="731"/>
              <w:pBdr/>
              <w:spacing/>
              <w:ind/>
              <w:rPr/>
            </w:pPr>
            <w:r>
              <w:t xml:space="preserve">Registro de jugador</w:t>
            </w:r>
            <w:r/>
          </w:p>
        </w:tc>
        <w:tc>
          <w:tcPr>
            <w:tcBorders/>
            <w:tcW w:w="5404" w:type="dxa"/>
          </w:tcPr>
          <w:p>
            <w:pPr>
              <w:pStyle w:val="731"/>
              <w:pBdr/>
              <w:spacing/>
              <w:ind/>
              <w:rPr/>
            </w:pPr>
            <w:r>
              <w:t xml:space="preserve">Inscripción de un jugador en una categoría de un club para la temporada. Se llena a máquina, con fotografías y documentos que acreditan identidad y fecha de nacimiento (por ejemplo, acta de nacimiento, CURP e identificación).</w:t>
            </w:r>
            <w:r/>
          </w:p>
        </w:tc>
        <w:tc>
          <w:tcPr>
            <w:tcBorders/>
            <w:tcW w:w="2000" w:type="dxa"/>
          </w:tcPr>
          <w:p>
            <w:pPr>
              <w:pStyle w:val="731"/>
              <w:pBdr/>
              <w:spacing/>
              <w:ind/>
              <w:rPr/>
            </w:pPr>
            <w:r>
              <w:t xml:space="preserve">REF-01, II; REF-02, II</w:t>
            </w:r>
            <w:r/>
          </w:p>
        </w:tc>
      </w:tr>
      <w:tr>
        <w:trPr>
          <w:cantSplit/>
        </w:trPr>
        <w:tc>
          <w:tcPr>
            <w:shd w:val="clear" w:color="auto" w:fill="fafafc"/>
            <w:tcBorders/>
            <w:tcW w:w="2000" w:type="dxa"/>
          </w:tcPr>
          <w:p>
            <w:pPr>
              <w:pStyle w:val="731"/>
              <w:pBdr/>
              <w:spacing/>
              <w:ind/>
              <w:rPr/>
            </w:pPr>
            <w:r>
              <w:t xml:space="preserve">Tarjetón de inscripción</w:t>
            </w:r>
            <w:r/>
          </w:p>
        </w:tc>
        <w:tc>
          <w:tcPr>
            <w:shd w:val="clear" w:color="auto" w:fill="fafafc"/>
            <w:tcBorders/>
            <w:tcW w:w="5404" w:type="dxa"/>
          </w:tcPr>
          <w:p>
            <w:pPr>
              <w:pStyle w:val="731"/>
              <w:pBdr/>
              <w:spacing/>
              <w:ind/>
              <w:rPr/>
            </w:pPr>
            <w:r>
              <w:t xml:space="preserve">Formato con los datos generales del club, llenado a máquina y firmado por su directiva, para inscribir al club.</w:t>
            </w:r>
            <w:r/>
          </w:p>
        </w:tc>
        <w:tc>
          <w:tcPr>
            <w:shd w:val="clear" w:color="auto" w:fill="fafafc"/>
            <w:tcBorders/>
            <w:tcW w:w="2000" w:type="dxa"/>
          </w:tcPr>
          <w:p>
            <w:pPr>
              <w:pStyle w:val="731"/>
              <w:pBdr/>
              <w:spacing/>
              <w:ind/>
              <w:rPr/>
            </w:pPr>
            <w:r>
              <w:t xml:space="preserve">REF-01, I-b; REF-02, I-b</w:t>
            </w:r>
            <w:r/>
          </w:p>
        </w:tc>
      </w:tr>
      <w:tr>
        <w:trPr>
          <w:cantSplit/>
        </w:trPr>
        <w:tc>
          <w:tcPr>
            <w:tcBorders/>
            <w:tcW w:w="2000" w:type="dxa"/>
          </w:tcPr>
          <w:p>
            <w:pPr>
              <w:pStyle w:val="731"/>
              <w:pBdr/>
              <w:spacing/>
              <w:ind/>
              <w:rPr/>
            </w:pPr>
            <w:r>
              <w:t xml:space="preserve">Incidencia</w:t>
            </w:r>
            <w:r/>
          </w:p>
        </w:tc>
        <w:tc>
          <w:tcPr>
            <w:tcBorders/>
            <w:tcW w:w="5404" w:type="dxa"/>
          </w:tcPr>
          <w:p>
            <w:pPr>
              <w:pStyle w:val="731"/>
              <w:pBdr/>
              <w:spacing/>
              <w:ind/>
              <w:rPr/>
            </w:pPr>
            <w:r>
              <w:t xml:space="preserve">Hecho relevante registrado en la cédula: gol, tarjeta amarilla, tarjeta roja (directa o por doble amonestación) u observaciones de conducta o de la cancha.</w:t>
            </w:r>
            <w:r/>
          </w:p>
        </w:tc>
        <w:tc>
          <w:tcPr>
            <w:tcBorders/>
            <w:tcW w:w="2000" w:type="dxa"/>
          </w:tcPr>
          <w:p>
            <w:pPr>
              <w:pStyle w:val="731"/>
              <w:pBdr/>
              <w:spacing/>
              <w:ind/>
              <w:rPr/>
            </w:pPr>
            <w:r>
              <w:t xml:space="preserve">REF-07, P19</w:t>
            </w:r>
            <w:r/>
          </w:p>
        </w:tc>
      </w:tr>
      <w:tr>
        <w:trPr>
          <w:cantSplit/>
        </w:trPr>
        <w:tc>
          <w:tcPr>
            <w:shd w:val="clear" w:color="auto" w:fill="fafafc"/>
            <w:tcBorders/>
            <w:tcW w:w="2000" w:type="dxa"/>
          </w:tcPr>
          <w:p>
            <w:pPr>
              <w:pStyle w:val="731"/>
              <w:pBdr/>
              <w:spacing/>
              <w:ind/>
              <w:rPr/>
            </w:pPr>
            <w:r>
              <w:t xml:space="preserve">Suspensión</w:t>
            </w:r>
            <w:r/>
          </w:p>
        </w:tc>
        <w:tc>
          <w:tcPr>
            <w:shd w:val="clear" w:color="auto" w:fill="fafafc"/>
            <w:tcBorders/>
            <w:tcW w:w="5404" w:type="dxa"/>
          </w:tcPr>
          <w:p>
            <w:pPr>
              <w:pStyle w:val="731"/>
              <w:pBdr/>
              <w:spacing/>
              <w:ind/>
              <w:rPr/>
            </w:pPr>
            <w:r>
              <w:t xml:space="preserve">Sanción que impide a un jugador participar durante un número de partidos. La dictamina el Tribunal de Penas con base en el reglamento interno.</w:t>
            </w:r>
            <w:r/>
          </w:p>
        </w:tc>
        <w:tc>
          <w:tcPr>
            <w:shd w:val="clear" w:color="auto" w:fill="fafafc"/>
            <w:tcBorders/>
            <w:tcW w:w="2000" w:type="dxa"/>
          </w:tcPr>
          <w:p>
            <w:pPr>
              <w:pStyle w:val="731"/>
              <w:pBdr/>
              <w:spacing/>
              <w:ind/>
              <w:rPr/>
            </w:pPr>
            <w:r>
              <w:t xml:space="preserve">REF-07, P19</w:t>
            </w:r>
            <w:r/>
          </w:p>
        </w:tc>
      </w:tr>
      <w:tr>
        <w:trPr>
          <w:cantSplit/>
        </w:trPr>
        <w:tc>
          <w:tcPr>
            <w:tcBorders/>
            <w:tcW w:w="2000" w:type="dxa"/>
          </w:tcPr>
          <w:p>
            <w:pPr>
              <w:pStyle w:val="731"/>
              <w:pBdr/>
              <w:spacing/>
              <w:ind/>
              <w:rPr/>
            </w:pPr>
            <w:r>
              <w:t xml:space="preserve">Castigados (boletín de castigados)</w:t>
            </w:r>
            <w:r/>
          </w:p>
        </w:tc>
        <w:tc>
          <w:tcPr>
            <w:tcBorders/>
            <w:tcW w:w="5404" w:type="dxa"/>
          </w:tcPr>
          <w:p>
            <w:pPr>
              <w:pStyle w:val="731"/>
              <w:pBdr/>
              <w:spacing/>
              <w:ind/>
              <w:rPr/>
            </w:pPr>
            <w:r>
              <w:t xml:space="preserve">Lista oficial semanal de jugadores sancionados y sus partidos de suspensión. Hoy se publica en Facebook.</w:t>
            </w:r>
            <w:r/>
          </w:p>
        </w:tc>
        <w:tc>
          <w:tcPr>
            <w:tcBorders/>
            <w:tcW w:w="2000" w:type="dxa"/>
          </w:tcPr>
          <w:p>
            <w:pPr>
              <w:pStyle w:val="731"/>
              <w:pBdr/>
              <w:spacing/>
              <w:ind/>
              <w:rPr/>
            </w:pPr>
            <w:r>
              <w:t xml:space="preserve">REF-07, P18–P19</w:t>
            </w:r>
            <w:r/>
          </w:p>
        </w:tc>
      </w:tr>
      <w:tr>
        <w:trPr>
          <w:cantSplit/>
        </w:trPr>
        <w:tc>
          <w:tcPr>
            <w:shd w:val="clear" w:color="auto" w:fill="fafafc"/>
            <w:tcBorders/>
            <w:tcW w:w="2000" w:type="dxa"/>
          </w:tcPr>
          <w:p>
            <w:pPr>
              <w:pStyle w:val="731"/>
              <w:pBdr/>
              <w:spacing/>
              <w:ind/>
              <w:rPr/>
            </w:pPr>
            <w:r>
              <w:t xml:space="preserve">Recurso e inconformidad</w:t>
            </w:r>
            <w:r/>
          </w:p>
        </w:tc>
        <w:tc>
          <w:tcPr>
            <w:shd w:val="clear" w:color="auto" w:fill="fafafc"/>
            <w:tcBorders/>
            <w:tcW w:w="5404" w:type="dxa"/>
          </w:tcPr>
          <w:p>
            <w:pPr>
              <w:pStyle w:val="731"/>
              <w:pBdr/>
              <w:spacing/>
              <w:ind/>
              <w:rPr/>
            </w:pPr>
            <w:r>
              <w:t xml:space="preserve">Medios para impugnar una sanción o un resultado. No se pudo confirmar si son el mismo trámite ni su procedimiento: </w:t>
            </w:r>
            <w:r>
              <w:rPr>
                <w:b/>
                <w:bCs/>
                <w:color w:val="9c4a00"/>
                <w:shd w:val="clear" w:color="auto" w:fill="fff2cc"/>
              </w:rPr>
              <w:t xml:space="preserve">[POR DEFINIR]</w:t>
            </w:r>
            <w:r>
              <w:t xml:space="preserve"> (requiere el reglamento interno).</w:t>
            </w:r>
            <w:r/>
          </w:p>
        </w:tc>
        <w:tc>
          <w:tcPr>
            <w:shd w:val="clear" w:color="auto" w:fill="fafafc"/>
            <w:tcBorders/>
            <w:tcW w:w="2000" w:type="dxa"/>
          </w:tcPr>
          <w:p>
            <w:pPr>
              <w:pStyle w:val="731"/>
              <w:pBdr/>
              <w:spacing/>
              <w:ind/>
              <w:rPr/>
            </w:pPr>
            <w:r>
              <w:t xml:space="preserve">REF-06, diap. 5 y 22</w:t>
            </w:r>
            <w:r/>
          </w:p>
        </w:tc>
      </w:tr>
      <w:tr>
        <w:trPr>
          <w:cantSplit/>
        </w:trPr>
        <w:tc>
          <w:tcPr>
            <w:tcBorders/>
            <w:tcW w:w="2000" w:type="dxa"/>
          </w:tcPr>
          <w:p>
            <w:pPr>
              <w:pStyle w:val="731"/>
              <w:pBdr/>
              <w:spacing/>
              <w:ind/>
              <w:rPr/>
            </w:pPr>
            <w:r>
              <w:t xml:space="preserve">Expediente</w:t>
            </w:r>
            <w:r/>
          </w:p>
        </w:tc>
        <w:tc>
          <w:tcPr>
            <w:tcBorders/>
            <w:tcW w:w="5404" w:type="dxa"/>
          </w:tcPr>
          <w:p>
            <w:pPr>
              <w:pStyle w:val="731"/>
              <w:pBdr/>
              <w:spacing/>
              <w:ind/>
              <w:rPr/>
            </w:pPr>
            <w:r>
              <w:t xml:space="preserve">Conjunto de actuaciones de un caso disciplinario, propuesto en el documento base. Uso en la Liga: </w:t>
            </w:r>
            <w:r>
              <w:rPr>
                <w:b/>
                <w:bCs/>
                <w:color w:val="9c4a00"/>
                <w:shd w:val="clear" w:color="auto" w:fill="fff2cc"/>
              </w:rPr>
              <w:t xml:space="preserve">[POR DEFINIR]</w:t>
            </w:r>
            <w:r>
              <w:t xml:space="preserve">.</w:t>
            </w:r>
            <w:r/>
          </w:p>
        </w:tc>
        <w:tc>
          <w:tcPr>
            <w:tcBorders/>
            <w:tcW w:w="2000" w:type="dxa"/>
          </w:tcPr>
          <w:p>
            <w:pPr>
              <w:pStyle w:val="731"/>
              <w:pBdr/>
              <w:spacing/>
              <w:ind/>
              <w:rPr/>
            </w:pPr>
            <w:r>
              <w:t xml:space="preserve">REF-06, diap. 24</w:t>
            </w:r>
            <w:r/>
          </w:p>
        </w:tc>
      </w:tr>
      <w:tr>
        <w:trPr>
          <w:cantSplit/>
        </w:trPr>
        <w:tc>
          <w:tcPr>
            <w:shd w:val="clear" w:color="auto" w:fill="fafafc"/>
            <w:tcBorders/>
            <w:tcW w:w="2000" w:type="dxa"/>
          </w:tcPr>
          <w:p>
            <w:pPr>
              <w:pStyle w:val="731"/>
              <w:pBdr/>
              <w:spacing/>
              <w:ind/>
              <w:rPr/>
            </w:pPr>
            <w:r>
              <w:t xml:space="preserve">«Pendiente de jugar»</w:t>
            </w:r>
            <w:r/>
          </w:p>
        </w:tc>
        <w:tc>
          <w:tcPr>
            <w:shd w:val="clear" w:color="auto" w:fill="fafafc"/>
            <w:tcBorders/>
            <w:tcW w:w="5404" w:type="dxa"/>
          </w:tcPr>
          <w:p>
            <w:pPr>
              <w:pStyle w:val="731"/>
              <w:pBdr/>
              <w:spacing/>
              <w:ind/>
              <w:rPr/>
            </w:pPr>
            <w:r>
              <w:t xml:space="preserve">Anotación que aparece en programaciones publicadas por la prensa. Significado exacto: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REF-17</w:t>
            </w:r>
            <w:r/>
          </w:p>
        </w:tc>
      </w:tr>
      <w:tr>
        <w:trPr>
          <w:cantSplit/>
        </w:trPr>
        <w:tc>
          <w:tcPr>
            <w:tcBorders/>
            <w:tcW w:w="2000" w:type="dxa"/>
          </w:tcPr>
          <w:p>
            <w:pPr>
              <w:pStyle w:val="731"/>
              <w:pBdr/>
              <w:spacing/>
              <w:ind/>
              <w:rPr/>
            </w:pPr>
            <w:r>
              <w:t xml:space="preserve">Porra</w:t>
            </w:r>
            <w:r/>
          </w:p>
        </w:tc>
        <w:tc>
          <w:tcPr>
            <w:tcBorders/>
            <w:tcW w:w="5404" w:type="dxa"/>
          </w:tcPr>
          <w:p>
            <w:pPr>
              <w:pStyle w:val="731"/>
              <w:pBdr/>
              <w:spacing/>
              <w:ind/>
              <w:rPr/>
            </w:pPr>
            <w:r>
              <w:t xml:space="preserve">Grupo de aficionados de un equipo; su comportamiento puede anotarse en la cédula.</w:t>
            </w:r>
            <w:r/>
          </w:p>
        </w:tc>
        <w:tc>
          <w:tcPr>
            <w:tcBorders/>
            <w:tcW w:w="2000" w:type="dxa"/>
          </w:tcPr>
          <w:p>
            <w:pPr>
              <w:pStyle w:val="731"/>
              <w:pBdr/>
              <w:spacing/>
              <w:ind/>
              <w:rPr/>
            </w:pPr>
            <w:r>
              <w:t xml:space="preserve">REF-07, P19</w:t>
            </w:r>
            <w:r/>
          </w:p>
        </w:tc>
      </w:tr>
    </w:tbl>
    <w:p>
      <w:pPr>
        <w:pBdr/>
        <w:spacing w:after="60" w:before="0"/>
        <w:ind/>
        <w:rPr/>
      </w:pPr>
      <w:r/>
      <w:r/>
    </w:p>
    <w:p>
      <w:pPr>
        <w:pStyle w:val="725"/>
        <w:pBdr/>
        <w:spacing/>
        <w:ind/>
        <w:rPr/>
      </w:pPr>
      <w:r/>
      <w:bookmarkStart w:id="21" w:name="_Toc100021"/>
      <w:r>
        <w:t xml:space="preserve">1.3.5 Aportaciones económicas</w:t>
      </w:r>
      <w:bookmarkEnd w:id="21"/>
      <w:r/>
      <w:r/>
    </w:p>
    <w:p>
      <w:pPr>
        <w:pBdr/>
        <w:spacing/>
        <w:ind/>
        <w:rPr/>
      </w:pPr>
      <w:r>
        <w:t xml:space="preserve">Montos vigentes para la temporada 2026–2027, en pesos mexicanos. Los montos cambian por temporada (PR-06).</w:t>
      </w:r>
      <w:r/>
    </w:p>
    <w:p>
      <w:pPr>
        <w:pStyle w:val="732"/>
        <w:keepNext w:val="true"/>
        <w:pBdr/>
        <w:spacing/>
        <w:ind/>
        <w:rPr/>
      </w:pPr>
      <w:r>
        <w:rPr>
          <w:b/>
          <w:bCs/>
          <w:color w:val="241a61"/>
          <w:sz w:val="18"/>
          <w:szCs w:val="18"/>
        </w:rPr>
        <w:t xml:space="preserve">Tabla 13. </w:t>
      </w:r>
      <w:r>
        <w:rPr>
          <w:sz w:val="18"/>
          <w:szCs w:val="18"/>
        </w:rPr>
        <w:t xml:space="preserve">Conceptos de aportación económica, temporada 2026–2027.</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300"/>
        <w:gridCol w:w="2850"/>
        <w:gridCol w:w="2550"/>
        <w:gridCol w:w="1704"/>
      </w:tblGrid>
      <w:tr>
        <w:trPr>
          <w:cantSplit/>
          <w:tblHeader/>
        </w:trPr>
        <w:tc>
          <w:tcPr>
            <w:shd w:val="clear" w:color="auto" w:fill="241a61"/>
            <w:tcBorders/>
            <w:tcW w:w="2300" w:type="dxa"/>
            <w:vAlign w:val="center"/>
          </w:tcPr>
          <w:p>
            <w:pPr>
              <w:pStyle w:val="731"/>
              <w:pBdr/>
              <w:spacing/>
              <w:ind/>
              <w:rPr/>
            </w:pPr>
            <w:r>
              <w:rPr>
                <w:b/>
                <w:bCs/>
                <w:color w:val="ffffff"/>
              </w:rPr>
              <w:t xml:space="preserve">Concepto</w:t>
            </w:r>
            <w:r/>
          </w:p>
        </w:tc>
        <w:tc>
          <w:tcPr>
            <w:shd w:val="clear" w:color="auto" w:fill="241a61"/>
            <w:tcBorders/>
            <w:tcW w:w="2850" w:type="dxa"/>
            <w:vAlign w:val="center"/>
          </w:tcPr>
          <w:p>
            <w:pPr>
              <w:pStyle w:val="731"/>
              <w:pBdr/>
              <w:spacing/>
              <w:ind/>
              <w:rPr/>
            </w:pPr>
            <w:r>
              <w:rPr>
                <w:b/>
                <w:bCs/>
                <w:color w:val="ffffff"/>
              </w:rPr>
              <w:t xml:space="preserve">Ramas libre y de veteranos</w:t>
            </w:r>
            <w:r/>
          </w:p>
        </w:tc>
        <w:tc>
          <w:tcPr>
            <w:shd w:val="clear" w:color="auto" w:fill="241a61"/>
            <w:tcBorders/>
            <w:tcW w:w="2550" w:type="dxa"/>
            <w:vAlign w:val="center"/>
          </w:tcPr>
          <w:p>
            <w:pPr>
              <w:pStyle w:val="731"/>
              <w:pBdr/>
              <w:spacing/>
              <w:ind/>
              <w:rPr/>
            </w:pPr>
            <w:r>
              <w:rPr>
                <w:b/>
                <w:bCs/>
                <w:color w:val="ffffff"/>
              </w:rPr>
              <w:t xml:space="preserve">Rama infantil</w:t>
            </w:r>
            <w:r/>
          </w:p>
        </w:tc>
        <w:tc>
          <w:tcPr>
            <w:shd w:val="clear" w:color="auto" w:fill="241a61"/>
            <w:tcBorders/>
            <w:tcW w:w="1704" w:type="dxa"/>
            <w:vAlign w:val="center"/>
          </w:tcPr>
          <w:p>
            <w:pPr>
              <w:pStyle w:val="731"/>
              <w:pBdr/>
              <w:spacing/>
              <w:ind/>
              <w:rPr/>
            </w:pPr>
            <w:r>
              <w:rPr>
                <w:b/>
                <w:bCs/>
                <w:color w:val="ffffff"/>
              </w:rPr>
              <w:t xml:space="preserve">Fuente</w:t>
            </w:r>
            <w:r/>
          </w:p>
        </w:tc>
      </w:tr>
      <w:tr>
        <w:trPr>
          <w:cantSplit/>
        </w:trPr>
        <w:tc>
          <w:tcPr>
            <w:tcBorders/>
            <w:tcW w:w="2300" w:type="dxa"/>
          </w:tcPr>
          <w:p>
            <w:pPr>
              <w:pStyle w:val="731"/>
              <w:pBdr/>
              <w:spacing/>
              <w:ind/>
              <w:rPr/>
            </w:pPr>
            <w:r>
              <w:t xml:space="preserve">Cuota de inscripción (por categoría)</w:t>
            </w:r>
            <w:r/>
          </w:p>
        </w:tc>
        <w:tc>
          <w:tcPr>
            <w:tcBorders/>
            <w:tcW w:w="2850" w:type="dxa"/>
          </w:tcPr>
          <w:p>
            <w:pPr>
              <w:pStyle w:val="731"/>
              <w:pBdr/>
              <w:spacing/>
              <w:ind/>
              <w:rPr/>
            </w:pPr>
            <w:r>
              <w:t xml:space="preserve">$100.00 para clubes que ya pertenecen a la Liga; $150.00 para clubes de nuevo ingreso o categorías nuevas.</w:t>
            </w:r>
            <w:r/>
          </w:p>
        </w:tc>
        <w:tc>
          <w:tcPr>
            <w:tcBorders/>
            <w:tcW w:w="2550" w:type="dxa"/>
          </w:tcPr>
          <w:p>
            <w:pPr>
              <w:pStyle w:val="731"/>
              <w:pBdr/>
              <w:spacing/>
              <w:ind/>
              <w:rPr/>
            </w:pPr>
            <w:r>
              <w:t xml:space="preserve">$100.00</w:t>
            </w:r>
            <w:r/>
          </w:p>
        </w:tc>
        <w:tc>
          <w:tcPr>
            <w:tcBorders/>
            <w:tcW w:w="1704" w:type="dxa"/>
          </w:tcPr>
          <w:p>
            <w:pPr>
              <w:pStyle w:val="731"/>
              <w:pBdr/>
              <w:spacing/>
              <w:ind/>
              <w:rPr/>
            </w:pPr>
            <w:r>
              <w:t xml:space="preserve">REF-01, I-c; REF-02, I-c</w:t>
            </w:r>
            <w:r/>
          </w:p>
        </w:tc>
      </w:tr>
      <w:tr>
        <w:trPr>
          <w:cantSplit/>
        </w:trPr>
        <w:tc>
          <w:tcPr>
            <w:shd w:val="clear" w:color="auto" w:fill="fafafc"/>
            <w:tcBorders/>
            <w:tcW w:w="2300" w:type="dxa"/>
          </w:tcPr>
          <w:p>
            <w:pPr>
              <w:pStyle w:val="731"/>
              <w:pBdr/>
              <w:spacing/>
              <w:ind/>
              <w:rPr/>
            </w:pPr>
            <w:r>
              <w:t xml:space="preserve">Registro de jugador</w:t>
            </w:r>
            <w:r/>
          </w:p>
        </w:tc>
        <w:tc>
          <w:tcPr>
            <w:shd w:val="clear" w:color="auto" w:fill="fafafc"/>
            <w:tcBorders/>
            <w:tcW w:w="2850" w:type="dxa"/>
          </w:tcPr>
          <w:p>
            <w:pPr>
              <w:pStyle w:val="731"/>
              <w:pBdr/>
              <w:spacing/>
              <w:ind/>
              <w:rPr/>
            </w:pPr>
            <w:r>
              <w:t xml:space="preserve">$40.00</w:t>
            </w:r>
            <w:r/>
          </w:p>
        </w:tc>
        <w:tc>
          <w:tcPr>
            <w:shd w:val="clear" w:color="auto" w:fill="fafafc"/>
            <w:tcBorders/>
            <w:tcW w:w="2550" w:type="dxa"/>
          </w:tcPr>
          <w:p>
            <w:pPr>
              <w:pStyle w:val="731"/>
              <w:pBdr/>
              <w:spacing/>
              <w:ind/>
              <w:rPr/>
            </w:pPr>
            <w:r>
              <w:t xml:space="preserve">$40.00</w:t>
            </w:r>
            <w:r/>
          </w:p>
        </w:tc>
        <w:tc>
          <w:tcPr>
            <w:shd w:val="clear" w:color="auto" w:fill="fafafc"/>
            <w:tcBorders/>
            <w:tcW w:w="1704" w:type="dxa"/>
          </w:tcPr>
          <w:p>
            <w:pPr>
              <w:pStyle w:val="731"/>
              <w:pBdr/>
              <w:spacing/>
              <w:ind/>
              <w:rPr/>
            </w:pPr>
            <w:r>
              <w:t xml:space="preserve">REF-01, IX-a; REF-02, V-a</w:t>
            </w:r>
            <w:r/>
          </w:p>
        </w:tc>
      </w:tr>
      <w:tr>
        <w:trPr>
          <w:cantSplit/>
        </w:trPr>
        <w:tc>
          <w:tcPr>
            <w:tcBorders/>
            <w:tcW w:w="2300" w:type="dxa"/>
          </w:tcPr>
          <w:p>
            <w:pPr>
              <w:pStyle w:val="731"/>
              <w:pBdr/>
              <w:spacing/>
              <w:ind/>
              <w:rPr/>
            </w:pPr>
            <w:r>
              <w:t xml:space="preserve">Reposición o duplicado de registro</w:t>
            </w:r>
            <w:r/>
          </w:p>
        </w:tc>
        <w:tc>
          <w:tcPr>
            <w:tcBorders/>
            <w:tcW w:w="2850" w:type="dxa"/>
          </w:tcPr>
          <w:p>
            <w:pPr>
              <w:pStyle w:val="731"/>
              <w:pBdr/>
              <w:spacing/>
              <w:ind/>
              <w:rPr/>
            </w:pPr>
            <w:r>
              <w:t xml:space="preserve">$10.00 por registro (también si el club lo llena mal).</w:t>
            </w:r>
            <w:r/>
          </w:p>
        </w:tc>
        <w:tc>
          <w:tcPr>
            <w:tcBorders/>
            <w:tcW w:w="2550" w:type="dxa"/>
          </w:tcPr>
          <w:p>
            <w:pPr>
              <w:pStyle w:val="731"/>
              <w:pBdr/>
              <w:spacing/>
              <w:ind/>
              <w:rPr/>
            </w:pPr>
            <w:r>
              <w:t xml:space="preserve">$10.00 por registro.</w:t>
            </w:r>
            <w:r/>
          </w:p>
        </w:tc>
        <w:tc>
          <w:tcPr>
            <w:tcBorders/>
            <w:tcW w:w="1704" w:type="dxa"/>
          </w:tcPr>
          <w:p>
            <w:pPr>
              <w:pStyle w:val="731"/>
              <w:pBdr/>
              <w:spacing/>
              <w:ind/>
              <w:rPr/>
            </w:pPr>
            <w:r>
              <w:t xml:space="preserve">REF-01, IX-b; REF-02, V-e</w:t>
            </w:r>
            <w:r/>
          </w:p>
        </w:tc>
      </w:tr>
      <w:tr>
        <w:trPr>
          <w:cantSplit/>
        </w:trPr>
        <w:tc>
          <w:tcPr>
            <w:shd w:val="clear" w:color="auto" w:fill="fafafc"/>
            <w:tcBorders/>
            <w:tcW w:w="2300" w:type="dxa"/>
          </w:tcPr>
          <w:p>
            <w:pPr>
              <w:pStyle w:val="731"/>
              <w:pBdr/>
              <w:spacing/>
              <w:ind/>
              <w:rPr/>
            </w:pPr>
            <w:r>
              <w:t xml:space="preserve">Aportación para trofeos (por club)</w:t>
            </w:r>
            <w:r/>
          </w:p>
        </w:tc>
        <w:tc>
          <w:tcPr>
            <w:shd w:val="clear" w:color="auto" w:fill="fafafc"/>
            <w:tcBorders/>
            <w:tcW w:w="2850" w:type="dxa"/>
          </w:tcPr>
          <w:p>
            <w:pPr>
              <w:pStyle w:val="731"/>
              <w:pBdr/>
              <w:spacing/>
              <w:ind/>
              <w:rPr/>
            </w:pPr>
            <w:r>
              <w:t xml:space="preserve">$1,200.00, al inscribirse.</w:t>
            </w:r>
            <w:r/>
          </w:p>
        </w:tc>
        <w:tc>
          <w:tcPr>
            <w:shd w:val="clear" w:color="auto" w:fill="fafafc"/>
            <w:tcBorders/>
            <w:tcW w:w="2550" w:type="dxa"/>
          </w:tcPr>
          <w:p>
            <w:pPr>
              <w:pStyle w:val="731"/>
              <w:pBdr/>
              <w:spacing/>
              <w:ind/>
              <w:rPr/>
            </w:pPr>
            <w:r>
              <w:t xml:space="preserve">$700.00</w:t>
            </w:r>
            <w:r/>
          </w:p>
        </w:tc>
        <w:tc>
          <w:tcPr>
            <w:shd w:val="clear" w:color="auto" w:fill="fafafc"/>
            <w:tcBorders/>
            <w:tcW w:w="1704" w:type="dxa"/>
          </w:tcPr>
          <w:p>
            <w:pPr>
              <w:pStyle w:val="731"/>
              <w:pBdr/>
              <w:spacing/>
              <w:ind/>
              <w:rPr/>
            </w:pPr>
            <w:r>
              <w:t xml:space="preserve">REF-01, IX-c; REF-02, V-e</w:t>
            </w:r>
            <w:r/>
          </w:p>
        </w:tc>
      </w:tr>
      <w:tr>
        <w:trPr>
          <w:cantSplit/>
        </w:trPr>
        <w:tc>
          <w:tcPr>
            <w:tcBorders/>
            <w:tcW w:w="2300" w:type="dxa"/>
          </w:tcPr>
          <w:p>
            <w:pPr>
              <w:pStyle w:val="731"/>
              <w:pBdr/>
              <w:spacing/>
              <w:ind/>
              <w:rPr/>
            </w:pPr>
            <w:r>
              <w:t xml:space="preserve">Arbitraje (por categoría, semanal)</w:t>
            </w:r>
            <w:r/>
          </w:p>
        </w:tc>
        <w:tc>
          <w:tcPr>
            <w:tcBorders/>
            <w:tcW w:w="2850" w:type="dxa"/>
          </w:tcPr>
          <w:p>
            <w:pPr>
              <w:pStyle w:val="731"/>
              <w:pBdr/>
              <w:spacing/>
              <w:ind/>
              <w:rPr/>
            </w:pPr>
            <w:r>
              <w:t xml:space="preserve">$125.00</w:t>
            </w:r>
            <w:r/>
          </w:p>
        </w:tc>
        <w:tc>
          <w:tcPr>
            <w:tcBorders/>
            <w:tcW w:w="2550" w:type="dxa"/>
          </w:tcPr>
          <w:p>
            <w:pPr>
              <w:pStyle w:val="731"/>
              <w:pBdr/>
              <w:spacing/>
              <w:ind/>
              <w:rPr/>
            </w:pPr>
            <w:r>
              <w:t xml:space="preserve">$125.00, por adelantado, lunes y martes de 19:00 a 21:00 h; si no se paga, el club pierde por default en todas sus categorías.</w:t>
            </w:r>
            <w:r/>
          </w:p>
        </w:tc>
        <w:tc>
          <w:tcPr>
            <w:tcBorders/>
            <w:tcW w:w="1704" w:type="dxa"/>
          </w:tcPr>
          <w:p>
            <w:pPr>
              <w:pStyle w:val="731"/>
              <w:pBdr/>
              <w:spacing/>
              <w:ind/>
              <w:rPr/>
            </w:pPr>
            <w:r>
              <w:t xml:space="preserve">REF-01, IX-d; REF-02, V-b y V-c</w:t>
            </w:r>
            <w:r/>
          </w:p>
        </w:tc>
      </w:tr>
      <w:tr>
        <w:trPr>
          <w:cantSplit/>
        </w:trPr>
        <w:tc>
          <w:tcPr>
            <w:shd w:val="clear" w:color="auto" w:fill="fafafc"/>
            <w:tcBorders/>
            <w:tcW w:w="2300" w:type="dxa"/>
          </w:tcPr>
          <w:p>
            <w:pPr>
              <w:pStyle w:val="731"/>
              <w:pBdr/>
              <w:spacing/>
              <w:ind/>
              <w:rPr/>
            </w:pPr>
            <w:r>
              <w:t xml:space="preserve">Mantenimiento de canchas (por club, semanal)</w:t>
            </w:r>
            <w:r/>
          </w:p>
        </w:tc>
        <w:tc>
          <w:tcPr>
            <w:shd w:val="clear" w:color="auto" w:fill="fafafc"/>
            <w:tcBorders/>
            <w:tcW w:w="2850" w:type="dxa"/>
          </w:tcPr>
          <w:p>
            <w:pPr>
              <w:pStyle w:val="731"/>
              <w:pBdr/>
              <w:spacing/>
              <w:ind/>
              <w:rPr/>
            </w:pPr>
            <w:r>
              <w:t xml:space="preserve">$150.00, a más tardar el martes, de 19:30 a 21:30 h, en la tesorería.</w:t>
            </w:r>
            <w:r/>
          </w:p>
        </w:tc>
        <w:tc>
          <w:tcPr>
            <w:shd w:val="clear" w:color="auto" w:fill="fafafc"/>
            <w:tcBorders/>
            <w:tcW w:w="2550" w:type="dxa"/>
          </w:tcPr>
          <w:p>
            <w:pPr>
              <w:pStyle w:val="731"/>
              <w:pBdr/>
              <w:spacing/>
              <w:ind/>
              <w:rPr/>
            </w:pPr>
            <w:r>
              <w:t xml:space="preserve">No se cobra.</w:t>
            </w:r>
            <w:r/>
          </w:p>
        </w:tc>
        <w:tc>
          <w:tcPr>
            <w:shd w:val="clear" w:color="auto" w:fill="fafafc"/>
            <w:tcBorders/>
            <w:tcW w:w="1704" w:type="dxa"/>
          </w:tcPr>
          <w:p>
            <w:pPr>
              <w:pStyle w:val="731"/>
              <w:pBdr/>
              <w:spacing/>
              <w:ind/>
              <w:rPr/>
            </w:pPr>
            <w:r>
              <w:t xml:space="preserve">REF-01, IX-d; REF-02, nota</w:t>
            </w:r>
            <w:r/>
          </w:p>
        </w:tc>
      </w:tr>
      <w:tr>
        <w:trPr>
          <w:cantSplit/>
        </w:trPr>
        <w:tc>
          <w:tcPr>
            <w:tcBorders/>
            <w:tcW w:w="2300" w:type="dxa"/>
          </w:tcPr>
          <w:p>
            <w:pPr>
              <w:pStyle w:val="731"/>
              <w:pBdr/>
              <w:spacing/>
              <w:ind/>
              <w:rPr/>
            </w:pPr>
            <w:r>
              <w:t xml:space="preserve">Cal (por club, por temporada)</w:t>
            </w:r>
            <w:r/>
          </w:p>
        </w:tc>
        <w:tc>
          <w:tcPr>
            <w:tcBorders/>
            <w:tcW w:w="2850" w:type="dxa"/>
          </w:tcPr>
          <w:p>
            <w:pPr>
              <w:pStyle w:val="731"/>
              <w:pBdr/>
              <w:spacing/>
              <w:ind/>
              <w:rPr/>
            </w:pPr>
            <w:r>
              <w:t xml:space="preserve">No aplica.</w:t>
            </w:r>
            <w:r/>
          </w:p>
        </w:tc>
        <w:tc>
          <w:tcPr>
            <w:tcBorders/>
            <w:tcW w:w="2550" w:type="dxa"/>
          </w:tcPr>
          <w:p>
            <w:pPr>
              <w:pStyle w:val="731"/>
              <w:pBdr/>
              <w:spacing/>
              <w:ind/>
              <w:rPr/>
            </w:pPr>
            <w:r>
              <w:t xml:space="preserve">$1,300.00 al inscribirse.</w:t>
            </w:r>
            <w:r/>
          </w:p>
        </w:tc>
        <w:tc>
          <w:tcPr>
            <w:tcBorders/>
            <w:tcW w:w="1704" w:type="dxa"/>
          </w:tcPr>
          <w:p>
            <w:pPr>
              <w:pStyle w:val="731"/>
              <w:pBdr/>
              <w:spacing/>
              <w:ind/>
              <w:rPr/>
            </w:pPr>
            <w:r>
              <w:t xml:space="preserve">REF-02, V-d</w:t>
            </w:r>
            <w:r/>
          </w:p>
        </w:tc>
      </w:tr>
      <w:tr>
        <w:trPr>
          <w:cantSplit/>
        </w:trPr>
        <w:tc>
          <w:tcPr>
            <w:shd w:val="clear" w:color="auto" w:fill="fafafc"/>
            <w:tcBorders/>
            <w:tcW w:w="2300" w:type="dxa"/>
          </w:tcPr>
          <w:p>
            <w:pPr>
              <w:pStyle w:val="731"/>
              <w:pBdr/>
              <w:spacing/>
              <w:ind/>
              <w:rPr/>
            </w:pPr>
            <w:r>
              <w:t xml:space="preserve">Cooperación semanal de jugadores</w:t>
            </w:r>
            <w:r/>
          </w:p>
        </w:tc>
        <w:tc>
          <w:tcPr>
            <w:shd w:val="clear" w:color="auto" w:fill="fafafc"/>
            <w:tcBorders/>
            <w:tcW w:w="2850" w:type="dxa"/>
          </w:tcPr>
          <w:p>
            <w:pPr>
              <w:pStyle w:val="731"/>
              <w:pBdr/>
              <w:spacing/>
              <w:ind/>
              <w:rPr/>
            </w:pPr>
            <w:r>
              <w:t xml:space="preserve">Aportación de los jugadores a su club, que recolecta el delegado. Monto y si el Sistema debe registrarla: </w:t>
            </w:r>
            <w:r>
              <w:rPr>
                <w:b/>
                <w:bCs/>
                <w:color w:val="9c4a00"/>
                <w:shd w:val="clear" w:color="auto" w:fill="fff2cc"/>
              </w:rPr>
              <w:t xml:space="preserve">[POR DEFINIR]</w:t>
            </w:r>
            <w:r>
              <w:t xml:space="preserve">.</w:t>
            </w:r>
            <w:r/>
          </w:p>
        </w:tc>
        <w:tc>
          <w:tcPr>
            <w:shd w:val="clear" w:color="auto" w:fill="fafafc"/>
            <w:tcBorders/>
            <w:tcW w:w="2550" w:type="dxa"/>
          </w:tcPr>
          <w:p>
            <w:pPr>
              <w:pStyle w:val="731"/>
              <w:pBdr/>
              <w:spacing/>
              <w:ind/>
              <w:rPr/>
            </w:pPr>
            <w:r>
              <w:rPr>
                <w:b/>
                <w:bCs/>
                <w:color w:val="9c4a00"/>
                <w:shd w:val="clear" w:color="auto" w:fill="fff2cc"/>
              </w:rPr>
              <w:t xml:space="preserve">[POR DEFINIR]</w:t>
            </w:r>
            <w:r/>
          </w:p>
        </w:tc>
        <w:tc>
          <w:tcPr>
            <w:shd w:val="clear" w:color="auto" w:fill="fafafc"/>
            <w:tcBorders/>
            <w:tcW w:w="1704" w:type="dxa"/>
          </w:tcPr>
          <w:p>
            <w:pPr>
              <w:pStyle w:val="731"/>
              <w:pBdr/>
              <w:spacing/>
              <w:ind/>
              <w:rPr/>
            </w:pPr>
            <w:r>
              <w:t xml:space="preserve">REF-07, P13</w:t>
            </w:r>
            <w:r/>
          </w:p>
        </w:tc>
      </w:tr>
    </w:tbl>
    <w:p>
      <w:pPr>
        <w:pBdr/>
        <w:spacing w:after="60" w:before="0"/>
        <w:ind/>
        <w:rPr/>
      </w:pPr>
      <w:r/>
      <w:r/>
    </w:p>
    <w:p>
      <w:pPr>
        <w:pStyle w:val="725"/>
        <w:pBdr/>
        <w:spacing/>
        <w:ind/>
        <w:rPr/>
      </w:pPr>
      <w:r/>
      <w:bookmarkStart w:id="22" w:name="_Toc100022"/>
      <w:r>
        <w:t xml:space="preserve">1.3.6 Términos de ingeniería de requisitos</w:t>
      </w:r>
      <w:bookmarkEnd w:id="22"/>
      <w:r/>
      <w:r/>
    </w:p>
    <w:p>
      <w:pPr>
        <w:pStyle w:val="732"/>
        <w:keepNext w:val="true"/>
        <w:pBdr/>
        <w:spacing/>
        <w:ind/>
        <w:rPr/>
      </w:pPr>
      <w:r>
        <w:rPr>
          <w:b/>
          <w:bCs/>
          <w:color w:val="241a61"/>
          <w:sz w:val="18"/>
          <w:szCs w:val="18"/>
        </w:rPr>
        <w:t xml:space="preserve">Tabla 14. </w:t>
      </w:r>
      <w:r>
        <w:rPr>
          <w:sz w:val="18"/>
          <w:szCs w:val="18"/>
        </w:rPr>
        <w:t xml:space="preserve">Términos de ingeniería de requisitos usados en el ERS.</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000"/>
        <w:gridCol w:w="5404"/>
        <w:gridCol w:w="2000"/>
      </w:tblGrid>
      <w:tr>
        <w:trPr>
          <w:cantSplit/>
          <w:tblHeader/>
        </w:trPr>
        <w:tc>
          <w:tcPr>
            <w:shd w:val="clear" w:color="auto" w:fill="241a61"/>
            <w:tcBorders/>
            <w:tcW w:w="2000" w:type="dxa"/>
            <w:vAlign w:val="center"/>
          </w:tcPr>
          <w:p>
            <w:pPr>
              <w:pStyle w:val="731"/>
              <w:pBdr/>
              <w:spacing/>
              <w:ind/>
              <w:rPr/>
            </w:pPr>
            <w:r>
              <w:rPr>
                <w:b/>
                <w:bCs/>
                <w:color w:val="ffffff"/>
              </w:rPr>
              <w:t xml:space="preserve">Término</w:t>
            </w:r>
            <w:r/>
          </w:p>
        </w:tc>
        <w:tc>
          <w:tcPr>
            <w:shd w:val="clear" w:color="auto" w:fill="241a61"/>
            <w:tcBorders/>
            <w:tcW w:w="5404" w:type="dxa"/>
            <w:vAlign w:val="center"/>
          </w:tcPr>
          <w:p>
            <w:pPr>
              <w:pStyle w:val="731"/>
              <w:pBdr/>
              <w:spacing/>
              <w:ind/>
              <w:rPr/>
            </w:pPr>
            <w:r>
              <w:rPr>
                <w:b/>
                <w:bCs/>
                <w:color w:val="ffffff"/>
              </w:rPr>
              <w:t xml:space="preserve">Definición</w:t>
            </w:r>
            <w:r/>
          </w:p>
        </w:tc>
        <w:tc>
          <w:tcPr>
            <w:shd w:val="clear" w:color="auto" w:fill="241a61"/>
            <w:tcBorders/>
            <w:tcW w:w="2000" w:type="dxa"/>
            <w:vAlign w:val="center"/>
          </w:tcPr>
          <w:p>
            <w:pPr>
              <w:pStyle w:val="731"/>
              <w:pBdr/>
              <w:spacing/>
              <w:ind/>
              <w:rPr/>
            </w:pPr>
            <w:r>
              <w:rPr>
                <w:b/>
                <w:bCs/>
                <w:color w:val="ffffff"/>
              </w:rPr>
              <w:t xml:space="preserve">Fuente</w:t>
            </w:r>
            <w:r/>
          </w:p>
        </w:tc>
      </w:tr>
      <w:tr>
        <w:trPr>
          <w:cantSplit/>
        </w:trPr>
        <w:tc>
          <w:tcPr>
            <w:tcBorders/>
            <w:tcW w:w="2000" w:type="dxa"/>
          </w:tcPr>
          <w:p>
            <w:pPr>
              <w:pStyle w:val="731"/>
              <w:pBdr/>
              <w:spacing/>
              <w:ind/>
              <w:rPr/>
            </w:pPr>
            <w:r>
              <w:t xml:space="preserve">Requisito</w:t>
            </w:r>
            <w:r/>
          </w:p>
        </w:tc>
        <w:tc>
          <w:tcPr>
            <w:tcBorders/>
            <w:tcW w:w="5404" w:type="dxa"/>
          </w:tcPr>
          <w:p>
            <w:pPr>
              <w:pStyle w:val="731"/>
              <w:pBdr/>
              <w:spacing/>
              <w:ind/>
              <w:rPr/>
            </w:pPr>
            <w:r>
              <w:t xml:space="preserve">Enunciado que traduce o expresa una necesidad y las restricciones y condiciones asociadas.</w:t>
            </w:r>
            <w:r/>
          </w:p>
        </w:tc>
        <w:tc>
          <w:tcPr>
            <w:tcBorders/>
            <w:tcW w:w="2000" w:type="dxa"/>
          </w:tcPr>
          <w:p>
            <w:pPr>
              <w:pStyle w:val="731"/>
              <w:pBdr/>
              <w:spacing/>
              <w:ind/>
              <w:rPr/>
            </w:pPr>
            <w:r>
              <w:t xml:space="preserve">REF-09 (traducción libre)</w:t>
            </w:r>
            <w:r/>
          </w:p>
        </w:tc>
      </w:tr>
      <w:tr>
        <w:trPr>
          <w:cantSplit/>
        </w:trPr>
        <w:tc>
          <w:tcPr>
            <w:shd w:val="clear" w:color="auto" w:fill="fafafc"/>
            <w:tcBorders/>
            <w:tcW w:w="2000" w:type="dxa"/>
          </w:tcPr>
          <w:p>
            <w:pPr>
              <w:pStyle w:val="731"/>
              <w:pBdr/>
              <w:spacing/>
              <w:ind/>
              <w:rPr/>
            </w:pPr>
            <w:r>
              <w:t xml:space="preserve">Requisito funcional (RF)</w:t>
            </w:r>
            <w:r/>
          </w:p>
        </w:tc>
        <w:tc>
          <w:tcPr>
            <w:shd w:val="clear" w:color="auto" w:fill="fafafc"/>
            <w:tcBorders/>
            <w:tcW w:w="5404" w:type="dxa"/>
          </w:tcPr>
          <w:p>
            <w:pPr>
              <w:pStyle w:val="731"/>
              <w:pBdr/>
              <w:spacing/>
              <w:ind/>
              <w:rPr/>
            </w:pPr>
            <w:r>
              <w:t xml:space="preserve">Requisito que describe una función o un comportamiento que el Sistema debe proporcionar.</w:t>
            </w:r>
            <w:r/>
          </w:p>
        </w:tc>
        <w:tc>
          <w:tcPr>
            <w:shd w:val="clear" w:color="auto" w:fill="fafafc"/>
            <w:tcBorders/>
            <w:tcW w:w="2000" w:type="dxa"/>
          </w:tcPr>
          <w:p>
            <w:pPr>
              <w:pStyle w:val="731"/>
              <w:pBdr/>
              <w:spacing/>
              <w:ind/>
              <w:rPr/>
            </w:pPr>
            <w:r>
              <w:t xml:space="preserve">Definición de este ERS</w:t>
            </w:r>
            <w:r/>
          </w:p>
        </w:tc>
      </w:tr>
      <w:tr>
        <w:trPr>
          <w:cantSplit/>
        </w:trPr>
        <w:tc>
          <w:tcPr>
            <w:tcBorders/>
            <w:tcW w:w="2000" w:type="dxa"/>
          </w:tcPr>
          <w:p>
            <w:pPr>
              <w:pStyle w:val="731"/>
              <w:pBdr/>
              <w:spacing/>
              <w:ind/>
              <w:rPr/>
            </w:pPr>
            <w:r>
              <w:t xml:space="preserve">Requisito no funcional (RNF)</w:t>
            </w:r>
            <w:r/>
          </w:p>
        </w:tc>
        <w:tc>
          <w:tcPr>
            <w:tcBorders/>
            <w:tcW w:w="5404" w:type="dxa"/>
          </w:tcPr>
          <w:p>
            <w:pPr>
              <w:pStyle w:val="731"/>
              <w:pBdr/>
              <w:spacing/>
              <w:ind/>
              <w:rPr/>
            </w:pPr>
            <w:r>
              <w:t xml:space="preserve">Requisito sobre una característica de calidad del Sistema (por ejemplo, rendimiento, seguridad o fiabilidad). Se clasificará según ISO/IEC 25010 [REF-11].</w:t>
            </w:r>
            <w:r/>
          </w:p>
        </w:tc>
        <w:tc>
          <w:tcPr>
            <w:tcBorders/>
            <w:tcW w:w="2000" w:type="dxa"/>
          </w:tcPr>
          <w:p>
            <w:pPr>
              <w:pStyle w:val="731"/>
              <w:pBdr/>
              <w:spacing/>
              <w:ind/>
              <w:rPr/>
            </w:pPr>
            <w:r>
              <w:t xml:space="preserve">Definición de este ERS</w:t>
            </w:r>
            <w:r/>
          </w:p>
        </w:tc>
      </w:tr>
      <w:tr>
        <w:trPr>
          <w:cantSplit/>
        </w:trPr>
        <w:tc>
          <w:tcPr>
            <w:shd w:val="clear" w:color="auto" w:fill="fafafc"/>
            <w:tcBorders/>
            <w:tcW w:w="2000" w:type="dxa"/>
          </w:tcPr>
          <w:p>
            <w:pPr>
              <w:pStyle w:val="731"/>
              <w:pBdr/>
              <w:spacing/>
              <w:ind/>
              <w:rPr/>
            </w:pPr>
            <w:r>
              <w:t xml:space="preserve">Restricción</w:t>
            </w:r>
            <w:r/>
          </w:p>
        </w:tc>
        <w:tc>
          <w:tcPr>
            <w:shd w:val="clear" w:color="auto" w:fill="fafafc"/>
            <w:tcBorders/>
            <w:tcW w:w="5404" w:type="dxa"/>
          </w:tcPr>
          <w:p>
            <w:pPr>
              <w:pStyle w:val="731"/>
              <w:pBdr/>
              <w:spacing/>
              <w:ind/>
              <w:rPr/>
            </w:pPr>
            <w:r>
              <w:t xml:space="preserve">Limitación impuesta a la solución, por ejemplo tecnológica, legal o de plazo.</w:t>
            </w:r>
            <w:r/>
          </w:p>
        </w:tc>
        <w:tc>
          <w:tcPr>
            <w:shd w:val="clear" w:color="auto" w:fill="fafafc"/>
            <w:tcBorders/>
            <w:tcW w:w="2000" w:type="dxa"/>
          </w:tcPr>
          <w:p>
            <w:pPr>
              <w:pStyle w:val="731"/>
              <w:pBdr/>
              <w:spacing/>
              <w:ind/>
              <w:rPr/>
            </w:pPr>
            <w:r>
              <w:t xml:space="preserve">Definición de este ERS</w:t>
            </w:r>
            <w:r/>
          </w:p>
        </w:tc>
      </w:tr>
      <w:tr>
        <w:trPr>
          <w:cantSplit/>
        </w:trPr>
        <w:tc>
          <w:tcPr>
            <w:tcBorders/>
            <w:tcW w:w="2000" w:type="dxa"/>
          </w:tcPr>
          <w:p>
            <w:pPr>
              <w:pStyle w:val="731"/>
              <w:pBdr/>
              <w:spacing/>
              <w:ind/>
              <w:rPr/>
            </w:pPr>
            <w:r>
              <w:t xml:space="preserve">Área funcional (AF)</w:t>
            </w:r>
            <w:r/>
          </w:p>
        </w:tc>
        <w:tc>
          <w:tcPr>
            <w:tcBorders/>
            <w:tcW w:w="5404" w:type="dxa"/>
          </w:tcPr>
          <w:p>
            <w:pPr>
              <w:pStyle w:val="731"/>
              <w:pBdr/>
              <w:spacing/>
              <w:ind/>
              <w:rPr/>
            </w:pPr>
            <w:r>
              <w:t xml:space="preserve">Agrupación de alto nivel de funciones del Sistema que delimita el alcance (1.2.5). Se detallará en requisitos funcionales.</w:t>
            </w:r>
            <w:r/>
          </w:p>
        </w:tc>
        <w:tc>
          <w:tcPr>
            <w:tcBorders/>
            <w:tcW w:w="2000" w:type="dxa"/>
          </w:tcPr>
          <w:p>
            <w:pPr>
              <w:pStyle w:val="731"/>
              <w:pBdr/>
              <w:spacing/>
              <w:ind/>
              <w:rPr/>
            </w:pPr>
            <w:r>
              <w:t xml:space="preserve">Definición de este ERS</w:t>
            </w:r>
            <w:r/>
          </w:p>
        </w:tc>
      </w:tr>
      <w:tr>
        <w:trPr>
          <w:cantSplit/>
        </w:trPr>
        <w:tc>
          <w:tcPr>
            <w:shd w:val="clear" w:color="auto" w:fill="fafafc"/>
            <w:tcBorders/>
            <w:tcW w:w="2000" w:type="dxa"/>
          </w:tcPr>
          <w:p>
            <w:pPr>
              <w:pStyle w:val="731"/>
              <w:pBdr/>
              <w:spacing/>
              <w:ind/>
              <w:rPr/>
            </w:pPr>
            <w:r>
              <w:t xml:space="preserve">Parte interesada</w:t>
            </w:r>
            <w:r/>
          </w:p>
        </w:tc>
        <w:tc>
          <w:tcPr>
            <w:shd w:val="clear" w:color="auto" w:fill="fafafc"/>
            <w:tcBorders/>
            <w:tcW w:w="5404" w:type="dxa"/>
          </w:tcPr>
          <w:p>
            <w:pPr>
              <w:pStyle w:val="731"/>
              <w:pBdr/>
              <w:spacing/>
              <w:ind/>
              <w:rPr/>
            </w:pPr>
            <w:r>
              <w:t xml:space="preserve">Persona u organización que tiene interés en el Sistema o que resulta afectada por él.</w:t>
            </w:r>
            <w:r/>
          </w:p>
        </w:tc>
        <w:tc>
          <w:tcPr>
            <w:shd w:val="clear" w:color="auto" w:fill="fafafc"/>
            <w:tcBorders/>
            <w:tcW w:w="2000" w:type="dxa"/>
          </w:tcPr>
          <w:p>
            <w:pPr>
              <w:pStyle w:val="731"/>
              <w:pBdr/>
              <w:spacing/>
              <w:ind/>
              <w:rPr/>
            </w:pPr>
            <w:r>
              <w:t xml:space="preserve">Definición de este ERS</w:t>
            </w:r>
            <w:r/>
          </w:p>
        </w:tc>
      </w:tr>
      <w:tr>
        <w:trPr>
          <w:cantSplit/>
        </w:trPr>
        <w:tc>
          <w:tcPr>
            <w:tcBorders/>
            <w:tcW w:w="2000" w:type="dxa"/>
          </w:tcPr>
          <w:p>
            <w:pPr>
              <w:pStyle w:val="731"/>
              <w:pBdr/>
              <w:spacing/>
              <w:ind/>
              <w:rPr/>
            </w:pPr>
            <w:r>
              <w:t xml:space="preserve">Criterio de aceptación</w:t>
            </w:r>
            <w:r/>
          </w:p>
        </w:tc>
        <w:tc>
          <w:tcPr>
            <w:tcBorders/>
            <w:tcW w:w="5404" w:type="dxa"/>
          </w:tcPr>
          <w:p>
            <w:pPr>
              <w:pStyle w:val="731"/>
              <w:pBdr/>
              <w:spacing/>
              <w:ind/>
              <w:rPr/>
            </w:pPr>
            <w:r>
              <w:t xml:space="preserve">Condición verificable que debe cumplirse para aceptar un requisito.</w:t>
            </w:r>
            <w:r/>
          </w:p>
        </w:tc>
        <w:tc>
          <w:tcPr>
            <w:tcBorders/>
            <w:tcW w:w="2000" w:type="dxa"/>
          </w:tcPr>
          <w:p>
            <w:pPr>
              <w:pStyle w:val="731"/>
              <w:pBdr/>
              <w:spacing/>
              <w:ind/>
              <w:rPr/>
            </w:pPr>
            <w:r>
              <w:t xml:space="preserve">Definición de este ERS</w:t>
            </w:r>
            <w:r/>
          </w:p>
        </w:tc>
      </w:tr>
      <w:tr>
        <w:trPr>
          <w:cantSplit/>
        </w:trPr>
        <w:tc>
          <w:tcPr>
            <w:shd w:val="clear" w:color="auto" w:fill="fafafc"/>
            <w:tcBorders/>
            <w:tcW w:w="2000" w:type="dxa"/>
          </w:tcPr>
          <w:p>
            <w:pPr>
              <w:pStyle w:val="731"/>
              <w:pBdr/>
              <w:spacing/>
              <w:ind/>
              <w:rPr/>
            </w:pPr>
            <w:r>
              <w:t xml:space="preserve">Verificación</w:t>
            </w:r>
            <w:r/>
          </w:p>
        </w:tc>
        <w:tc>
          <w:tcPr>
            <w:shd w:val="clear" w:color="auto" w:fill="fafafc"/>
            <w:tcBorders/>
            <w:tcW w:w="5404" w:type="dxa"/>
          </w:tcPr>
          <w:p>
            <w:pPr>
              <w:pStyle w:val="731"/>
              <w:pBdr/>
              <w:spacing/>
              <w:ind/>
              <w:rPr/>
            </w:pPr>
            <w:r>
              <w:t xml:space="preserve">Confirmación, mediante evidencia objetiva, de que se cumplen los requisitos especificados.</w:t>
            </w:r>
            <w:r/>
          </w:p>
        </w:tc>
        <w:tc>
          <w:tcPr>
            <w:shd w:val="clear" w:color="auto" w:fill="fafafc"/>
            <w:tcBorders/>
            <w:tcW w:w="2000" w:type="dxa"/>
          </w:tcPr>
          <w:p>
            <w:pPr>
              <w:pStyle w:val="731"/>
              <w:pBdr/>
              <w:spacing/>
              <w:ind/>
              <w:rPr/>
            </w:pPr>
            <w:r>
              <w:t xml:space="preserve">REF-09 (traducción libre)</w:t>
            </w:r>
            <w:r/>
          </w:p>
        </w:tc>
      </w:tr>
      <w:tr>
        <w:trPr>
          <w:cantSplit/>
        </w:trPr>
        <w:tc>
          <w:tcPr>
            <w:tcBorders/>
            <w:tcW w:w="2000" w:type="dxa"/>
          </w:tcPr>
          <w:p>
            <w:pPr>
              <w:pStyle w:val="731"/>
              <w:pBdr/>
              <w:spacing/>
              <w:ind/>
              <w:rPr/>
            </w:pPr>
            <w:r>
              <w:t xml:space="preserve">Validación</w:t>
            </w:r>
            <w:r/>
          </w:p>
        </w:tc>
        <w:tc>
          <w:tcPr>
            <w:tcBorders/>
            <w:tcW w:w="5404" w:type="dxa"/>
          </w:tcPr>
          <w:p>
            <w:pPr>
              <w:pStyle w:val="731"/>
              <w:pBdr/>
              <w:spacing/>
              <w:ind/>
              <w:rPr/>
            </w:pPr>
            <w:r>
              <w:t xml:space="preserve">Confirmación, mediante evidencia objetiva, de que se cumplen los requisitos para un uso o una aplicación específicos.</w:t>
            </w:r>
            <w:r/>
          </w:p>
        </w:tc>
        <w:tc>
          <w:tcPr>
            <w:tcBorders/>
            <w:tcW w:w="2000" w:type="dxa"/>
          </w:tcPr>
          <w:p>
            <w:pPr>
              <w:pStyle w:val="731"/>
              <w:pBdr/>
              <w:spacing/>
              <w:ind/>
              <w:rPr/>
            </w:pPr>
            <w:r>
              <w:t xml:space="preserve">REF-09 (traducción libre)</w:t>
            </w:r>
            <w:r/>
          </w:p>
        </w:tc>
      </w:tr>
      <w:tr>
        <w:trPr>
          <w:cantSplit/>
        </w:trPr>
        <w:tc>
          <w:tcPr>
            <w:shd w:val="clear" w:color="auto" w:fill="fafafc"/>
            <w:tcBorders/>
            <w:tcW w:w="2000" w:type="dxa"/>
          </w:tcPr>
          <w:p>
            <w:pPr>
              <w:pStyle w:val="731"/>
              <w:pBdr/>
              <w:spacing/>
              <w:ind/>
              <w:rPr/>
            </w:pPr>
            <w:r>
              <w:t xml:space="preserve">Trazabilidad</w:t>
            </w:r>
            <w:r/>
          </w:p>
        </w:tc>
        <w:tc>
          <w:tcPr>
            <w:shd w:val="clear" w:color="auto" w:fill="fafafc"/>
            <w:tcBorders/>
            <w:tcW w:w="5404" w:type="dxa"/>
          </w:tcPr>
          <w:p>
            <w:pPr>
              <w:pStyle w:val="731"/>
              <w:pBdr/>
              <w:spacing/>
              <w:ind/>
              <w:rPr/>
            </w:pPr>
            <w:r>
              <w:t xml:space="preserve">Capacidad de relacionar cada requisito con su origen y con los elementos que lo implementan y lo verifican.</w:t>
            </w:r>
            <w:r/>
          </w:p>
        </w:tc>
        <w:tc>
          <w:tcPr>
            <w:shd w:val="clear" w:color="auto" w:fill="fafafc"/>
            <w:tcBorders/>
            <w:tcW w:w="2000" w:type="dxa"/>
          </w:tcPr>
          <w:p>
            <w:pPr>
              <w:pStyle w:val="731"/>
              <w:pBdr/>
              <w:spacing/>
              <w:ind/>
              <w:rPr/>
            </w:pPr>
            <w:r>
              <w:t xml:space="preserve">Definición de este ERS</w:t>
            </w:r>
            <w:r/>
          </w:p>
        </w:tc>
      </w:tr>
      <w:tr>
        <w:trPr>
          <w:cantSplit/>
        </w:trPr>
        <w:tc>
          <w:tcPr>
            <w:tcBorders/>
            <w:tcW w:w="2000" w:type="dxa"/>
          </w:tcPr>
          <w:p>
            <w:pPr>
              <w:pStyle w:val="731"/>
              <w:pBdr/>
              <w:spacing/>
              <w:ind/>
              <w:rPr/>
            </w:pPr>
            <w:r>
              <w:t xml:space="preserve">Usuario con cuenta</w:t>
            </w:r>
            <w:r/>
          </w:p>
        </w:tc>
        <w:tc>
          <w:tcPr>
            <w:tcBorders/>
            <w:tcW w:w="5404" w:type="dxa"/>
          </w:tcPr>
          <w:p>
            <w:pPr>
              <w:pStyle w:val="731"/>
              <w:pBdr/>
              <w:spacing/>
              <w:ind/>
              <w:rPr/>
            </w:pPr>
            <w:r>
              <w:t xml:space="preserve">Integrante de la Liga que accede al Sistema con una cuenta propia.</w:t>
            </w:r>
            <w:r/>
          </w:p>
        </w:tc>
        <w:tc>
          <w:tcPr>
            <w:tcBorders/>
            <w:tcW w:w="2000" w:type="dxa"/>
          </w:tcPr>
          <w:p>
            <w:pPr>
              <w:pStyle w:val="731"/>
              <w:pBdr/>
              <w:spacing/>
              <w:ind/>
              <w:rPr/>
            </w:pPr>
            <w:r>
              <w:t xml:space="preserve">REF-07, P20</w:t>
            </w:r>
            <w:r/>
          </w:p>
        </w:tc>
      </w:tr>
      <w:tr>
        <w:trPr>
          <w:cantSplit/>
        </w:trPr>
        <w:tc>
          <w:tcPr>
            <w:shd w:val="clear" w:color="auto" w:fill="fafafc"/>
            <w:tcBorders/>
            <w:tcW w:w="2000" w:type="dxa"/>
          </w:tcPr>
          <w:p>
            <w:pPr>
              <w:pStyle w:val="731"/>
              <w:pBdr/>
              <w:spacing/>
              <w:ind/>
              <w:rPr/>
            </w:pPr>
            <w:r>
              <w:t xml:space="preserve">Usuario público</w:t>
            </w:r>
            <w:r/>
          </w:p>
        </w:tc>
        <w:tc>
          <w:tcPr>
            <w:shd w:val="clear" w:color="auto" w:fill="fafafc"/>
            <w:tcBorders/>
            <w:tcW w:w="5404" w:type="dxa"/>
          </w:tcPr>
          <w:p>
            <w:pPr>
              <w:pStyle w:val="731"/>
              <w:pBdr/>
              <w:spacing/>
              <w:ind/>
              <w:rPr/>
            </w:pPr>
            <w:r>
              <w:t xml:space="preserve">Persona externa que consulta información general o específica sin crear una cuenta.</w:t>
            </w:r>
            <w:r/>
          </w:p>
        </w:tc>
        <w:tc>
          <w:tcPr>
            <w:shd w:val="clear" w:color="auto" w:fill="fafafc"/>
            <w:tcBorders/>
            <w:tcW w:w="2000" w:type="dxa"/>
          </w:tcPr>
          <w:p>
            <w:pPr>
              <w:pStyle w:val="731"/>
              <w:pBdr/>
              <w:spacing/>
              <w:ind/>
              <w:rPr/>
            </w:pPr>
            <w:r>
              <w:t xml:space="preserve">REF-07, P20</w:t>
            </w:r>
            <w:r/>
          </w:p>
        </w:tc>
      </w:tr>
      <w:tr>
        <w:trPr>
          <w:cantSplit/>
        </w:trPr>
        <w:tc>
          <w:tcPr>
            <w:tcBorders/>
            <w:tcW w:w="2000" w:type="dxa"/>
          </w:tcPr>
          <w:p>
            <w:pPr>
              <w:pStyle w:val="731"/>
              <w:pBdr/>
              <w:spacing/>
              <w:ind/>
              <w:rPr/>
            </w:pPr>
            <w:r>
              <w:t xml:space="preserve">Operación sin conexión</w:t>
            </w:r>
            <w:r/>
          </w:p>
        </w:tc>
        <w:tc>
          <w:tcPr>
            <w:tcBorders/>
            <w:tcW w:w="5404" w:type="dxa"/>
          </w:tcPr>
          <w:p>
            <w:pPr>
              <w:pStyle w:val="731"/>
              <w:pBdr/>
              <w:spacing/>
              <w:ind/>
              <w:rPr/>
            </w:pPr>
            <w:r>
              <w:t xml:space="preserve">Uso del Sistema sin acceso a Internet. Alcance: </w:t>
            </w:r>
            <w:r>
              <w:rPr>
                <w:b/>
                <w:bCs/>
                <w:color w:val="9c4a00"/>
                <w:shd w:val="clear" w:color="auto" w:fill="fff2cc"/>
              </w:rPr>
              <w:t xml:space="preserve">[POR DEFINIR]</w:t>
            </w:r>
            <w:r>
              <w:t xml:space="preserve"> (C-01).</w:t>
            </w:r>
            <w:r/>
          </w:p>
        </w:tc>
        <w:tc>
          <w:tcPr>
            <w:tcBorders/>
            <w:tcW w:w="2000" w:type="dxa"/>
          </w:tcPr>
          <w:p>
            <w:pPr>
              <w:pStyle w:val="731"/>
              <w:pBdr/>
              <w:spacing/>
              <w:ind/>
              <w:rPr/>
            </w:pPr>
            <w:r>
              <w:t xml:space="preserve">REF-07, P21</w:t>
            </w:r>
            <w:r/>
          </w:p>
        </w:tc>
      </w:tr>
    </w:tbl>
    <w:p>
      <w:pPr>
        <w:pBdr/>
        <w:spacing w:after="60" w:before="0"/>
        <w:ind/>
        <w:rPr/>
      </w:pPr>
      <w:r/>
      <w:r/>
    </w:p>
    <w:p>
      <w:pPr>
        <w:pStyle w:val="725"/>
        <w:pBdr/>
        <w:spacing/>
        <w:ind/>
        <w:rPr/>
      </w:pPr>
      <w:r/>
      <w:bookmarkStart w:id="23" w:name="_Toc100023"/>
      <w:r>
        <w:t xml:space="preserve">1.3.7 Acrónimos y abreviaturas</w:t>
      </w:r>
      <w:bookmarkEnd w:id="23"/>
      <w:r/>
      <w:r/>
    </w:p>
    <w:p>
      <w:pPr>
        <w:pStyle w:val="732"/>
        <w:keepNext w:val="true"/>
        <w:pBdr/>
        <w:spacing/>
        <w:ind/>
        <w:rPr/>
      </w:pPr>
      <w:r>
        <w:rPr>
          <w:b/>
          <w:bCs/>
          <w:color w:val="241a61"/>
          <w:sz w:val="18"/>
          <w:szCs w:val="18"/>
        </w:rPr>
        <w:t xml:space="preserve">Tabla 15. </w:t>
      </w:r>
      <w:r>
        <w:rPr>
          <w:sz w:val="18"/>
          <w:szCs w:val="18"/>
        </w:rPr>
        <w:t xml:space="preserve">Acrónimos y abreviaturas.</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500"/>
        <w:gridCol w:w="6104"/>
        <w:gridCol w:w="1800"/>
      </w:tblGrid>
      <w:tr>
        <w:trPr>
          <w:cantSplit/>
          <w:tblHeader/>
        </w:trPr>
        <w:tc>
          <w:tcPr>
            <w:shd w:val="clear" w:color="auto" w:fill="241a61"/>
            <w:tcBorders/>
            <w:tcW w:w="1500" w:type="dxa"/>
            <w:vAlign w:val="center"/>
          </w:tcPr>
          <w:p>
            <w:pPr>
              <w:pStyle w:val="731"/>
              <w:pBdr/>
              <w:spacing/>
              <w:ind/>
              <w:rPr/>
            </w:pPr>
            <w:r>
              <w:rPr>
                <w:b/>
                <w:bCs/>
                <w:color w:val="ffffff"/>
              </w:rPr>
              <w:t xml:space="preserve">Sigla</w:t>
            </w:r>
            <w:r/>
          </w:p>
        </w:tc>
        <w:tc>
          <w:tcPr>
            <w:shd w:val="clear" w:color="auto" w:fill="241a61"/>
            <w:tcBorders/>
            <w:tcW w:w="6104" w:type="dxa"/>
            <w:vAlign w:val="center"/>
          </w:tcPr>
          <w:p>
            <w:pPr>
              <w:pStyle w:val="731"/>
              <w:pBdr/>
              <w:spacing/>
              <w:ind/>
              <w:rPr/>
            </w:pPr>
            <w:r>
              <w:rPr>
                <w:b/>
                <w:bCs/>
                <w:color w:val="ffffff"/>
              </w:rPr>
              <w:t xml:space="preserve">Significado</w:t>
            </w:r>
            <w:r/>
          </w:p>
        </w:tc>
        <w:tc>
          <w:tcPr>
            <w:shd w:val="clear" w:color="auto" w:fill="241a61"/>
            <w:tcBorders/>
            <w:tcW w:w="1800" w:type="dxa"/>
            <w:vAlign w:val="center"/>
          </w:tcPr>
          <w:p>
            <w:pPr>
              <w:pStyle w:val="731"/>
              <w:pBdr/>
              <w:spacing/>
              <w:ind/>
              <w:rPr/>
            </w:pPr>
            <w:r>
              <w:rPr>
                <w:b/>
                <w:bCs/>
                <w:color w:val="ffffff"/>
              </w:rPr>
              <w:t xml:space="preserve">Fuente</w:t>
            </w:r>
            <w:r/>
          </w:p>
        </w:tc>
      </w:tr>
      <w:tr>
        <w:trPr>
          <w:cantSplit/>
        </w:trPr>
        <w:tc>
          <w:tcPr>
            <w:tcBorders/>
            <w:tcW w:w="1500" w:type="dxa"/>
          </w:tcPr>
          <w:p>
            <w:pPr>
              <w:pStyle w:val="731"/>
              <w:pBdr/>
              <w:spacing/>
              <w:ind/>
              <w:rPr/>
            </w:pPr>
            <w:r>
              <w:t xml:space="preserve">A.C.</w:t>
            </w:r>
            <w:r/>
          </w:p>
        </w:tc>
        <w:tc>
          <w:tcPr>
            <w:tcBorders/>
            <w:tcW w:w="6104" w:type="dxa"/>
          </w:tcPr>
          <w:p>
            <w:pPr>
              <w:pStyle w:val="731"/>
              <w:pBdr/>
              <w:spacing/>
              <w:ind/>
              <w:rPr/>
            </w:pPr>
            <w:r>
              <w:t xml:space="preserve">Asociación Civil.</w:t>
            </w:r>
            <w:r/>
          </w:p>
        </w:tc>
        <w:tc>
          <w:tcPr>
            <w:tcBorders/>
            <w:tcW w:w="1800" w:type="dxa"/>
          </w:tcPr>
          <w:p>
            <w:pPr>
              <w:pStyle w:val="731"/>
              <w:pBdr/>
              <w:spacing/>
              <w:ind/>
              <w:rPr/>
            </w:pPr>
            <w:r>
              <w:t xml:space="preserve">REF-01</w:t>
            </w:r>
            <w:r/>
          </w:p>
        </w:tc>
      </w:tr>
      <w:tr>
        <w:trPr>
          <w:cantSplit/>
        </w:trPr>
        <w:tc>
          <w:tcPr>
            <w:shd w:val="clear" w:color="auto" w:fill="fafafc"/>
            <w:tcBorders/>
            <w:tcW w:w="1500" w:type="dxa"/>
          </w:tcPr>
          <w:p>
            <w:pPr>
              <w:pStyle w:val="731"/>
              <w:pBdr/>
              <w:spacing/>
              <w:ind/>
              <w:rPr/>
            </w:pPr>
            <w:r>
              <w:t xml:space="preserve">AF</w:t>
            </w:r>
            <w:r/>
          </w:p>
        </w:tc>
        <w:tc>
          <w:tcPr>
            <w:shd w:val="clear" w:color="auto" w:fill="fafafc"/>
            <w:tcBorders/>
            <w:tcW w:w="6104" w:type="dxa"/>
          </w:tcPr>
          <w:p>
            <w:pPr>
              <w:pStyle w:val="731"/>
              <w:pBdr/>
              <w:spacing/>
              <w:ind/>
              <w:rPr/>
            </w:pPr>
            <w:r>
              <w:t xml:space="preserve">Área funcional (convención de este ERS).</w:t>
            </w:r>
            <w:r/>
          </w:p>
        </w:tc>
        <w:tc>
          <w:tcPr>
            <w:shd w:val="clear" w:color="auto" w:fill="fafafc"/>
            <w:tcBorders/>
            <w:tcW w:w="1800" w:type="dxa"/>
          </w:tcPr>
          <w:p>
            <w:pPr>
              <w:pStyle w:val="731"/>
              <w:pBdr/>
              <w:spacing/>
              <w:ind/>
              <w:rPr/>
            </w:pPr>
            <w:r>
              <w:t xml:space="preserve">1.5.2</w:t>
            </w:r>
            <w:r/>
          </w:p>
        </w:tc>
      </w:tr>
      <w:tr>
        <w:trPr>
          <w:cantSplit/>
        </w:trPr>
        <w:tc>
          <w:tcPr>
            <w:tcBorders/>
            <w:tcW w:w="1500" w:type="dxa"/>
          </w:tcPr>
          <w:p>
            <w:pPr>
              <w:pStyle w:val="731"/>
              <w:pBdr/>
              <w:spacing/>
              <w:ind/>
              <w:rPr/>
            </w:pPr>
            <w:r>
              <w:t xml:space="preserve">Art.</w:t>
            </w:r>
            <w:r/>
          </w:p>
        </w:tc>
        <w:tc>
          <w:tcPr>
            <w:tcBorders/>
            <w:tcW w:w="6104" w:type="dxa"/>
          </w:tcPr>
          <w:p>
            <w:pPr>
              <w:pStyle w:val="731"/>
              <w:pBdr/>
              <w:spacing/>
              <w:ind/>
              <w:rPr/>
            </w:pPr>
            <w:r>
              <w:t xml:space="preserve">Artículo del reglamento interno de la Liga.</w:t>
            </w:r>
            <w:r/>
          </w:p>
        </w:tc>
        <w:tc>
          <w:tcPr>
            <w:tcBorders/>
            <w:tcW w:w="1800" w:type="dxa"/>
          </w:tcPr>
          <w:p>
            <w:pPr>
              <w:pStyle w:val="731"/>
              <w:pBdr/>
              <w:spacing/>
              <w:ind/>
              <w:rPr/>
            </w:pPr>
            <w:r>
              <w:t xml:space="preserve">REF-01; REF-03</w:t>
            </w:r>
            <w:r/>
          </w:p>
        </w:tc>
      </w:tr>
      <w:tr>
        <w:trPr>
          <w:cantSplit/>
        </w:trPr>
        <w:tc>
          <w:tcPr>
            <w:shd w:val="clear" w:color="auto" w:fill="fafafc"/>
            <w:tcBorders/>
            <w:tcW w:w="1500" w:type="dxa"/>
          </w:tcPr>
          <w:p>
            <w:pPr>
              <w:pStyle w:val="731"/>
              <w:pBdr/>
              <w:spacing/>
              <w:ind/>
              <w:rPr/>
            </w:pPr>
            <w:r>
              <w:t xml:space="preserve">CURP</w:t>
            </w:r>
            <w:r/>
          </w:p>
        </w:tc>
        <w:tc>
          <w:tcPr>
            <w:shd w:val="clear" w:color="auto" w:fill="fafafc"/>
            <w:tcBorders/>
            <w:tcW w:w="6104" w:type="dxa"/>
          </w:tcPr>
          <w:p>
            <w:pPr>
              <w:pStyle w:val="731"/>
              <w:pBdr/>
              <w:spacing/>
              <w:ind/>
              <w:rPr/>
            </w:pPr>
            <w:r>
              <w:t xml:space="preserve">Clave Única de Registro de Población.</w:t>
            </w:r>
            <w:r/>
          </w:p>
        </w:tc>
        <w:tc>
          <w:tcPr>
            <w:shd w:val="clear" w:color="auto" w:fill="fafafc"/>
            <w:tcBorders/>
            <w:tcW w:w="1800" w:type="dxa"/>
          </w:tcPr>
          <w:p>
            <w:pPr>
              <w:pStyle w:val="731"/>
              <w:pBdr/>
              <w:spacing/>
              <w:ind/>
              <w:rPr/>
            </w:pPr>
            <w:r>
              <w:t xml:space="preserve">REF-01; REF-02</w:t>
            </w:r>
            <w:r/>
          </w:p>
        </w:tc>
      </w:tr>
      <w:tr>
        <w:trPr>
          <w:cantSplit/>
        </w:trPr>
        <w:tc>
          <w:tcPr>
            <w:tcBorders/>
            <w:tcW w:w="1500" w:type="dxa"/>
          </w:tcPr>
          <w:p>
            <w:pPr>
              <w:pStyle w:val="731"/>
              <w:pBdr/>
              <w:spacing/>
              <w:ind/>
              <w:rPr/>
            </w:pPr>
            <w:r>
              <w:t xml:space="preserve">DG</w:t>
            </w:r>
            <w:r/>
          </w:p>
        </w:tc>
        <w:tc>
          <w:tcPr>
            <w:tcBorders/>
            <w:tcW w:w="6104" w:type="dxa"/>
          </w:tcPr>
          <w:p>
            <w:pPr>
              <w:pStyle w:val="731"/>
              <w:pBdr/>
              <w:spacing/>
              <w:ind/>
              <w:rPr/>
            </w:pPr>
            <w:r>
              <w:t xml:space="preserve">Diferencia de goles.</w:t>
            </w:r>
            <w:r/>
          </w:p>
        </w:tc>
        <w:tc>
          <w:tcPr>
            <w:tcBorders/>
            <w:tcW w:w="1800" w:type="dxa"/>
          </w:tcPr>
          <w:p>
            <w:pPr>
              <w:pStyle w:val="731"/>
              <w:pBdr/>
              <w:spacing/>
              <w:ind/>
              <w:rPr/>
            </w:pPr>
            <w:r>
              <w:t xml:space="preserve">REF-07, P14</w:t>
            </w:r>
            <w:r/>
          </w:p>
        </w:tc>
      </w:tr>
      <w:tr>
        <w:trPr>
          <w:cantSplit/>
        </w:trPr>
        <w:tc>
          <w:tcPr>
            <w:shd w:val="clear" w:color="auto" w:fill="fafafc"/>
            <w:tcBorders/>
            <w:tcW w:w="1500" w:type="dxa"/>
          </w:tcPr>
          <w:p>
            <w:pPr>
              <w:pStyle w:val="731"/>
              <w:pBdr/>
              <w:spacing/>
              <w:ind/>
              <w:rPr/>
            </w:pPr>
            <w:r>
              <w:t xml:space="preserve">DOF</w:t>
            </w:r>
            <w:r/>
          </w:p>
        </w:tc>
        <w:tc>
          <w:tcPr>
            <w:shd w:val="clear" w:color="auto" w:fill="fafafc"/>
            <w:tcBorders/>
            <w:tcW w:w="6104" w:type="dxa"/>
          </w:tcPr>
          <w:p>
            <w:pPr>
              <w:pStyle w:val="731"/>
              <w:pBdr/>
              <w:spacing/>
              <w:ind/>
              <w:rPr/>
            </w:pPr>
            <w:r>
              <w:t xml:space="preserve">Diario Oficial de la Federación.</w:t>
            </w:r>
            <w:r/>
          </w:p>
        </w:tc>
        <w:tc>
          <w:tcPr>
            <w:shd w:val="clear" w:color="auto" w:fill="fafafc"/>
            <w:tcBorders/>
            <w:tcW w:w="1800" w:type="dxa"/>
          </w:tcPr>
          <w:p>
            <w:pPr>
              <w:pStyle w:val="731"/>
              <w:pBdr/>
              <w:spacing/>
              <w:ind/>
              <w:rPr/>
            </w:pPr>
            <w:r>
              <w:t xml:space="preserve">REF-12</w:t>
            </w:r>
            <w:r/>
          </w:p>
        </w:tc>
      </w:tr>
      <w:tr>
        <w:trPr>
          <w:cantSplit/>
        </w:trPr>
        <w:tc>
          <w:tcPr>
            <w:tcBorders/>
            <w:tcW w:w="1500" w:type="dxa"/>
          </w:tcPr>
          <w:p>
            <w:pPr>
              <w:pStyle w:val="731"/>
              <w:pBdr/>
              <w:spacing/>
              <w:ind/>
              <w:rPr/>
            </w:pPr>
            <w:r>
              <w:t xml:space="preserve">ERS</w:t>
            </w:r>
            <w:r/>
          </w:p>
        </w:tc>
        <w:tc>
          <w:tcPr>
            <w:tcBorders/>
            <w:tcW w:w="6104" w:type="dxa"/>
          </w:tcPr>
          <w:p>
            <w:pPr>
              <w:pStyle w:val="731"/>
              <w:pBdr/>
              <w:spacing/>
              <w:ind/>
              <w:rPr/>
            </w:pPr>
            <w:r>
              <w:t xml:space="preserve">Especificación de Requisitos de Software (en inglés, SRS).</w:t>
            </w:r>
            <w:r/>
          </w:p>
        </w:tc>
        <w:tc>
          <w:tcPr>
            <w:tcBorders/>
            <w:tcW w:w="1800" w:type="dxa"/>
          </w:tcPr>
          <w:p>
            <w:pPr>
              <w:pStyle w:val="731"/>
              <w:pBdr/>
              <w:spacing/>
              <w:ind/>
              <w:rPr/>
            </w:pPr>
            <w:r>
              <w:t xml:space="preserve">REF-09</w:t>
            </w:r>
            <w:r/>
          </w:p>
        </w:tc>
      </w:tr>
      <w:tr>
        <w:trPr>
          <w:cantSplit/>
        </w:trPr>
        <w:tc>
          <w:tcPr>
            <w:shd w:val="clear" w:color="auto" w:fill="fafafc"/>
            <w:tcBorders/>
            <w:tcW w:w="1500" w:type="dxa"/>
          </w:tcPr>
          <w:p>
            <w:pPr>
              <w:pStyle w:val="731"/>
              <w:pBdr/>
              <w:spacing/>
              <w:ind/>
              <w:rPr/>
            </w:pPr>
            <w:r>
              <w:t xml:space="preserve">GC</w:t>
            </w:r>
            <w:r/>
          </w:p>
        </w:tc>
        <w:tc>
          <w:tcPr>
            <w:shd w:val="clear" w:color="auto" w:fill="fafafc"/>
            <w:tcBorders/>
            <w:tcW w:w="6104" w:type="dxa"/>
          </w:tcPr>
          <w:p>
            <w:pPr>
              <w:pStyle w:val="731"/>
              <w:pBdr/>
              <w:spacing/>
              <w:ind/>
              <w:rPr/>
            </w:pPr>
            <w:r>
              <w:t xml:space="preserve">Goles en contra.</w:t>
            </w:r>
            <w:r/>
          </w:p>
        </w:tc>
        <w:tc>
          <w:tcPr>
            <w:shd w:val="clear" w:color="auto" w:fill="fafafc"/>
            <w:tcBorders/>
            <w:tcW w:w="1800" w:type="dxa"/>
          </w:tcPr>
          <w:p>
            <w:pPr>
              <w:pStyle w:val="731"/>
              <w:pBdr/>
              <w:spacing/>
              <w:ind/>
              <w:rPr/>
            </w:pPr>
            <w:r>
              <w:t xml:space="preserve">REF-07, P14</w:t>
            </w:r>
            <w:r/>
          </w:p>
        </w:tc>
      </w:tr>
      <w:tr>
        <w:trPr>
          <w:cantSplit/>
        </w:trPr>
        <w:tc>
          <w:tcPr>
            <w:tcBorders/>
            <w:tcW w:w="1500" w:type="dxa"/>
          </w:tcPr>
          <w:p>
            <w:pPr>
              <w:pStyle w:val="731"/>
              <w:pBdr/>
              <w:spacing/>
              <w:ind/>
              <w:rPr/>
            </w:pPr>
            <w:r>
              <w:t xml:space="preserve">GF</w:t>
            </w:r>
            <w:r/>
          </w:p>
        </w:tc>
        <w:tc>
          <w:tcPr>
            <w:tcBorders/>
            <w:tcW w:w="6104" w:type="dxa"/>
          </w:tcPr>
          <w:p>
            <w:pPr>
              <w:pStyle w:val="731"/>
              <w:pBdr/>
              <w:spacing/>
              <w:ind/>
              <w:rPr/>
            </w:pPr>
            <w:r>
              <w:t xml:space="preserve">Goles a favor.</w:t>
            </w:r>
            <w:r/>
          </w:p>
        </w:tc>
        <w:tc>
          <w:tcPr>
            <w:tcBorders/>
            <w:tcW w:w="1800" w:type="dxa"/>
          </w:tcPr>
          <w:p>
            <w:pPr>
              <w:pStyle w:val="731"/>
              <w:pBdr/>
              <w:spacing/>
              <w:ind/>
              <w:rPr/>
            </w:pPr>
            <w:r>
              <w:t xml:space="preserve">REF-07, P14</w:t>
            </w:r>
            <w:r/>
          </w:p>
        </w:tc>
      </w:tr>
      <w:tr>
        <w:trPr>
          <w:cantSplit/>
        </w:trPr>
        <w:tc>
          <w:tcPr>
            <w:shd w:val="clear" w:color="auto" w:fill="fafafc"/>
            <w:tcBorders/>
            <w:tcW w:w="1500" w:type="dxa"/>
          </w:tcPr>
          <w:p>
            <w:pPr>
              <w:pStyle w:val="731"/>
              <w:pBdr/>
              <w:spacing/>
              <w:ind/>
              <w:rPr/>
            </w:pPr>
            <w:r>
              <w:t xml:space="preserve">IEC</w:t>
            </w:r>
            <w:r/>
          </w:p>
        </w:tc>
        <w:tc>
          <w:tcPr>
            <w:shd w:val="clear" w:color="auto" w:fill="fafafc"/>
            <w:tcBorders/>
            <w:tcW w:w="6104" w:type="dxa"/>
          </w:tcPr>
          <w:p>
            <w:pPr>
              <w:pStyle w:val="731"/>
              <w:pBdr/>
              <w:spacing/>
              <w:ind/>
              <w:rPr/>
            </w:pPr>
            <w:r>
              <w:t xml:space="preserve">International Electrotechnical Commission.</w:t>
            </w:r>
            <w:r/>
          </w:p>
        </w:tc>
        <w:tc>
          <w:tcPr>
            <w:shd w:val="clear" w:color="auto" w:fill="fafafc"/>
            <w:tcBorders/>
            <w:tcW w:w="1800" w:type="dxa"/>
          </w:tcPr>
          <w:p>
            <w:pPr>
              <w:pStyle w:val="731"/>
              <w:pBdr/>
              <w:spacing/>
              <w:ind/>
              <w:rPr/>
            </w:pPr>
            <w:r>
              <w:t xml:space="preserve">REF-09</w:t>
            </w:r>
            <w:r/>
          </w:p>
        </w:tc>
      </w:tr>
      <w:tr>
        <w:trPr>
          <w:cantSplit/>
        </w:trPr>
        <w:tc>
          <w:tcPr>
            <w:tcBorders/>
            <w:tcW w:w="1500" w:type="dxa"/>
          </w:tcPr>
          <w:p>
            <w:pPr>
              <w:pStyle w:val="731"/>
              <w:pBdr/>
              <w:spacing/>
              <w:ind/>
              <w:rPr/>
            </w:pPr>
            <w:r>
              <w:t xml:space="preserve">IEEE</w:t>
            </w:r>
            <w:r/>
          </w:p>
        </w:tc>
        <w:tc>
          <w:tcPr>
            <w:tcBorders/>
            <w:tcW w:w="6104" w:type="dxa"/>
          </w:tcPr>
          <w:p>
            <w:pPr>
              <w:pStyle w:val="731"/>
              <w:pBdr/>
              <w:spacing/>
              <w:ind/>
              <w:rPr/>
            </w:pPr>
            <w:r>
              <w:t xml:space="preserve">Institute of Electrical and Electronics Engineers.</w:t>
            </w:r>
            <w:r/>
          </w:p>
        </w:tc>
        <w:tc>
          <w:tcPr>
            <w:tcBorders/>
            <w:tcW w:w="1800" w:type="dxa"/>
          </w:tcPr>
          <w:p>
            <w:pPr>
              <w:pStyle w:val="731"/>
              <w:pBdr/>
              <w:spacing/>
              <w:ind/>
              <w:rPr/>
            </w:pPr>
            <w:r>
              <w:t xml:space="preserve">REF-09</w:t>
            </w:r>
            <w:r/>
          </w:p>
        </w:tc>
      </w:tr>
      <w:tr>
        <w:trPr>
          <w:cantSplit/>
        </w:trPr>
        <w:tc>
          <w:tcPr>
            <w:shd w:val="clear" w:color="auto" w:fill="fafafc"/>
            <w:tcBorders/>
            <w:tcW w:w="1500" w:type="dxa"/>
          </w:tcPr>
          <w:p>
            <w:pPr>
              <w:pStyle w:val="731"/>
              <w:pBdr/>
              <w:spacing/>
              <w:ind/>
              <w:rPr/>
            </w:pPr>
            <w:r>
              <w:t xml:space="preserve">IMCUFIDE</w:t>
            </w:r>
            <w:r/>
          </w:p>
        </w:tc>
        <w:tc>
          <w:tcPr>
            <w:shd w:val="clear" w:color="auto" w:fill="fafafc"/>
            <w:tcBorders/>
            <w:tcW w:w="6104" w:type="dxa"/>
          </w:tcPr>
          <w:p>
            <w:pPr>
              <w:pStyle w:val="731"/>
              <w:pBdr/>
              <w:spacing/>
              <w:ind/>
              <w:rPr/>
            </w:pPr>
            <w:r>
              <w:t xml:space="preserve">Instituto Municipal de Cultura Física y Deporte, organismo descentralizado del Ayuntamiento de Morelia. En el levantamiento se le llama «IMDE» [REF-07, P18]; el nombre y las siglas se tomaron de su sitio oficial.</w:t>
            </w:r>
            <w:r/>
          </w:p>
        </w:tc>
        <w:tc>
          <w:tcPr>
            <w:shd w:val="clear" w:color="auto" w:fill="fafafc"/>
            <w:tcBorders/>
            <w:tcW w:w="1800" w:type="dxa"/>
          </w:tcPr>
          <w:p>
            <w:pPr>
              <w:pStyle w:val="731"/>
              <w:pBdr/>
              <w:spacing/>
              <w:ind/>
              <w:rPr/>
            </w:pPr>
            <w:r>
              <w:t xml:space="preserve">REF-13</w:t>
            </w:r>
            <w:r/>
          </w:p>
        </w:tc>
      </w:tr>
      <w:tr>
        <w:trPr>
          <w:cantSplit/>
        </w:trPr>
        <w:tc>
          <w:tcPr>
            <w:tcBorders/>
            <w:tcW w:w="1500" w:type="dxa"/>
          </w:tcPr>
          <w:p>
            <w:pPr>
              <w:pStyle w:val="731"/>
              <w:pBdr/>
              <w:spacing/>
              <w:ind/>
              <w:rPr/>
            </w:pPr>
            <w:r>
              <w:t xml:space="preserve">INE</w:t>
            </w:r>
            <w:r/>
          </w:p>
        </w:tc>
        <w:tc>
          <w:tcPr>
            <w:tcBorders/>
            <w:tcW w:w="6104" w:type="dxa"/>
          </w:tcPr>
          <w:p>
            <w:pPr>
              <w:pStyle w:val="731"/>
              <w:pBdr/>
              <w:spacing/>
              <w:ind/>
              <w:rPr/>
            </w:pPr>
            <w:r>
              <w:t xml:space="preserve">Instituto Nacional Electoral; su credencial para votar se usa como identificación.</w:t>
            </w:r>
            <w:r/>
          </w:p>
        </w:tc>
        <w:tc>
          <w:tcPr>
            <w:tcBorders/>
            <w:tcW w:w="1800" w:type="dxa"/>
          </w:tcPr>
          <w:p>
            <w:pPr>
              <w:pStyle w:val="731"/>
              <w:pBdr/>
              <w:spacing/>
              <w:ind/>
              <w:rPr/>
            </w:pPr>
            <w:r>
              <w:t xml:space="preserve">REF-01, II-b</w:t>
            </w:r>
            <w:r/>
          </w:p>
        </w:tc>
      </w:tr>
      <w:tr>
        <w:trPr>
          <w:cantSplit/>
        </w:trPr>
        <w:tc>
          <w:tcPr>
            <w:shd w:val="clear" w:color="auto" w:fill="fafafc"/>
            <w:tcBorders/>
            <w:tcW w:w="1500" w:type="dxa"/>
          </w:tcPr>
          <w:p>
            <w:pPr>
              <w:pStyle w:val="731"/>
              <w:pBdr/>
              <w:spacing/>
              <w:ind/>
              <w:rPr/>
            </w:pPr>
            <w:r>
              <w:t xml:space="preserve">ISO</w:t>
            </w:r>
            <w:r/>
          </w:p>
        </w:tc>
        <w:tc>
          <w:tcPr>
            <w:shd w:val="clear" w:color="auto" w:fill="fafafc"/>
            <w:tcBorders/>
            <w:tcW w:w="6104" w:type="dxa"/>
          </w:tcPr>
          <w:p>
            <w:pPr>
              <w:pStyle w:val="731"/>
              <w:pBdr/>
              <w:spacing/>
              <w:ind/>
              <w:rPr/>
            </w:pPr>
            <w:r>
              <w:t xml:space="preserve">International Organization for Standardization.</w:t>
            </w:r>
            <w:r/>
          </w:p>
        </w:tc>
        <w:tc>
          <w:tcPr>
            <w:shd w:val="clear" w:color="auto" w:fill="fafafc"/>
            <w:tcBorders/>
            <w:tcW w:w="1800" w:type="dxa"/>
          </w:tcPr>
          <w:p>
            <w:pPr>
              <w:pStyle w:val="731"/>
              <w:pBdr/>
              <w:spacing/>
              <w:ind/>
              <w:rPr/>
            </w:pPr>
            <w:r>
              <w:t xml:space="preserve">REF-09</w:t>
            </w:r>
            <w:r/>
          </w:p>
        </w:tc>
      </w:tr>
      <w:tr>
        <w:trPr>
          <w:cantSplit/>
        </w:trPr>
        <w:tc>
          <w:tcPr>
            <w:tcBorders/>
            <w:tcW w:w="1500" w:type="dxa"/>
          </w:tcPr>
          <w:p>
            <w:pPr>
              <w:pStyle w:val="731"/>
              <w:pBdr/>
              <w:spacing/>
              <w:ind/>
              <w:rPr/>
            </w:pPr>
            <w:r>
              <w:t xml:space="preserve">LFPDPPP</w:t>
            </w:r>
            <w:r/>
          </w:p>
        </w:tc>
        <w:tc>
          <w:tcPr>
            <w:tcBorders/>
            <w:tcW w:w="6104" w:type="dxa"/>
          </w:tcPr>
          <w:p>
            <w:pPr>
              <w:pStyle w:val="731"/>
              <w:pBdr/>
              <w:spacing/>
              <w:ind/>
              <w:rPr/>
            </w:pPr>
            <w:r>
              <w:t xml:space="preserve">Ley Federal de Protección de Datos Personales en Posesión de los Particulares.</w:t>
            </w:r>
            <w:r/>
          </w:p>
        </w:tc>
        <w:tc>
          <w:tcPr>
            <w:tcBorders/>
            <w:tcW w:w="1800" w:type="dxa"/>
          </w:tcPr>
          <w:p>
            <w:pPr>
              <w:pStyle w:val="731"/>
              <w:pBdr/>
              <w:spacing/>
              <w:ind/>
              <w:rPr/>
            </w:pPr>
            <w:r>
              <w:t xml:space="preserve">REF-12</w:t>
            </w:r>
            <w:r/>
          </w:p>
        </w:tc>
      </w:tr>
      <w:tr>
        <w:trPr>
          <w:cantSplit/>
        </w:trPr>
        <w:tc>
          <w:tcPr>
            <w:shd w:val="clear" w:color="auto" w:fill="fafafc"/>
            <w:tcBorders/>
            <w:tcW w:w="1500" w:type="dxa"/>
          </w:tcPr>
          <w:p>
            <w:pPr>
              <w:pStyle w:val="731"/>
              <w:pBdr/>
              <w:spacing/>
              <w:ind/>
              <w:rPr/>
            </w:pPr>
            <w:r>
              <w:t xml:space="preserve">M.N.</w:t>
            </w:r>
            <w:r/>
          </w:p>
        </w:tc>
        <w:tc>
          <w:tcPr>
            <w:shd w:val="clear" w:color="auto" w:fill="fafafc"/>
            <w:tcBorders/>
            <w:tcW w:w="6104" w:type="dxa"/>
          </w:tcPr>
          <w:p>
            <w:pPr>
              <w:pStyle w:val="731"/>
              <w:pBdr/>
              <w:spacing/>
              <w:ind/>
              <w:rPr/>
            </w:pPr>
            <w:r>
              <w:t xml:space="preserve">Moneda nacional (pesos mexicanos).</w:t>
            </w:r>
            <w:r/>
          </w:p>
        </w:tc>
        <w:tc>
          <w:tcPr>
            <w:shd w:val="clear" w:color="auto" w:fill="fafafc"/>
            <w:tcBorders/>
            <w:tcW w:w="1800" w:type="dxa"/>
          </w:tcPr>
          <w:p>
            <w:pPr>
              <w:pStyle w:val="731"/>
              <w:pBdr/>
              <w:spacing/>
              <w:ind/>
              <w:rPr/>
            </w:pPr>
            <w:r>
              <w:t xml:space="preserve">REF-01</w:t>
            </w:r>
            <w:r/>
          </w:p>
        </w:tc>
      </w:tr>
      <w:tr>
        <w:trPr>
          <w:cantSplit/>
        </w:trPr>
        <w:tc>
          <w:tcPr>
            <w:tcBorders/>
            <w:tcW w:w="1500" w:type="dxa"/>
          </w:tcPr>
          <w:p>
            <w:pPr>
              <w:pStyle w:val="731"/>
              <w:pBdr/>
              <w:spacing/>
              <w:ind/>
              <w:rPr/>
            </w:pPr>
            <w:r>
              <w:t xml:space="preserve">MoSCoW</w:t>
            </w:r>
            <w:r/>
          </w:p>
        </w:tc>
        <w:tc>
          <w:tcPr>
            <w:tcBorders/>
            <w:tcW w:w="6104" w:type="dxa"/>
          </w:tcPr>
          <w:p>
            <w:pPr>
              <w:pStyle w:val="731"/>
              <w:pBdr/>
              <w:spacing/>
              <w:ind/>
              <w:rPr/>
            </w:pPr>
            <w:r>
              <w:t xml:space="preserve">Técnica de priorización: Must, Should, Could, Won't.</w:t>
            </w:r>
            <w:r/>
          </w:p>
        </w:tc>
        <w:tc>
          <w:tcPr>
            <w:tcBorders/>
            <w:tcW w:w="1800" w:type="dxa"/>
          </w:tcPr>
          <w:p>
            <w:pPr>
              <w:pStyle w:val="731"/>
              <w:pBdr/>
              <w:spacing/>
              <w:ind/>
              <w:rPr/>
            </w:pPr>
            <w:r>
              <w:t xml:space="preserve">1.2.5</w:t>
            </w:r>
            <w:r/>
          </w:p>
        </w:tc>
      </w:tr>
      <w:tr>
        <w:trPr>
          <w:cantSplit/>
        </w:trPr>
        <w:tc>
          <w:tcPr>
            <w:shd w:val="clear" w:color="auto" w:fill="fafafc"/>
            <w:tcBorders/>
            <w:tcW w:w="1500" w:type="dxa"/>
          </w:tcPr>
          <w:p>
            <w:pPr>
              <w:pStyle w:val="731"/>
              <w:pBdr/>
              <w:spacing/>
              <w:ind/>
              <w:rPr/>
            </w:pPr>
            <w:r>
              <w:t xml:space="preserve">No.</w:t>
            </w:r>
            <w:r/>
          </w:p>
        </w:tc>
        <w:tc>
          <w:tcPr>
            <w:shd w:val="clear" w:color="auto" w:fill="fafafc"/>
            <w:tcBorders/>
            <w:tcW w:w="6104" w:type="dxa"/>
          </w:tcPr>
          <w:p>
            <w:pPr>
              <w:pStyle w:val="731"/>
              <w:pBdr/>
              <w:spacing/>
              <w:ind/>
              <w:rPr/>
            </w:pPr>
            <w:r>
              <w:t xml:space="preserve">Número de partido en la programación.</w:t>
            </w:r>
            <w:r/>
          </w:p>
        </w:tc>
        <w:tc>
          <w:tcPr>
            <w:shd w:val="clear" w:color="auto" w:fill="fafafc"/>
            <w:tcBorders/>
            <w:tcW w:w="1800" w:type="dxa"/>
          </w:tcPr>
          <w:p>
            <w:pPr>
              <w:pStyle w:val="731"/>
              <w:pBdr/>
              <w:spacing/>
              <w:ind/>
              <w:rPr/>
            </w:pPr>
            <w:r>
              <w:t xml:space="preserve">REF-03</w:t>
            </w:r>
            <w:r/>
          </w:p>
        </w:tc>
      </w:tr>
      <w:tr>
        <w:trPr>
          <w:cantSplit/>
        </w:trPr>
        <w:tc>
          <w:tcPr>
            <w:tcBorders/>
            <w:tcW w:w="1500" w:type="dxa"/>
          </w:tcPr>
          <w:p>
            <w:pPr>
              <w:pStyle w:val="731"/>
              <w:pBdr/>
              <w:spacing/>
              <w:ind/>
              <w:rPr/>
            </w:pPr>
            <w:r>
              <w:t xml:space="preserve">PE</w:t>
            </w:r>
            <w:r/>
          </w:p>
        </w:tc>
        <w:tc>
          <w:tcPr>
            <w:tcBorders/>
            <w:tcW w:w="6104" w:type="dxa"/>
          </w:tcPr>
          <w:p>
            <w:pPr>
              <w:pStyle w:val="731"/>
              <w:pBdr/>
              <w:spacing/>
              <w:ind/>
              <w:rPr/>
            </w:pPr>
            <w:r>
              <w:t xml:space="preserve">Partidos empatados.</w:t>
            </w:r>
            <w:r/>
          </w:p>
        </w:tc>
        <w:tc>
          <w:tcPr>
            <w:tcBorders/>
            <w:tcW w:w="1800" w:type="dxa"/>
          </w:tcPr>
          <w:p>
            <w:pPr>
              <w:pStyle w:val="731"/>
              <w:pBdr/>
              <w:spacing/>
              <w:ind/>
              <w:rPr/>
            </w:pPr>
            <w:r>
              <w:t xml:space="preserve">REF-07, P14</w:t>
            </w:r>
            <w:r/>
          </w:p>
        </w:tc>
      </w:tr>
      <w:tr>
        <w:trPr>
          <w:cantSplit/>
        </w:trPr>
        <w:tc>
          <w:tcPr>
            <w:shd w:val="clear" w:color="auto" w:fill="fafafc"/>
            <w:tcBorders/>
            <w:tcW w:w="1500" w:type="dxa"/>
          </w:tcPr>
          <w:p>
            <w:pPr>
              <w:pStyle w:val="731"/>
              <w:pBdr/>
              <w:spacing/>
              <w:ind/>
              <w:rPr/>
            </w:pPr>
            <w:r>
              <w:t xml:space="preserve">PG</w:t>
            </w:r>
            <w:r/>
          </w:p>
        </w:tc>
        <w:tc>
          <w:tcPr>
            <w:shd w:val="clear" w:color="auto" w:fill="fafafc"/>
            <w:tcBorders/>
            <w:tcW w:w="6104" w:type="dxa"/>
          </w:tcPr>
          <w:p>
            <w:pPr>
              <w:pStyle w:val="731"/>
              <w:pBdr/>
              <w:spacing/>
              <w:ind/>
              <w:rPr/>
            </w:pPr>
            <w:r>
              <w:t xml:space="preserve">Partidos ganados.</w:t>
            </w:r>
            <w:r/>
          </w:p>
        </w:tc>
        <w:tc>
          <w:tcPr>
            <w:shd w:val="clear" w:color="auto" w:fill="fafafc"/>
            <w:tcBorders/>
            <w:tcW w:w="1800" w:type="dxa"/>
          </w:tcPr>
          <w:p>
            <w:pPr>
              <w:pStyle w:val="731"/>
              <w:pBdr/>
              <w:spacing/>
              <w:ind/>
              <w:rPr/>
            </w:pPr>
            <w:r>
              <w:t xml:space="preserve">REF-07, P14</w:t>
            </w:r>
            <w:r/>
          </w:p>
        </w:tc>
      </w:tr>
      <w:tr>
        <w:trPr>
          <w:cantSplit/>
        </w:trPr>
        <w:tc>
          <w:tcPr>
            <w:tcBorders/>
            <w:tcW w:w="1500" w:type="dxa"/>
          </w:tcPr>
          <w:p>
            <w:pPr>
              <w:pStyle w:val="731"/>
              <w:pBdr/>
              <w:spacing/>
              <w:ind/>
              <w:rPr/>
            </w:pPr>
            <w:r>
              <w:t xml:space="preserve">PJ</w:t>
            </w:r>
            <w:r/>
          </w:p>
        </w:tc>
        <w:tc>
          <w:tcPr>
            <w:tcBorders/>
            <w:tcW w:w="6104" w:type="dxa"/>
          </w:tcPr>
          <w:p>
            <w:pPr>
              <w:pStyle w:val="731"/>
              <w:pBdr/>
              <w:spacing/>
              <w:ind/>
              <w:rPr/>
            </w:pPr>
            <w:r>
              <w:t xml:space="preserve">Partidos jugados.</w:t>
            </w:r>
            <w:r/>
          </w:p>
        </w:tc>
        <w:tc>
          <w:tcPr>
            <w:tcBorders/>
            <w:tcW w:w="1800" w:type="dxa"/>
          </w:tcPr>
          <w:p>
            <w:pPr>
              <w:pStyle w:val="731"/>
              <w:pBdr/>
              <w:spacing/>
              <w:ind/>
              <w:rPr/>
            </w:pPr>
            <w:r>
              <w:t xml:space="preserve">REF-07, P14</w:t>
            </w:r>
            <w:r/>
          </w:p>
        </w:tc>
      </w:tr>
      <w:tr>
        <w:trPr>
          <w:cantSplit/>
        </w:trPr>
        <w:tc>
          <w:tcPr>
            <w:shd w:val="clear" w:color="auto" w:fill="fafafc"/>
            <w:tcBorders/>
            <w:tcW w:w="1500" w:type="dxa"/>
          </w:tcPr>
          <w:p>
            <w:pPr>
              <w:pStyle w:val="731"/>
              <w:pBdr/>
              <w:spacing/>
              <w:ind/>
              <w:rPr/>
            </w:pPr>
            <w:r>
              <w:t xml:space="preserve">PP</w:t>
            </w:r>
            <w:r/>
          </w:p>
        </w:tc>
        <w:tc>
          <w:tcPr>
            <w:shd w:val="clear" w:color="auto" w:fill="fafafc"/>
            <w:tcBorders/>
            <w:tcW w:w="6104" w:type="dxa"/>
          </w:tcPr>
          <w:p>
            <w:pPr>
              <w:pStyle w:val="731"/>
              <w:pBdr/>
              <w:spacing/>
              <w:ind/>
              <w:rPr/>
            </w:pPr>
            <w:r>
              <w:t xml:space="preserve">Partidos perdidos.</w:t>
            </w:r>
            <w:r/>
          </w:p>
        </w:tc>
        <w:tc>
          <w:tcPr>
            <w:shd w:val="clear" w:color="auto" w:fill="fafafc"/>
            <w:tcBorders/>
            <w:tcW w:w="1800" w:type="dxa"/>
          </w:tcPr>
          <w:p>
            <w:pPr>
              <w:pStyle w:val="731"/>
              <w:pBdr/>
              <w:spacing/>
              <w:ind/>
              <w:rPr/>
            </w:pPr>
            <w:r>
              <w:t xml:space="preserve">REF-07, P14</w:t>
            </w:r>
            <w:r/>
          </w:p>
        </w:tc>
      </w:tr>
      <w:tr>
        <w:trPr>
          <w:cantSplit/>
        </w:trPr>
        <w:tc>
          <w:tcPr>
            <w:tcBorders/>
            <w:tcW w:w="1500" w:type="dxa"/>
          </w:tcPr>
          <w:p>
            <w:pPr>
              <w:pStyle w:val="731"/>
              <w:pBdr/>
              <w:spacing/>
              <w:ind/>
              <w:rPr/>
            </w:pPr>
            <w:r>
              <w:t xml:space="preserve">PPP</w:t>
            </w:r>
            <w:r/>
          </w:p>
        </w:tc>
        <w:tc>
          <w:tcPr>
            <w:tcBorders/>
            <w:tcW w:w="6104" w:type="dxa"/>
          </w:tcPr>
          <w:p>
            <w:pPr>
              <w:pStyle w:val="731"/>
              <w:pBdr/>
              <w:spacing/>
              <w:ind/>
              <w:rPr/>
            </w:pPr>
            <w:r>
              <w:t xml:space="preserve">Abreviatura que aparece en la programación junto a resultados por default (por ejemplo, «PIERDE LOBOS F.C. PPP»). Significado: </w:t>
            </w:r>
            <w:r>
              <w:rPr>
                <w:b/>
                <w:bCs/>
                <w:color w:val="9c4a00"/>
                <w:shd w:val="clear" w:color="auto" w:fill="fff2cc"/>
              </w:rPr>
              <w:t xml:space="preserve">[POR DEFINIR]</w:t>
            </w:r>
            <w:r>
              <w:t xml:space="preserve">.</w:t>
            </w:r>
            <w:r/>
          </w:p>
        </w:tc>
        <w:tc>
          <w:tcPr>
            <w:tcBorders/>
            <w:tcW w:w="1800" w:type="dxa"/>
          </w:tcPr>
          <w:p>
            <w:pPr>
              <w:pStyle w:val="731"/>
              <w:pBdr/>
              <w:spacing/>
              <w:ind/>
              <w:rPr/>
            </w:pPr>
            <w:r>
              <w:t xml:space="preserve">REF-03</w:t>
            </w:r>
            <w:r/>
          </w:p>
        </w:tc>
      </w:tr>
      <w:tr>
        <w:trPr>
          <w:cantSplit/>
        </w:trPr>
        <w:tc>
          <w:tcPr>
            <w:shd w:val="clear" w:color="auto" w:fill="fafafc"/>
            <w:tcBorders/>
            <w:tcW w:w="1500" w:type="dxa"/>
          </w:tcPr>
          <w:p>
            <w:pPr>
              <w:pStyle w:val="731"/>
              <w:pBdr/>
              <w:spacing/>
              <w:ind/>
              <w:rPr/>
            </w:pPr>
            <w:r>
              <w:t xml:space="preserve">Pts.</w:t>
            </w:r>
            <w:r/>
          </w:p>
        </w:tc>
        <w:tc>
          <w:tcPr>
            <w:shd w:val="clear" w:color="auto" w:fill="fafafc"/>
            <w:tcBorders/>
            <w:tcW w:w="6104" w:type="dxa"/>
          </w:tcPr>
          <w:p>
            <w:pPr>
              <w:pStyle w:val="731"/>
              <w:pBdr/>
              <w:spacing/>
              <w:ind/>
              <w:rPr/>
            </w:pPr>
            <w:r>
              <w:t xml:space="preserve">Puntos.</w:t>
            </w:r>
            <w:r/>
          </w:p>
        </w:tc>
        <w:tc>
          <w:tcPr>
            <w:shd w:val="clear" w:color="auto" w:fill="fafafc"/>
            <w:tcBorders/>
            <w:tcW w:w="1800" w:type="dxa"/>
          </w:tcPr>
          <w:p>
            <w:pPr>
              <w:pStyle w:val="731"/>
              <w:pBdr/>
              <w:spacing/>
              <w:ind/>
              <w:rPr/>
            </w:pPr>
            <w:r>
              <w:t xml:space="preserve">REF-07, P14</w:t>
            </w:r>
            <w:r/>
          </w:p>
        </w:tc>
      </w:tr>
      <w:tr>
        <w:trPr>
          <w:cantSplit/>
        </w:trPr>
        <w:tc>
          <w:tcPr>
            <w:tcBorders/>
            <w:tcW w:w="1500" w:type="dxa"/>
          </w:tcPr>
          <w:p>
            <w:pPr>
              <w:pStyle w:val="731"/>
              <w:pBdr/>
              <w:spacing/>
              <w:ind/>
              <w:rPr/>
            </w:pPr>
            <w:r>
              <w:t xml:space="preserve">RF / RNF</w:t>
            </w:r>
            <w:r/>
          </w:p>
        </w:tc>
        <w:tc>
          <w:tcPr>
            <w:tcBorders/>
            <w:tcW w:w="6104" w:type="dxa"/>
          </w:tcPr>
          <w:p>
            <w:pPr>
              <w:pStyle w:val="731"/>
              <w:pBdr/>
              <w:spacing/>
              <w:ind/>
              <w:rPr/>
            </w:pPr>
            <w:r>
              <w:t xml:space="preserve">Requisito funcional / requisito no funcional.</w:t>
            </w:r>
            <w:r/>
          </w:p>
        </w:tc>
        <w:tc>
          <w:tcPr>
            <w:tcBorders/>
            <w:tcW w:w="1800" w:type="dxa"/>
          </w:tcPr>
          <w:p>
            <w:pPr>
              <w:pStyle w:val="731"/>
              <w:pBdr/>
              <w:spacing/>
              <w:ind/>
              <w:rPr/>
            </w:pPr>
            <w:r>
              <w:t xml:space="preserve">1.3.6</w:t>
            </w:r>
            <w:r/>
          </w:p>
        </w:tc>
      </w:tr>
      <w:tr>
        <w:trPr>
          <w:cantSplit/>
        </w:trPr>
        <w:tc>
          <w:tcPr>
            <w:shd w:val="clear" w:color="auto" w:fill="fafafc"/>
            <w:tcBorders/>
            <w:tcW w:w="1500" w:type="dxa"/>
          </w:tcPr>
          <w:p>
            <w:pPr>
              <w:pStyle w:val="731"/>
              <w:pBdr/>
              <w:spacing/>
              <w:ind/>
              <w:rPr/>
            </w:pPr>
            <w:r>
              <w:t xml:space="preserve">SRS</w:t>
            </w:r>
            <w:r/>
          </w:p>
        </w:tc>
        <w:tc>
          <w:tcPr>
            <w:shd w:val="clear" w:color="auto" w:fill="fafafc"/>
            <w:tcBorders/>
            <w:tcW w:w="6104" w:type="dxa"/>
          </w:tcPr>
          <w:p>
            <w:pPr>
              <w:pStyle w:val="731"/>
              <w:pBdr/>
              <w:spacing/>
              <w:ind/>
              <w:rPr/>
            </w:pPr>
            <w:r>
              <w:t xml:space="preserve">Software Requirements Specification.</w:t>
            </w:r>
            <w:r/>
          </w:p>
        </w:tc>
        <w:tc>
          <w:tcPr>
            <w:shd w:val="clear" w:color="auto" w:fill="fafafc"/>
            <w:tcBorders/>
            <w:tcW w:w="1800" w:type="dxa"/>
          </w:tcPr>
          <w:p>
            <w:pPr>
              <w:pStyle w:val="731"/>
              <w:pBdr/>
              <w:spacing/>
              <w:ind/>
              <w:rPr/>
            </w:pPr>
            <w:r>
              <w:t xml:space="preserve">REF-09</w:t>
            </w:r>
            <w:r/>
          </w:p>
        </w:tc>
      </w:tr>
      <w:tr>
        <w:trPr>
          <w:cantSplit/>
        </w:trPr>
        <w:tc>
          <w:tcPr>
            <w:tcBorders/>
            <w:tcW w:w="1500" w:type="dxa"/>
          </w:tcPr>
          <w:p>
            <w:pPr>
              <w:pStyle w:val="731"/>
              <w:pBdr/>
              <w:spacing/>
              <w:ind/>
              <w:rPr/>
            </w:pPr>
            <w:r>
              <w:t xml:space="preserve">U.D.C. (UDC)</w:t>
            </w:r>
            <w:r/>
          </w:p>
        </w:tc>
        <w:tc>
          <w:tcPr>
            <w:tcBorders/>
            <w:tcW w:w="6104" w:type="dxa"/>
          </w:tcPr>
          <w:p>
            <w:pPr>
              <w:pStyle w:val="731"/>
              <w:pBdr/>
              <w:spacing/>
              <w:ind/>
              <w:rPr/>
            </w:pPr>
            <w:r>
              <w:t xml:space="preserve">Unidad Deportiva Cuauhtémoc, sede principal de la Liga.</w:t>
            </w:r>
            <w:r/>
          </w:p>
        </w:tc>
        <w:tc>
          <w:tcPr>
            <w:tcBorders/>
            <w:tcW w:w="1800" w:type="dxa"/>
          </w:tcPr>
          <w:p>
            <w:pPr>
              <w:pStyle w:val="731"/>
              <w:pBdr/>
              <w:spacing/>
              <w:ind/>
              <w:rPr/>
            </w:pPr>
            <w:r>
              <w:t xml:space="preserve">REF-07, P13; REF-15</w:t>
            </w:r>
            <w:r/>
          </w:p>
        </w:tc>
      </w:tr>
      <w:tr>
        <w:trPr>
          <w:cantSplit/>
        </w:trPr>
        <w:tc>
          <w:tcPr>
            <w:shd w:val="clear" w:color="auto" w:fill="fafafc"/>
            <w:tcBorders/>
            <w:tcW w:w="1500" w:type="dxa"/>
          </w:tcPr>
          <w:p>
            <w:pPr>
              <w:pStyle w:val="731"/>
              <w:pBdr/>
              <w:spacing/>
              <w:ind/>
              <w:rPr/>
            </w:pPr>
            <w:r>
              <w:t xml:space="preserve">UMSNH</w:t>
            </w:r>
            <w:r/>
          </w:p>
        </w:tc>
        <w:tc>
          <w:tcPr>
            <w:shd w:val="clear" w:color="auto" w:fill="fafafc"/>
            <w:tcBorders/>
            <w:tcW w:w="6104" w:type="dxa"/>
          </w:tcPr>
          <w:p>
            <w:pPr>
              <w:pStyle w:val="731"/>
              <w:pBdr/>
              <w:spacing/>
              <w:ind/>
              <w:rPr/>
            </w:pPr>
            <w:r>
              <w:t xml:space="preserve">Universidad Michoacana de San Nicolás de Hidalgo.</w:t>
            </w:r>
            <w:r/>
          </w:p>
        </w:tc>
        <w:tc>
          <w:tcPr>
            <w:shd w:val="clear" w:color="auto" w:fill="fafafc"/>
            <w:tcBorders/>
            <w:tcW w:w="1800" w:type="dxa"/>
          </w:tcPr>
          <w:p>
            <w:pPr>
              <w:pStyle w:val="731"/>
              <w:pBdr/>
              <w:spacing/>
              <w:ind/>
              <w:rPr/>
            </w:pPr>
            <w:r>
              <w:t xml:space="preserve">REF-07, P18</w:t>
            </w:r>
            <w:r/>
          </w:p>
        </w:tc>
      </w:tr>
    </w:tbl>
    <w:p>
      <w:pPr>
        <w:pBdr/>
        <w:spacing w:after="60" w:before="0"/>
        <w:ind/>
        <w:rPr/>
      </w:pPr>
      <w:r/>
      <w:r/>
    </w:p>
    <w:p>
      <w:pPr>
        <w:pStyle w:val="724"/>
        <w:pBdr/>
        <w:spacing/>
        <w:ind/>
        <w:rPr/>
      </w:pPr>
      <w:r/>
      <w:bookmarkStart w:id="24" w:name="_Toc100024"/>
      <w:r>
        <w:t xml:space="preserve">1.4 Referencias</w:t>
      </w:r>
      <w:bookmarkEnd w:id="24"/>
      <w:r/>
      <w:r/>
    </w:p>
    <w:p>
      <w:pPr>
        <w:pBdr/>
        <w:spacing/>
        <w:ind/>
        <w:rPr/>
      </w:pPr>
      <w:r>
        <w:t xml:space="preserve">Los documentos siguientes se citan en este ERS con el identificador indicado. Los documentos de la Liga son públicos [REF-07, P15]. Las copias usadas en este análisis se conservan en la carpeta «contexto» del repositorio del proyecto.</w:t>
      </w:r>
      <w:r/>
    </w:p>
    <w:p>
      <w:pPr>
        <w:pStyle w:val="725"/>
        <w:pBdr/>
        <w:spacing/>
        <w:ind/>
        <w:rPr/>
      </w:pPr>
      <w:r/>
      <w:bookmarkStart w:id="25" w:name="_Toc100025"/>
      <w:r>
        <w:t xml:space="preserve">1.4.1 Documentos de la Liga</w:t>
      </w:r>
      <w:bookmarkEnd w:id="25"/>
      <w:r/>
      <w:r/>
    </w:p>
    <w:p>
      <w:pPr>
        <w:pStyle w:val="732"/>
        <w:keepNext w:val="true"/>
        <w:pBdr/>
        <w:spacing/>
        <w:ind/>
        <w:rPr/>
      </w:pPr>
      <w:r>
        <w:rPr>
          <w:b/>
          <w:bCs/>
          <w:color w:val="241a61"/>
          <w:sz w:val="18"/>
          <w:szCs w:val="18"/>
        </w:rPr>
        <w:t xml:space="preserve">Tabla 16. </w:t>
      </w:r>
      <w:r>
        <w:rPr>
          <w:sz w:val="18"/>
          <w:szCs w:val="18"/>
        </w:rPr>
        <w:t xml:space="preserve">Documentos normativos y operativos de la Liga.</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900"/>
        <w:gridCol w:w="3500"/>
        <w:gridCol w:w="2104"/>
        <w:gridCol w:w="2900"/>
      </w:tblGrid>
      <w:tr>
        <w:trPr>
          <w:cantSplit/>
          <w:tblHeader/>
        </w:trPr>
        <w:tc>
          <w:tcPr>
            <w:shd w:val="clear" w:color="auto" w:fill="241a61"/>
            <w:tcBorders/>
            <w:tcW w:w="900" w:type="dxa"/>
            <w:vAlign w:val="center"/>
          </w:tcPr>
          <w:p>
            <w:pPr>
              <w:pStyle w:val="731"/>
              <w:pBdr/>
              <w:spacing/>
              <w:ind/>
              <w:rPr/>
            </w:pPr>
            <w:r>
              <w:rPr>
                <w:b/>
                <w:bCs/>
                <w:color w:val="ffffff"/>
              </w:rPr>
              <w:t xml:space="preserve">ID</w:t>
            </w:r>
            <w:r/>
          </w:p>
        </w:tc>
        <w:tc>
          <w:tcPr>
            <w:shd w:val="clear" w:color="auto" w:fill="241a61"/>
            <w:tcBorders/>
            <w:tcW w:w="3500" w:type="dxa"/>
            <w:vAlign w:val="center"/>
          </w:tcPr>
          <w:p>
            <w:pPr>
              <w:pStyle w:val="731"/>
              <w:pBdr/>
              <w:spacing/>
              <w:ind/>
              <w:rPr/>
            </w:pPr>
            <w:r>
              <w:rPr>
                <w:b/>
                <w:bCs/>
                <w:color w:val="ffffff"/>
              </w:rPr>
              <w:t xml:space="preserve">Documento y tipo</w:t>
            </w:r>
            <w:r/>
          </w:p>
        </w:tc>
        <w:tc>
          <w:tcPr>
            <w:shd w:val="clear" w:color="auto" w:fill="241a61"/>
            <w:tcBorders/>
            <w:tcW w:w="2104" w:type="dxa"/>
            <w:vAlign w:val="center"/>
          </w:tcPr>
          <w:p>
            <w:pPr>
              <w:pStyle w:val="731"/>
              <w:pBdr/>
              <w:spacing/>
              <w:ind/>
              <w:rPr/>
            </w:pPr>
            <w:r>
              <w:rPr>
                <w:b/>
                <w:bCs/>
                <w:color w:val="ffffff"/>
              </w:rPr>
              <w:t xml:space="preserve">Emisor y fecha</w:t>
            </w:r>
            <w:r/>
          </w:p>
        </w:tc>
        <w:tc>
          <w:tcPr>
            <w:shd w:val="clear" w:color="auto" w:fill="241a61"/>
            <w:tcBorders/>
            <w:tcW w:w="2900" w:type="dxa"/>
            <w:vAlign w:val="center"/>
          </w:tcPr>
          <w:p>
            <w:pPr>
              <w:pStyle w:val="731"/>
              <w:pBdr/>
              <w:spacing/>
              <w:ind/>
              <w:rPr/>
            </w:pPr>
            <w:r>
              <w:rPr>
                <w:b/>
                <w:bCs/>
                <w:color w:val="ffffff"/>
              </w:rPr>
              <w:t xml:space="preserve">Disponibilidad</w:t>
            </w:r>
            <w:r/>
          </w:p>
        </w:tc>
      </w:tr>
      <w:tr>
        <w:trPr>
          <w:cantSplit/>
        </w:trPr>
        <w:tc>
          <w:tcPr>
            <w:tcBorders/>
            <w:tcW w:w="900" w:type="dxa"/>
          </w:tcPr>
          <w:p>
            <w:pPr>
              <w:pStyle w:val="731"/>
              <w:pBdr/>
              <w:spacing/>
              <w:ind/>
              <w:rPr/>
            </w:pPr>
            <w:r>
              <w:t xml:space="preserve">REF-01</w:t>
            </w:r>
            <w:r/>
          </w:p>
        </w:tc>
        <w:tc>
          <w:tcPr>
            <w:tcBorders/>
            <w:tcW w:w="3500" w:type="dxa"/>
          </w:tcPr>
          <w:p>
            <w:pPr>
              <w:pStyle w:val="731"/>
              <w:pBdr/>
              <w:spacing/>
              <w:ind/>
              <w:rPr/>
            </w:pPr>
            <w:r>
              <w:t xml:space="preserve">Convocatoria Temporada 2026–2027 (ramas libre y de veteranos).</w:t>
            </w:r>
            <w:r/>
          </w:p>
          <w:p>
            <w:pPr>
              <w:pStyle w:val="731"/>
              <w:pBdr/>
              <w:spacing/>
              <w:ind/>
              <w:rPr/>
            </w:pPr>
            <w:r>
              <w:rPr>
                <w:i/>
                <w:iCs/>
              </w:rPr>
              <w:t xml:space="preserve">Tipo: norma de la Liga.</w:t>
            </w:r>
            <w:r/>
          </w:p>
        </w:tc>
        <w:tc>
          <w:tcPr>
            <w:tcBorders/>
            <w:tcW w:w="2104" w:type="dxa"/>
          </w:tcPr>
          <w:p>
            <w:pPr>
              <w:pStyle w:val="731"/>
              <w:pBdr/>
              <w:spacing/>
              <w:ind/>
              <w:rPr/>
            </w:pPr>
            <w:r>
              <w:t xml:space="preserve">Liga, por conducto de su Consejo Directivo. Morelia, Mich., 3 de agosto de 2026.</w:t>
            </w:r>
            <w:r/>
          </w:p>
        </w:tc>
        <w:tc>
          <w:tcPr>
            <w:tcBorders/>
            <w:tcW w:w="2900" w:type="dxa"/>
          </w:tcPr>
          <w:p>
            <w:pPr>
              <w:pStyle w:val="731"/>
              <w:pBdr/>
              <w:spacing/>
              <w:ind/>
              <w:rPr/>
            </w:pPr>
            <w:r>
              <w:t xml:space="preserve">Pública. Copia: contexto/convocatoria.jpg. URL de publicación: </w:t>
            </w:r>
            <w:r>
              <w:rPr>
                <w:b/>
                <w:bCs/>
                <w:color w:val="9c4a00"/>
                <w:shd w:val="clear" w:color="auto" w:fill="fff2cc"/>
              </w:rPr>
              <w:t xml:space="preserve">[POR DEFINIR]</w:t>
            </w:r>
            <w:r>
              <w:t xml:space="preserve">.</w:t>
            </w:r>
            <w:r/>
          </w:p>
        </w:tc>
      </w:tr>
      <w:tr>
        <w:trPr>
          <w:cantSplit/>
        </w:trPr>
        <w:tc>
          <w:tcPr>
            <w:shd w:val="clear" w:color="auto" w:fill="fafafc"/>
            <w:tcBorders/>
            <w:tcW w:w="900" w:type="dxa"/>
          </w:tcPr>
          <w:p>
            <w:pPr>
              <w:pStyle w:val="731"/>
              <w:pBdr/>
              <w:spacing/>
              <w:ind/>
              <w:rPr/>
            </w:pPr>
            <w:r>
              <w:t xml:space="preserve">REF-02</w:t>
            </w:r>
            <w:r/>
          </w:p>
        </w:tc>
        <w:tc>
          <w:tcPr>
            <w:shd w:val="clear" w:color="auto" w:fill="fafafc"/>
            <w:tcBorders/>
            <w:tcW w:w="3500" w:type="dxa"/>
          </w:tcPr>
          <w:p>
            <w:pPr>
              <w:pStyle w:val="731"/>
              <w:pBdr/>
              <w:spacing/>
              <w:ind/>
              <w:rPr/>
            </w:pPr>
            <w:r>
              <w:t xml:space="preserve">Convocatoria Temporada 2026–2027, Rama Infantil.</w:t>
            </w:r>
            <w:r/>
          </w:p>
          <w:p>
            <w:pPr>
              <w:pStyle w:val="731"/>
              <w:pBdr/>
              <w:spacing/>
              <w:ind/>
              <w:rPr/>
            </w:pPr>
            <w:r>
              <w:rPr>
                <w:i/>
                <w:iCs/>
              </w:rPr>
              <w:t xml:space="preserve">Tipo: norma de la Liga.</w:t>
            </w:r>
            <w:r/>
          </w:p>
        </w:tc>
        <w:tc>
          <w:tcPr>
            <w:shd w:val="clear" w:color="auto" w:fill="fafafc"/>
            <w:tcBorders/>
            <w:tcW w:w="2104" w:type="dxa"/>
          </w:tcPr>
          <w:p>
            <w:pPr>
              <w:pStyle w:val="731"/>
              <w:pBdr/>
              <w:spacing/>
              <w:ind/>
              <w:rPr/>
            </w:pPr>
            <w:r>
              <w:t xml:space="preserve">Consejo Directivo y Comisión de la Rama Infantil. 3 de agosto de 2026.</w:t>
            </w:r>
            <w:r/>
          </w:p>
        </w:tc>
        <w:tc>
          <w:tcPr>
            <w:shd w:val="clear" w:color="auto" w:fill="fafafc"/>
            <w:tcBorders/>
            <w:tcW w:w="2900" w:type="dxa"/>
          </w:tcPr>
          <w:p>
            <w:pPr>
              <w:pStyle w:val="731"/>
              <w:pBdr/>
              <w:spacing/>
              <w:ind/>
              <w:rPr/>
            </w:pPr>
            <w:r>
              <w:t xml:space="preserve">Pública. Copia: contexto/convocatorio_infantil.jpg. URL de publicación: </w:t>
            </w:r>
            <w:r>
              <w:rPr>
                <w:b/>
                <w:bCs/>
                <w:color w:val="9c4a00"/>
                <w:shd w:val="clear" w:color="auto" w:fill="fff2cc"/>
              </w:rPr>
              <w:t xml:space="preserve">[POR DEFINIR]</w:t>
            </w:r>
            <w:r>
              <w:t xml:space="preserve">.</w:t>
            </w:r>
            <w:r/>
          </w:p>
        </w:tc>
      </w:tr>
      <w:tr>
        <w:trPr>
          <w:cantSplit/>
        </w:trPr>
        <w:tc>
          <w:tcPr>
            <w:tcBorders/>
            <w:tcW w:w="900" w:type="dxa"/>
          </w:tcPr>
          <w:p>
            <w:pPr>
              <w:pStyle w:val="731"/>
              <w:pBdr/>
              <w:spacing/>
              <w:ind/>
              <w:rPr/>
            </w:pPr>
            <w:r>
              <w:t xml:space="preserve">REF-03</w:t>
            </w:r>
            <w:r/>
          </w:p>
        </w:tc>
        <w:tc>
          <w:tcPr>
            <w:tcBorders/>
            <w:tcW w:w="3500" w:type="dxa"/>
          </w:tcPr>
          <w:p>
            <w:pPr>
              <w:pStyle w:val="731"/>
              <w:pBdr/>
              <w:spacing/>
              <w:ind/>
              <w:rPr/>
            </w:pPr>
            <w:r>
              <w:t xml:space="preserve">Programación oficial, Rama Infantil, 5.º Torneo de Verano 2026, sábado 3 de octubre de 2026 (jornada 11).</w:t>
            </w:r>
            <w:r/>
          </w:p>
          <w:p>
            <w:pPr>
              <w:pStyle w:val="731"/>
              <w:pBdr/>
              <w:spacing/>
              <w:ind/>
              <w:rPr/>
            </w:pPr>
            <w:r>
              <w:rPr>
                <w:i/>
                <w:iCs/>
              </w:rPr>
              <w:t xml:space="preserve">Tipo: documento operativo.</w:t>
            </w:r>
            <w:r/>
          </w:p>
        </w:tc>
        <w:tc>
          <w:tcPr>
            <w:tcBorders/>
            <w:tcW w:w="2104" w:type="dxa"/>
          </w:tcPr>
          <w:p>
            <w:pPr>
              <w:pStyle w:val="731"/>
              <w:pBdr/>
              <w:spacing/>
              <w:ind/>
              <w:rPr/>
            </w:pPr>
            <w:r>
              <w:t xml:space="preserve">Liga. 3 de octubre de 2026.</w:t>
            </w:r>
            <w:r/>
          </w:p>
        </w:tc>
        <w:tc>
          <w:tcPr>
            <w:tcBorders/>
            <w:tcW w:w="2900" w:type="dxa"/>
          </w:tcPr>
          <w:p>
            <w:pPr>
              <w:pStyle w:val="731"/>
              <w:pBdr/>
              <w:spacing/>
              <w:ind/>
              <w:rPr/>
            </w:pPr>
            <w:r>
              <w:t xml:space="preserve">Pública. Copia: contexto/calendario.jpg.</w:t>
            </w:r>
            <w:r/>
          </w:p>
        </w:tc>
      </w:tr>
      <w:tr>
        <w:trPr>
          <w:cantSplit/>
        </w:trPr>
        <w:tc>
          <w:tcPr>
            <w:shd w:val="clear" w:color="auto" w:fill="fafafc"/>
            <w:tcBorders/>
            <w:tcW w:w="900" w:type="dxa"/>
          </w:tcPr>
          <w:p>
            <w:pPr>
              <w:pStyle w:val="731"/>
              <w:pBdr/>
              <w:spacing/>
              <w:ind/>
              <w:rPr/>
            </w:pPr>
            <w:r>
              <w:t xml:space="preserve">REF-04</w:t>
            </w:r>
            <w:r/>
          </w:p>
        </w:tc>
        <w:tc>
          <w:tcPr>
            <w:shd w:val="clear" w:color="auto" w:fill="fafafc"/>
            <w:tcBorders/>
            <w:tcW w:w="3500" w:type="dxa"/>
          </w:tcPr>
          <w:p>
            <w:pPr>
              <w:pStyle w:val="731"/>
              <w:pBdr/>
              <w:spacing/>
              <w:ind/>
              <w:rPr/>
            </w:pPr>
            <w:r>
              <w:t xml:space="preserve">Reglamento interno de la Liga.</w:t>
            </w:r>
            <w:r/>
          </w:p>
          <w:p>
            <w:pPr>
              <w:pStyle w:val="731"/>
              <w:pBdr/>
              <w:spacing/>
              <w:ind/>
              <w:rPr/>
            </w:pPr>
            <w:r>
              <w:rPr>
                <w:i/>
                <w:iCs/>
              </w:rPr>
              <w:t xml:space="preserve">Tipo: norma de la Liga.</w:t>
            </w:r>
            <w:r/>
          </w:p>
        </w:tc>
        <w:tc>
          <w:tcPr>
            <w:shd w:val="clear" w:color="auto" w:fill="fafafc"/>
            <w:tcBorders/>
            <w:tcW w:w="2104" w:type="dxa"/>
          </w:tcPr>
          <w:p>
            <w:pPr>
              <w:pStyle w:val="731"/>
              <w:pBdr/>
              <w:spacing/>
              <w:ind/>
              <w:rPr/>
            </w:pPr>
            <w:r>
              <w:t xml:space="preserve">Liga. Fecha: </w:t>
            </w:r>
            <w:r>
              <w:rPr>
                <w:b/>
                <w:bCs/>
                <w:color w:val="9c4a00"/>
                <w:shd w:val="clear" w:color="auto" w:fill="fff2cc"/>
              </w:rPr>
              <w:t xml:space="preserve">[POR DEFINIR]</w:t>
            </w:r>
            <w:r>
              <w:t xml:space="preserve">.</w:t>
            </w:r>
            <w:r/>
          </w:p>
        </w:tc>
        <w:tc>
          <w:tcPr>
            <w:shd w:val="clear" w:color="auto" w:fill="fafafc"/>
            <w:tcBorders/>
            <w:tcW w:w="2900" w:type="dxa"/>
          </w:tcPr>
          <w:p>
            <w:pPr>
              <w:pStyle w:val="731"/>
              <w:pBdr/>
              <w:spacing/>
              <w:ind/>
              <w:rPr/>
            </w:pPr>
            <w:r>
              <w:t xml:space="preserve">No localizado. </w:t>
            </w:r>
            <w:r>
              <w:rPr>
                <w:b/>
                <w:bCs/>
              </w:rPr>
              <w:t xml:space="preserve">Impacto:</w:t>
            </w:r>
            <w:r>
              <w:t xml:space="preserve"> ver C-05.</w:t>
            </w:r>
            <w:r/>
          </w:p>
        </w:tc>
      </w:tr>
      <w:tr>
        <w:trPr>
          <w:cantSplit/>
        </w:trPr>
        <w:tc>
          <w:tcPr>
            <w:tcBorders/>
            <w:tcW w:w="900" w:type="dxa"/>
          </w:tcPr>
          <w:p>
            <w:pPr>
              <w:pStyle w:val="731"/>
              <w:pBdr/>
              <w:spacing/>
              <w:ind/>
              <w:rPr/>
            </w:pPr>
            <w:r>
              <w:t xml:space="preserve">REF-05</w:t>
            </w:r>
            <w:r/>
          </w:p>
        </w:tc>
        <w:tc>
          <w:tcPr>
            <w:tcBorders/>
            <w:tcW w:w="3500" w:type="dxa"/>
          </w:tcPr>
          <w:p>
            <w:pPr>
              <w:pStyle w:val="731"/>
              <w:pBdr/>
              <w:spacing/>
              <w:ind/>
              <w:rPr/>
            </w:pPr>
            <w:r>
              <w:t xml:space="preserve">Estatutos de la Liga, Asociación Civil.</w:t>
            </w:r>
            <w:r/>
          </w:p>
          <w:p>
            <w:pPr>
              <w:pStyle w:val="731"/>
              <w:pBdr/>
              <w:spacing/>
              <w:ind/>
              <w:rPr/>
            </w:pPr>
            <w:r>
              <w:rPr>
                <w:i/>
                <w:iCs/>
              </w:rPr>
              <w:t xml:space="preserve">Tipo: norma de la Liga.</w:t>
            </w:r>
            <w:r/>
          </w:p>
        </w:tc>
        <w:tc>
          <w:tcPr>
            <w:tcBorders/>
            <w:tcW w:w="2104" w:type="dxa"/>
          </w:tcPr>
          <w:p>
            <w:pPr>
              <w:pStyle w:val="731"/>
              <w:pBdr/>
              <w:spacing/>
              <w:ind/>
              <w:rPr/>
            </w:pPr>
            <w:r>
              <w:t xml:space="preserve">Liga. Fecha: </w:t>
            </w:r>
            <w:r>
              <w:rPr>
                <w:b/>
                <w:bCs/>
                <w:color w:val="9c4a00"/>
                <w:shd w:val="clear" w:color="auto" w:fill="fff2cc"/>
              </w:rPr>
              <w:t xml:space="preserve">[POR DEFINIR]</w:t>
            </w:r>
            <w:r>
              <w:t xml:space="preserve">.</w:t>
            </w:r>
            <w:r/>
          </w:p>
        </w:tc>
        <w:tc>
          <w:tcPr>
            <w:tcBorders/>
            <w:tcW w:w="2900" w:type="dxa"/>
          </w:tcPr>
          <w:p>
            <w:pPr>
              <w:pStyle w:val="731"/>
              <w:pBdr/>
              <w:spacing/>
              <w:ind/>
              <w:rPr/>
            </w:pPr>
            <w:r>
              <w:t xml:space="preserve">No localizado. </w:t>
            </w:r>
            <w:r>
              <w:rPr>
                <w:b/>
                <w:bCs/>
              </w:rPr>
              <w:t xml:space="preserve">Impacto:</w:t>
            </w:r>
            <w:r>
              <w:t xml:space="preserve"> no puede verificarse la estructura formal de órganos y cargos.</w:t>
            </w:r>
            <w:r/>
          </w:p>
        </w:tc>
      </w:tr>
    </w:tbl>
    <w:p>
      <w:pPr>
        <w:pBdr/>
        <w:spacing w:after="60" w:before="0"/>
        <w:ind/>
        <w:rPr/>
      </w:pPr>
      <w:r/>
      <w:r/>
    </w:p>
    <w:p>
      <w:pPr>
        <w:pStyle w:val="725"/>
        <w:pBdr/>
        <w:spacing/>
        <w:ind/>
        <w:rPr/>
      </w:pPr>
      <w:r/>
      <w:bookmarkStart w:id="26" w:name="_Toc100026"/>
      <w:r>
        <w:t xml:space="preserve">1.4.2 Documentos del proyecto</w:t>
      </w:r>
      <w:bookmarkEnd w:id="26"/>
      <w:r/>
      <w:r/>
    </w:p>
    <w:p>
      <w:pPr>
        <w:pStyle w:val="732"/>
        <w:keepNext w:val="true"/>
        <w:pBdr/>
        <w:spacing/>
        <w:ind/>
        <w:rPr/>
      </w:pPr>
      <w:r>
        <w:rPr>
          <w:b/>
          <w:bCs/>
          <w:color w:val="241a61"/>
          <w:sz w:val="18"/>
          <w:szCs w:val="18"/>
        </w:rPr>
        <w:t xml:space="preserve">Tabla 17. </w:t>
      </w:r>
      <w:r>
        <w:rPr>
          <w:sz w:val="18"/>
          <w:szCs w:val="18"/>
        </w:rPr>
        <w:t xml:space="preserve">Documentos del proyecto.</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900"/>
        <w:gridCol w:w="3500"/>
        <w:gridCol w:w="2104"/>
        <w:gridCol w:w="2900"/>
      </w:tblGrid>
      <w:tr>
        <w:trPr>
          <w:cantSplit/>
          <w:tblHeader/>
        </w:trPr>
        <w:tc>
          <w:tcPr>
            <w:shd w:val="clear" w:color="auto" w:fill="241a61"/>
            <w:tcBorders/>
            <w:tcW w:w="900" w:type="dxa"/>
            <w:vAlign w:val="center"/>
          </w:tcPr>
          <w:p>
            <w:pPr>
              <w:pStyle w:val="731"/>
              <w:pBdr/>
              <w:spacing/>
              <w:ind/>
              <w:rPr/>
            </w:pPr>
            <w:r>
              <w:rPr>
                <w:b/>
                <w:bCs/>
                <w:color w:val="ffffff"/>
              </w:rPr>
              <w:t xml:space="preserve">ID</w:t>
            </w:r>
            <w:r/>
          </w:p>
        </w:tc>
        <w:tc>
          <w:tcPr>
            <w:shd w:val="clear" w:color="auto" w:fill="241a61"/>
            <w:tcBorders/>
            <w:tcW w:w="3500" w:type="dxa"/>
            <w:vAlign w:val="center"/>
          </w:tcPr>
          <w:p>
            <w:pPr>
              <w:pStyle w:val="731"/>
              <w:pBdr/>
              <w:spacing/>
              <w:ind/>
              <w:rPr/>
            </w:pPr>
            <w:r>
              <w:rPr>
                <w:b/>
                <w:bCs/>
                <w:color w:val="ffffff"/>
              </w:rPr>
              <w:t xml:space="preserve">Documento y tipo</w:t>
            </w:r>
            <w:r/>
          </w:p>
        </w:tc>
        <w:tc>
          <w:tcPr>
            <w:shd w:val="clear" w:color="auto" w:fill="241a61"/>
            <w:tcBorders/>
            <w:tcW w:w="2104" w:type="dxa"/>
            <w:vAlign w:val="center"/>
          </w:tcPr>
          <w:p>
            <w:pPr>
              <w:pStyle w:val="731"/>
              <w:pBdr/>
              <w:spacing/>
              <w:ind/>
              <w:rPr/>
            </w:pPr>
            <w:r>
              <w:rPr>
                <w:b/>
                <w:bCs/>
                <w:color w:val="ffffff"/>
              </w:rPr>
              <w:t xml:space="preserve">Emisor y fecha</w:t>
            </w:r>
            <w:r/>
          </w:p>
        </w:tc>
        <w:tc>
          <w:tcPr>
            <w:shd w:val="clear" w:color="auto" w:fill="241a61"/>
            <w:tcBorders/>
            <w:tcW w:w="2900" w:type="dxa"/>
            <w:vAlign w:val="center"/>
          </w:tcPr>
          <w:p>
            <w:pPr>
              <w:pStyle w:val="731"/>
              <w:pBdr/>
              <w:spacing/>
              <w:ind/>
              <w:rPr/>
            </w:pPr>
            <w:r>
              <w:rPr>
                <w:b/>
                <w:bCs/>
                <w:color w:val="ffffff"/>
              </w:rPr>
              <w:t xml:space="preserve">Disponibilidad</w:t>
            </w:r>
            <w:r/>
          </w:p>
        </w:tc>
      </w:tr>
      <w:tr>
        <w:trPr>
          <w:cantSplit/>
        </w:trPr>
        <w:tc>
          <w:tcPr>
            <w:tcBorders/>
            <w:tcW w:w="900" w:type="dxa"/>
          </w:tcPr>
          <w:p>
            <w:pPr>
              <w:pStyle w:val="731"/>
              <w:pBdr/>
              <w:spacing/>
              <w:ind/>
              <w:rPr/>
            </w:pPr>
            <w:r>
              <w:t xml:space="preserve">REF-06</w:t>
            </w:r>
            <w:r/>
          </w:p>
        </w:tc>
        <w:tc>
          <w:tcPr>
            <w:tcBorders/>
            <w:tcW w:w="3500" w:type="dxa"/>
          </w:tcPr>
          <w:p>
            <w:pPr>
              <w:pStyle w:val="731"/>
              <w:pBdr/>
              <w:spacing/>
              <w:ind/>
              <w:rPr/>
            </w:pPr>
            <w:r>
              <w:t xml:space="preserve">Sistema de Gestión de la Liga Municipal de Futbol Amateur Morelia. Documento de visión, alcance y requerimientos preliminares (presentación de 49 diapositivas).</w:t>
            </w:r>
            <w:r/>
          </w:p>
          <w:p>
            <w:pPr>
              <w:pStyle w:val="731"/>
              <w:pBdr/>
              <w:spacing/>
              <w:ind/>
              <w:rPr/>
            </w:pPr>
            <w:r>
              <w:rPr>
                <w:i/>
                <w:iCs/>
              </w:rPr>
              <w:t xml:space="preserve">Tipo: fuente secundaria; sus propuestas requieren validación.</w:t>
            </w:r>
            <w:r/>
          </w:p>
        </w:tc>
        <w:tc>
          <w:tcPr>
            <w:tcBorders/>
            <w:tcW w:w="2104" w:type="dxa"/>
          </w:tcPr>
          <w:p>
            <w:pPr>
              <w:pStyle w:val="731"/>
              <w:pBdr/>
              <w:spacing/>
              <w:ind/>
              <w:rPr/>
            </w:pPr>
            <w:r>
              <w:t xml:space="preserve">Autor y fecha: </w:t>
            </w:r>
            <w:r>
              <w:rPr>
                <w:b/>
                <w:bCs/>
                <w:color w:val="9c4a00"/>
                <w:shd w:val="clear" w:color="auto" w:fill="fff2cc"/>
              </w:rPr>
              <w:t xml:space="preserve">[POR DEFINIR]</w:t>
            </w:r>
            <w:r>
              <w:t xml:space="preserve">.</w:t>
            </w:r>
            <w:r/>
          </w:p>
        </w:tc>
        <w:tc>
          <w:tcPr>
            <w:tcBorders/>
            <w:tcW w:w="2900" w:type="dxa"/>
          </w:tcPr>
          <w:p>
            <w:pPr>
              <w:pStyle w:val="731"/>
              <w:pBdr/>
              <w:spacing/>
              <w:ind/>
              <w:rPr/>
            </w:pPr>
            <w:r>
              <w:t xml:space="preserve">contexto/Sistema_Gestion_Liga_Municipal_Morelia_Base_Ingenieria_Software.pptx</w:t>
            </w:r>
            <w:r/>
          </w:p>
        </w:tc>
      </w:tr>
      <w:tr>
        <w:trPr>
          <w:cantSplit/>
        </w:trPr>
        <w:tc>
          <w:tcPr>
            <w:shd w:val="clear" w:color="auto" w:fill="fafafc"/>
            <w:tcBorders/>
            <w:tcW w:w="900" w:type="dxa"/>
          </w:tcPr>
          <w:p>
            <w:pPr>
              <w:pStyle w:val="731"/>
              <w:pBdr/>
              <w:spacing/>
              <w:ind/>
              <w:rPr/>
            </w:pPr>
            <w:r>
              <w:t xml:space="preserve">REF-07</w:t>
            </w:r>
            <w:r/>
          </w:p>
        </w:tc>
        <w:tc>
          <w:tcPr>
            <w:shd w:val="clear" w:color="auto" w:fill="fafafc"/>
            <w:tcBorders/>
            <w:tcW w:w="3500" w:type="dxa"/>
          </w:tcPr>
          <w:p>
            <w:pPr>
              <w:pStyle w:val="731"/>
              <w:pBdr/>
              <w:spacing/>
              <w:ind/>
              <w:rPr/>
            </w:pPr>
            <w:r>
              <w:t xml:space="preserve">Respuestas al cuestionario de levantamiento de información, fase 1 (preguntas P1 a P23).</w:t>
            </w:r>
            <w:r/>
          </w:p>
          <w:p>
            <w:pPr>
              <w:pStyle w:val="731"/>
              <w:pBdr/>
              <w:spacing/>
              <w:ind/>
              <w:rPr/>
            </w:pPr>
            <w:r>
              <w:rPr>
                <w:i/>
                <w:iCs/>
              </w:rPr>
              <w:t xml:space="preserve">Tipo: información del cliente reunida por el equipo del proyecto.</w:t>
            </w:r>
            <w:r/>
          </w:p>
        </w:tc>
        <w:tc>
          <w:tcPr>
            <w:shd w:val="clear" w:color="auto" w:fill="fafafc"/>
            <w:tcBorders/>
            <w:tcW w:w="2104" w:type="dxa"/>
          </w:tcPr>
          <w:p>
            <w:pPr>
              <w:pStyle w:val="731"/>
              <w:pBdr/>
              <w:spacing/>
              <w:ind/>
              <w:rPr/>
            </w:pPr>
            <w:r>
              <w:t xml:space="preserve">Equipo del proyecto. 5 de octubre de 2026.</w:t>
            </w:r>
            <w:r/>
          </w:p>
        </w:tc>
        <w:tc>
          <w:tcPr>
            <w:shd w:val="clear" w:color="auto" w:fill="fafafc"/>
            <w:tcBorders/>
            <w:tcW w:w="2900" w:type="dxa"/>
          </w:tcPr>
          <w:p>
            <w:pPr>
              <w:pStyle w:val="731"/>
              <w:pBdr/>
              <w:spacing/>
              <w:ind/>
              <w:rPr/>
            </w:pPr>
            <w:r>
              <w:t xml:space="preserve">contexto/respuestas.docx</w:t>
            </w:r>
            <w:r/>
          </w:p>
        </w:tc>
      </w:tr>
      <w:tr>
        <w:trPr>
          <w:cantSplit/>
        </w:trPr>
        <w:tc>
          <w:tcPr>
            <w:tcBorders/>
            <w:tcW w:w="900" w:type="dxa"/>
          </w:tcPr>
          <w:p>
            <w:pPr>
              <w:pStyle w:val="731"/>
              <w:pBdr/>
              <w:spacing/>
              <w:ind/>
              <w:rPr/>
            </w:pPr>
            <w:r>
              <w:t xml:space="preserve">REF-08</w:t>
            </w:r>
            <w:r/>
          </w:p>
        </w:tc>
        <w:tc>
          <w:tcPr>
            <w:tcBorders/>
            <w:tcW w:w="3500" w:type="dxa"/>
          </w:tcPr>
          <w:p>
            <w:pPr>
              <w:pStyle w:val="731"/>
              <w:pBdr/>
              <w:spacing/>
              <w:ind/>
              <w:rPr/>
            </w:pPr>
            <w:r>
              <w:t xml:space="preserve">Plantilla «Especificación de requisitos de software» (ERS simplificado), basada en IEEE Std 830-1998.</w:t>
            </w:r>
            <w:r/>
          </w:p>
          <w:p>
            <w:pPr>
              <w:pStyle w:val="731"/>
              <w:pBdr/>
              <w:spacing/>
              <w:ind/>
              <w:rPr/>
            </w:pPr>
            <w:r>
              <w:rPr>
                <w:i/>
                <w:iCs/>
              </w:rPr>
              <w:t xml:space="preserve">Tipo: plantilla de referencia.</w:t>
            </w:r>
            <w:r/>
          </w:p>
        </w:tc>
        <w:tc>
          <w:tcPr>
            <w:tcBorders/>
            <w:tcW w:w="2104" w:type="dxa"/>
          </w:tcPr>
          <w:p>
            <w:pPr>
              <w:pStyle w:val="731"/>
              <w:pBdr/>
              <w:spacing/>
              <w:ind/>
              <w:rPr/>
            </w:pPr>
            <w:r>
              <w:t xml:space="preserve">Última modificación: 27 de febrero de 2023.</w:t>
            </w:r>
            <w:r/>
          </w:p>
        </w:tc>
        <w:tc>
          <w:tcPr>
            <w:tcBorders/>
            <w:tcW w:w="2900" w:type="dxa"/>
          </w:tcPr>
          <w:p>
            <w:pPr>
              <w:pStyle w:val="731"/>
              <w:pBdr/>
              <w:spacing/>
              <w:ind/>
              <w:rPr/>
            </w:pPr>
            <w:r>
              <w:t xml:space="preserve">contexto/ERS simplificado.docx</w:t>
            </w:r>
            <w:r/>
          </w:p>
        </w:tc>
      </w:tr>
    </w:tbl>
    <w:p>
      <w:pPr>
        <w:pBdr/>
        <w:spacing w:after="60" w:before="0"/>
        <w:ind/>
        <w:rPr/>
      </w:pPr>
      <w:r/>
      <w:r/>
    </w:p>
    <w:p>
      <w:pPr>
        <w:pStyle w:val="725"/>
        <w:pBdr/>
        <w:spacing/>
        <w:ind/>
        <w:rPr/>
      </w:pPr>
      <w:r/>
      <w:bookmarkStart w:id="27" w:name="_Toc100027"/>
      <w:r>
        <w:t xml:space="preserve">1.4.3 Normas técnicas y legales</w:t>
      </w:r>
      <w:bookmarkEnd w:id="27"/>
      <w:r/>
      <w:r/>
    </w:p>
    <w:p>
      <w:pPr>
        <w:pStyle w:val="732"/>
        <w:keepNext w:val="true"/>
        <w:pBdr/>
        <w:spacing/>
        <w:ind/>
        <w:rPr/>
      </w:pPr>
      <w:r>
        <w:rPr>
          <w:b/>
          <w:bCs/>
          <w:color w:val="241a61"/>
          <w:sz w:val="18"/>
          <w:szCs w:val="18"/>
        </w:rPr>
        <w:t xml:space="preserve">Tabla 18. </w:t>
      </w:r>
      <w:r>
        <w:rPr>
          <w:sz w:val="18"/>
          <w:szCs w:val="18"/>
        </w:rPr>
        <w:t xml:space="preserve">Normas técnicas y legales.</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900"/>
        <w:gridCol w:w="3500"/>
        <w:gridCol w:w="2104"/>
        <w:gridCol w:w="2900"/>
      </w:tblGrid>
      <w:tr>
        <w:trPr>
          <w:cantSplit/>
          <w:tblHeader/>
        </w:trPr>
        <w:tc>
          <w:tcPr>
            <w:shd w:val="clear" w:color="auto" w:fill="241a61"/>
            <w:tcBorders/>
            <w:tcW w:w="900" w:type="dxa"/>
            <w:vAlign w:val="center"/>
          </w:tcPr>
          <w:p>
            <w:pPr>
              <w:pStyle w:val="731"/>
              <w:pBdr/>
              <w:spacing/>
              <w:ind/>
              <w:rPr/>
            </w:pPr>
            <w:r>
              <w:rPr>
                <w:b/>
                <w:bCs/>
                <w:color w:val="ffffff"/>
              </w:rPr>
              <w:t xml:space="preserve">ID</w:t>
            </w:r>
            <w:r/>
          </w:p>
        </w:tc>
        <w:tc>
          <w:tcPr>
            <w:shd w:val="clear" w:color="auto" w:fill="241a61"/>
            <w:tcBorders/>
            <w:tcW w:w="3500" w:type="dxa"/>
            <w:vAlign w:val="center"/>
          </w:tcPr>
          <w:p>
            <w:pPr>
              <w:pStyle w:val="731"/>
              <w:pBdr/>
              <w:spacing/>
              <w:ind/>
              <w:rPr/>
            </w:pPr>
            <w:r>
              <w:rPr>
                <w:b/>
                <w:bCs/>
                <w:color w:val="ffffff"/>
              </w:rPr>
              <w:t xml:space="preserve">Documento y tipo</w:t>
            </w:r>
            <w:r/>
          </w:p>
        </w:tc>
        <w:tc>
          <w:tcPr>
            <w:shd w:val="clear" w:color="auto" w:fill="241a61"/>
            <w:tcBorders/>
            <w:tcW w:w="2104" w:type="dxa"/>
            <w:vAlign w:val="center"/>
          </w:tcPr>
          <w:p>
            <w:pPr>
              <w:pStyle w:val="731"/>
              <w:pBdr/>
              <w:spacing/>
              <w:ind/>
              <w:rPr/>
            </w:pPr>
            <w:r>
              <w:rPr>
                <w:b/>
                <w:bCs/>
                <w:color w:val="ffffff"/>
              </w:rPr>
              <w:t xml:space="preserve">Emisor y fecha</w:t>
            </w:r>
            <w:r/>
          </w:p>
        </w:tc>
        <w:tc>
          <w:tcPr>
            <w:shd w:val="clear" w:color="auto" w:fill="241a61"/>
            <w:tcBorders/>
            <w:tcW w:w="2900" w:type="dxa"/>
            <w:vAlign w:val="center"/>
          </w:tcPr>
          <w:p>
            <w:pPr>
              <w:pStyle w:val="731"/>
              <w:pBdr/>
              <w:spacing/>
              <w:ind/>
              <w:rPr/>
            </w:pPr>
            <w:r>
              <w:rPr>
                <w:b/>
                <w:bCs/>
                <w:color w:val="ffffff"/>
              </w:rPr>
              <w:t xml:space="preserve">Disponibilidad</w:t>
            </w:r>
            <w:r/>
          </w:p>
        </w:tc>
      </w:tr>
      <w:tr>
        <w:trPr>
          <w:cantSplit/>
        </w:trPr>
        <w:tc>
          <w:tcPr>
            <w:tcBorders/>
            <w:tcW w:w="900" w:type="dxa"/>
          </w:tcPr>
          <w:p>
            <w:pPr>
              <w:pStyle w:val="731"/>
              <w:pBdr/>
              <w:spacing/>
              <w:ind/>
              <w:rPr/>
            </w:pPr>
            <w:r>
              <w:t xml:space="preserve">REF-09</w:t>
            </w:r>
            <w:r/>
          </w:p>
        </w:tc>
        <w:tc>
          <w:tcPr>
            <w:tcBorders/>
            <w:tcW w:w="3500" w:type="dxa"/>
          </w:tcPr>
          <w:p>
            <w:pPr>
              <w:pStyle w:val="731"/>
              <w:pBdr/>
              <w:spacing/>
              <w:ind/>
              <w:rPr/>
            </w:pPr>
            <w:r>
              <w:t xml:space="preserve">ISO/IEC/IEEE 29148:2018. Systems and software engineering — Life cycle processes — Requirements engineering (2.ª edición).</w:t>
            </w:r>
            <w:r/>
          </w:p>
          <w:p>
            <w:pPr>
              <w:pStyle w:val="731"/>
              <w:pBdr/>
              <w:spacing/>
              <w:ind/>
              <w:rPr/>
            </w:pPr>
            <w:r>
              <w:rPr>
                <w:i/>
                <w:iCs/>
              </w:rPr>
              <w:t xml:space="preserve">Tipo: norma técnica; base de este ERS.</w:t>
            </w:r>
            <w:r/>
          </w:p>
        </w:tc>
        <w:tc>
          <w:tcPr>
            <w:tcBorders/>
            <w:tcW w:w="2104" w:type="dxa"/>
          </w:tcPr>
          <w:p>
            <w:pPr>
              <w:pStyle w:val="731"/>
              <w:pBdr/>
              <w:spacing/>
              <w:ind/>
              <w:rPr/>
            </w:pPr>
            <w:r>
              <w:t xml:space="preserve">ISO, IEC e IEEE. Noviembre de 2018.</w:t>
            </w:r>
            <w:r/>
          </w:p>
        </w:tc>
        <w:tc>
          <w:tcPr>
            <w:tcBorders/>
            <w:tcW w:w="2900" w:type="dxa"/>
          </w:tcPr>
          <w:p>
            <w:pPr>
              <w:pStyle w:val="731"/>
              <w:pBdr/>
              <w:spacing/>
              <w:ind/>
              <w:rPr/>
            </w:pPr>
            <w:r/>
            <w:hyperlink r:id="rId13" w:tooltip="https://www.iso.org/standard/72089.html" w:history="1">
              <w:r>
                <w:rPr>
                  <w:rStyle w:val="739"/>
                </w:rPr>
                <w:t xml:space="preserve">https://www.iso.org/standard/72089.html</w:t>
              </w:r>
            </w:hyperlink>
            <w:r/>
            <w:r/>
          </w:p>
        </w:tc>
      </w:tr>
      <w:tr>
        <w:trPr>
          <w:cantSplit/>
        </w:trPr>
        <w:tc>
          <w:tcPr>
            <w:shd w:val="clear" w:color="auto" w:fill="fafafc"/>
            <w:tcBorders/>
            <w:tcW w:w="900" w:type="dxa"/>
          </w:tcPr>
          <w:p>
            <w:pPr>
              <w:pStyle w:val="731"/>
              <w:pBdr/>
              <w:spacing/>
              <w:ind/>
              <w:rPr/>
            </w:pPr>
            <w:r>
              <w:t xml:space="preserve">REF-10</w:t>
            </w:r>
            <w:r/>
          </w:p>
        </w:tc>
        <w:tc>
          <w:tcPr>
            <w:shd w:val="clear" w:color="auto" w:fill="fafafc"/>
            <w:tcBorders/>
            <w:tcW w:w="3500" w:type="dxa"/>
          </w:tcPr>
          <w:p>
            <w:pPr>
              <w:pStyle w:val="731"/>
              <w:pBdr/>
              <w:spacing/>
              <w:ind/>
              <w:rPr/>
            </w:pPr>
            <w:r>
              <w:t xml:space="preserve">IEEE Std 830-1998. IEEE Recommended Practice for Software Requirements Specifications.</w:t>
            </w:r>
            <w:r/>
          </w:p>
          <w:p>
            <w:pPr>
              <w:pStyle w:val="731"/>
              <w:pBdr/>
              <w:spacing/>
              <w:ind/>
              <w:rPr/>
            </w:pPr>
            <w:r>
              <w:rPr>
                <w:i/>
                <w:iCs/>
              </w:rPr>
              <w:t xml:space="preserve">Tipo: referencia histórica, sustituida por ISO/IEC/IEEE 29148.</w:t>
            </w:r>
            <w:r/>
          </w:p>
        </w:tc>
        <w:tc>
          <w:tcPr>
            <w:shd w:val="clear" w:color="auto" w:fill="fafafc"/>
            <w:tcBorders/>
            <w:tcW w:w="2104" w:type="dxa"/>
          </w:tcPr>
          <w:p>
            <w:pPr>
              <w:pStyle w:val="731"/>
              <w:pBdr/>
              <w:spacing/>
              <w:ind/>
              <w:rPr/>
            </w:pPr>
            <w:r>
              <w:t xml:space="preserve">IEEE. 1998.</w:t>
            </w:r>
            <w:r/>
          </w:p>
        </w:tc>
        <w:tc>
          <w:tcPr>
            <w:shd w:val="clear" w:color="auto" w:fill="fafafc"/>
            <w:tcBorders/>
            <w:tcW w:w="2900" w:type="dxa"/>
          </w:tcPr>
          <w:p>
            <w:pPr>
              <w:pStyle w:val="731"/>
              <w:pBdr/>
              <w:spacing/>
              <w:ind/>
              <w:rPr/>
            </w:pPr>
            <w:r>
              <w:t xml:space="preserve">Solo como antecedente de la plantilla REF-08.</w:t>
            </w:r>
            <w:r/>
          </w:p>
        </w:tc>
      </w:tr>
      <w:tr>
        <w:trPr>
          <w:cantSplit/>
        </w:trPr>
        <w:tc>
          <w:tcPr>
            <w:tcBorders/>
            <w:tcW w:w="900" w:type="dxa"/>
          </w:tcPr>
          <w:p>
            <w:pPr>
              <w:pStyle w:val="731"/>
              <w:pBdr/>
              <w:spacing/>
              <w:ind/>
              <w:rPr/>
            </w:pPr>
            <w:r>
              <w:t xml:space="preserve">REF-11</w:t>
            </w:r>
            <w:r/>
          </w:p>
        </w:tc>
        <w:tc>
          <w:tcPr>
            <w:tcBorders/>
            <w:tcW w:w="3500" w:type="dxa"/>
          </w:tcPr>
          <w:p>
            <w:pPr>
              <w:pStyle w:val="731"/>
              <w:pBdr/>
              <w:spacing/>
              <w:ind/>
              <w:rPr/>
            </w:pPr>
            <w:r>
              <w:t xml:space="preserve">ISO/IEC 25010. Modelo de calidad del producto (SQuaRE).</w:t>
            </w:r>
            <w:r/>
          </w:p>
          <w:p>
            <w:pPr>
              <w:pStyle w:val="731"/>
              <w:pBdr/>
              <w:spacing/>
              <w:ind/>
              <w:rPr/>
            </w:pPr>
            <w:r>
              <w:rPr>
                <w:i/>
                <w:iCs/>
              </w:rPr>
              <w:t xml:space="preserve">Tipo: norma técnica para clasificar los RNF (sección 3.2).</w:t>
            </w:r>
            <w:r/>
          </w:p>
        </w:tc>
        <w:tc>
          <w:tcPr>
            <w:tcBorders/>
            <w:tcW w:w="2104" w:type="dxa"/>
          </w:tcPr>
          <w:p>
            <w:pPr>
              <w:pStyle w:val="731"/>
              <w:pBdr/>
              <w:spacing/>
              <w:ind/>
              <w:rPr/>
            </w:pPr>
            <w:r>
              <w:t xml:space="preserve">ISO e IEC. Edición: </w:t>
            </w:r>
            <w:r>
              <w:rPr>
                <w:b/>
                <w:bCs/>
                <w:color w:val="9c4a00"/>
                <w:shd w:val="clear" w:color="auto" w:fill="fff2cc"/>
              </w:rPr>
              <w:t xml:space="preserve">[POR DEFINIR]</w:t>
            </w:r>
            <w:r>
              <w:t xml:space="preserve">.</w:t>
            </w:r>
            <w:r/>
          </w:p>
        </w:tc>
        <w:tc>
          <w:tcPr>
            <w:tcBorders/>
            <w:tcW w:w="2900" w:type="dxa"/>
          </w:tcPr>
          <w:p>
            <w:pPr>
              <w:pStyle w:val="731"/>
              <w:pBdr/>
              <w:spacing/>
              <w:ind/>
              <w:rPr/>
            </w:pPr>
            <w:r>
              <w:t xml:space="preserve">La edición 2023 sustituye a la de 2011: cambia «usabilidad» por «capacidad de interacción» y «portabilidad» por «flexibilidad», y añade «safety». </w:t>
            </w:r>
            <w:r>
              <w:rPr>
                <w:b/>
                <w:bCs/>
              </w:rPr>
              <w:t xml:space="preserve">Impacto:</w:t>
            </w:r>
            <w:r>
              <w:t xml:space="preserve"> define las categorías de los RNF.</w:t>
            </w:r>
            <w:r/>
          </w:p>
        </w:tc>
      </w:tr>
      <w:tr>
        <w:trPr>
          <w:cantSplit/>
        </w:trPr>
        <w:tc>
          <w:tcPr>
            <w:shd w:val="clear" w:color="auto" w:fill="fafafc"/>
            <w:tcBorders/>
            <w:tcW w:w="900" w:type="dxa"/>
          </w:tcPr>
          <w:p>
            <w:pPr>
              <w:pStyle w:val="731"/>
              <w:pBdr/>
              <w:spacing/>
              <w:ind/>
              <w:rPr/>
            </w:pPr>
            <w:r>
              <w:t xml:space="preserve">REF-12</w:t>
            </w:r>
            <w:r/>
          </w:p>
        </w:tc>
        <w:tc>
          <w:tcPr>
            <w:shd w:val="clear" w:color="auto" w:fill="fafafc"/>
            <w:tcBorders/>
            <w:tcW w:w="3500" w:type="dxa"/>
          </w:tcPr>
          <w:p>
            <w:pPr>
              <w:pStyle w:val="731"/>
              <w:pBdr/>
              <w:spacing/>
              <w:ind/>
              <w:rPr/>
            </w:pPr>
            <w:r>
              <w:t xml:space="preserve">Ley Federal de Protección de Datos Personales en Posesión de los Particulares.</w:t>
            </w:r>
            <w:r/>
          </w:p>
          <w:p>
            <w:pPr>
              <w:pStyle w:val="731"/>
              <w:pBdr/>
              <w:spacing/>
              <w:ind/>
              <w:rPr/>
            </w:pPr>
            <w:r>
              <w:rPr>
                <w:i/>
                <w:iCs/>
              </w:rPr>
              <w:t xml:space="preserve">Tipo: norma legal.</w:t>
            </w:r>
            <w:r/>
          </w:p>
        </w:tc>
        <w:tc>
          <w:tcPr>
            <w:shd w:val="clear" w:color="auto" w:fill="fafafc"/>
            <w:tcBorders/>
            <w:tcW w:w="2104" w:type="dxa"/>
          </w:tcPr>
          <w:p>
            <w:pPr>
              <w:pStyle w:val="731"/>
              <w:pBdr/>
              <w:spacing/>
              <w:ind/>
              <w:rPr/>
            </w:pPr>
            <w:r>
              <w:t xml:space="preserve">Congreso de la Unión. DOF del 20 de marzo de 2025; vigente desde el 21 de marzo de 2025.</w:t>
            </w:r>
            <w:r/>
          </w:p>
        </w:tc>
        <w:tc>
          <w:tcPr>
            <w:shd w:val="clear" w:color="auto" w:fill="fafafc"/>
            <w:tcBorders/>
            <w:tcW w:w="2900" w:type="dxa"/>
          </w:tcPr>
          <w:p>
            <w:pPr>
              <w:pStyle w:val="731"/>
              <w:pBdr/>
              <w:spacing/>
              <w:ind/>
              <w:rPr/>
            </w:pPr>
            <w:r/>
            <w:hyperlink r:id="rId14" w:tooltip="https://www.diputados.gob.mx/LeyesBiblio/pdf/LFPDPPP.pdf" w:history="1">
              <w:r>
                <w:rPr>
                  <w:rStyle w:val="739"/>
                </w:rPr>
                <w:t xml:space="preserve">https://www.diputados.gob.mx/LeyesBiblio/pdf/LFPDPPP.pdf</w:t>
              </w:r>
            </w:hyperlink>
            <w:r/>
            <w:r/>
          </w:p>
        </w:tc>
      </w:tr>
    </w:tbl>
    <w:p>
      <w:pPr>
        <w:pBdr/>
        <w:spacing w:after="60" w:before="0"/>
        <w:ind/>
        <w:rPr/>
      </w:pPr>
      <w:r/>
      <w:r/>
    </w:p>
    <w:p>
      <w:pPr>
        <w:pBdr/>
        <w:spacing/>
        <w:ind/>
        <w:rPr/>
      </w:pPr>
      <w:r>
        <w:t xml:space="preserve">La LFPDPPP aplica porque la Liga es una asociación civil privada que trata datos personales, incluidos los de menores de edad [REF-07, P16]. Su aplicación concreta se detallará en la sección 3.5.</w:t>
      </w:r>
      <w:r/>
    </w:p>
    <w:p>
      <w:pPr>
        <w:pStyle w:val="725"/>
        <w:pBdr/>
        <w:spacing/>
        <w:ind/>
        <w:rPr/>
      </w:pPr>
      <w:r/>
      <w:bookmarkStart w:id="28" w:name="_Toc100028"/>
      <w:r>
        <w:t xml:space="preserve">1.4.4 Fuentes secundarias</w:t>
      </w:r>
      <w:bookmarkEnd w:id="28"/>
      <w:r/>
      <w:r/>
    </w:p>
    <w:p>
      <w:pPr>
        <w:pStyle w:val="732"/>
        <w:keepNext w:val="true"/>
        <w:pBdr/>
        <w:spacing/>
        <w:ind/>
        <w:rPr/>
      </w:pPr>
      <w:r>
        <w:rPr>
          <w:b/>
          <w:bCs/>
          <w:color w:val="241a61"/>
          <w:sz w:val="18"/>
          <w:szCs w:val="18"/>
        </w:rPr>
        <w:t xml:space="preserve">Tabla 19. </w:t>
      </w:r>
      <w:r>
        <w:rPr>
          <w:sz w:val="18"/>
          <w:szCs w:val="18"/>
        </w:rPr>
        <w:t xml:space="preserve">Fuentes secundarias (sitios web y prensa).</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900"/>
        <w:gridCol w:w="3500"/>
        <w:gridCol w:w="2104"/>
        <w:gridCol w:w="2900"/>
      </w:tblGrid>
      <w:tr>
        <w:trPr>
          <w:cantSplit/>
          <w:tblHeader/>
        </w:trPr>
        <w:tc>
          <w:tcPr>
            <w:shd w:val="clear" w:color="auto" w:fill="241a61"/>
            <w:tcBorders/>
            <w:tcW w:w="900" w:type="dxa"/>
            <w:vAlign w:val="center"/>
          </w:tcPr>
          <w:p>
            <w:pPr>
              <w:pStyle w:val="731"/>
              <w:pBdr/>
              <w:spacing/>
              <w:ind/>
              <w:rPr/>
            </w:pPr>
            <w:r>
              <w:rPr>
                <w:b/>
                <w:bCs/>
                <w:color w:val="ffffff"/>
              </w:rPr>
              <w:t xml:space="preserve">ID</w:t>
            </w:r>
            <w:r/>
          </w:p>
        </w:tc>
        <w:tc>
          <w:tcPr>
            <w:shd w:val="clear" w:color="auto" w:fill="241a61"/>
            <w:tcBorders/>
            <w:tcW w:w="3500" w:type="dxa"/>
            <w:vAlign w:val="center"/>
          </w:tcPr>
          <w:p>
            <w:pPr>
              <w:pStyle w:val="731"/>
              <w:pBdr/>
              <w:spacing/>
              <w:ind/>
              <w:rPr/>
            </w:pPr>
            <w:r>
              <w:rPr>
                <w:b/>
                <w:bCs/>
                <w:color w:val="ffffff"/>
              </w:rPr>
              <w:t xml:space="preserve">Documento y tipo</w:t>
            </w:r>
            <w:r/>
          </w:p>
        </w:tc>
        <w:tc>
          <w:tcPr>
            <w:shd w:val="clear" w:color="auto" w:fill="241a61"/>
            <w:tcBorders/>
            <w:tcW w:w="2104" w:type="dxa"/>
            <w:vAlign w:val="center"/>
          </w:tcPr>
          <w:p>
            <w:pPr>
              <w:pStyle w:val="731"/>
              <w:pBdr/>
              <w:spacing/>
              <w:ind/>
              <w:rPr/>
            </w:pPr>
            <w:r>
              <w:rPr>
                <w:b/>
                <w:bCs/>
                <w:color w:val="ffffff"/>
              </w:rPr>
              <w:t xml:space="preserve">Emisor y fecha</w:t>
            </w:r>
            <w:r/>
          </w:p>
        </w:tc>
        <w:tc>
          <w:tcPr>
            <w:shd w:val="clear" w:color="auto" w:fill="241a61"/>
            <w:tcBorders/>
            <w:tcW w:w="2900" w:type="dxa"/>
            <w:vAlign w:val="center"/>
          </w:tcPr>
          <w:p>
            <w:pPr>
              <w:pStyle w:val="731"/>
              <w:pBdr/>
              <w:spacing/>
              <w:ind/>
              <w:rPr/>
            </w:pPr>
            <w:r>
              <w:rPr>
                <w:b/>
                <w:bCs/>
                <w:color w:val="ffffff"/>
              </w:rPr>
              <w:t xml:space="preserve">Disponibilidad</w:t>
            </w:r>
            <w:r/>
          </w:p>
        </w:tc>
      </w:tr>
      <w:tr>
        <w:trPr>
          <w:cantSplit/>
        </w:trPr>
        <w:tc>
          <w:tcPr>
            <w:tcBorders/>
            <w:tcW w:w="900" w:type="dxa"/>
          </w:tcPr>
          <w:p>
            <w:pPr>
              <w:pStyle w:val="731"/>
              <w:pBdr/>
              <w:spacing/>
              <w:ind/>
              <w:rPr/>
            </w:pPr>
            <w:r>
              <w:t xml:space="preserve">REF-13</w:t>
            </w:r>
            <w:r/>
          </w:p>
        </w:tc>
        <w:tc>
          <w:tcPr>
            <w:tcBorders/>
            <w:tcW w:w="3500" w:type="dxa"/>
          </w:tcPr>
          <w:p>
            <w:pPr>
              <w:pStyle w:val="731"/>
              <w:pBdr/>
              <w:spacing/>
              <w:ind/>
              <w:rPr/>
            </w:pPr>
            <w:r>
              <w:t xml:space="preserve">«Nosotros», sitio oficial del Instituto Municipal de Cultura Física y Deporte.</w:t>
            </w:r>
            <w:r/>
          </w:p>
          <w:p>
            <w:pPr>
              <w:pStyle w:val="731"/>
              <w:pBdr/>
              <w:spacing/>
              <w:ind/>
              <w:rPr/>
            </w:pPr>
            <w:r>
              <w:rPr>
                <w:i/>
                <w:iCs/>
              </w:rPr>
              <w:t xml:space="preserve">Tipo: fuente secundaria.</w:t>
            </w:r>
            <w:r/>
          </w:p>
        </w:tc>
        <w:tc>
          <w:tcPr>
            <w:tcBorders/>
            <w:tcW w:w="2104" w:type="dxa"/>
          </w:tcPr>
          <w:p>
            <w:pPr>
              <w:pStyle w:val="731"/>
              <w:pBdr/>
              <w:spacing/>
              <w:ind/>
              <w:rPr/>
            </w:pPr>
            <w:r>
              <w:t xml:space="preserve">IMCUFIDE. Consultado el 5 de octubre de 2026.</w:t>
            </w:r>
            <w:r/>
          </w:p>
        </w:tc>
        <w:tc>
          <w:tcPr>
            <w:tcBorders/>
            <w:tcW w:w="2900" w:type="dxa"/>
          </w:tcPr>
          <w:p>
            <w:pPr>
              <w:pStyle w:val="731"/>
              <w:pBdr/>
              <w:spacing/>
              <w:ind/>
              <w:rPr/>
            </w:pPr>
            <w:r/>
            <w:hyperlink r:id="rId15" w:tooltip="https://imcufide.org/nosotros/" w:history="1">
              <w:r>
                <w:rPr>
                  <w:rStyle w:val="739"/>
                </w:rPr>
                <w:t xml:space="preserve">https://imcufide.org/nosotros/</w:t>
              </w:r>
            </w:hyperlink>
            <w:r/>
            <w:r/>
          </w:p>
        </w:tc>
      </w:tr>
      <w:tr>
        <w:trPr>
          <w:cantSplit/>
        </w:trPr>
        <w:tc>
          <w:tcPr>
            <w:shd w:val="clear" w:color="auto" w:fill="fafafc"/>
            <w:tcBorders/>
            <w:tcW w:w="900" w:type="dxa"/>
          </w:tcPr>
          <w:p>
            <w:pPr>
              <w:pStyle w:val="731"/>
              <w:pBdr/>
              <w:spacing/>
              <w:ind/>
              <w:rPr/>
            </w:pPr>
            <w:r>
              <w:t xml:space="preserve">REF-14</w:t>
            </w:r>
            <w:r/>
          </w:p>
        </w:tc>
        <w:tc>
          <w:tcPr>
            <w:shd w:val="clear" w:color="auto" w:fill="fafafc"/>
            <w:tcBorders/>
            <w:tcW w:w="3500" w:type="dxa"/>
          </w:tcPr>
          <w:p>
            <w:pPr>
              <w:pStyle w:val="731"/>
              <w:pBdr/>
              <w:spacing/>
              <w:ind/>
              <w:rPr/>
            </w:pPr>
            <w:r>
              <w:t xml:space="preserve">«Abre convocatoria la Liga Municipal de Futbol Amateur Morelia para la nueva temporada 2025-2026».</w:t>
            </w:r>
            <w:r/>
          </w:p>
          <w:p>
            <w:pPr>
              <w:pStyle w:val="731"/>
              <w:pBdr/>
              <w:spacing/>
              <w:ind/>
              <w:rPr/>
            </w:pPr>
            <w:r>
              <w:rPr>
                <w:i/>
                <w:iCs/>
              </w:rPr>
              <w:t xml:space="preserve">Tipo: fuente secundaria (prensa).</w:t>
            </w:r>
            <w:r/>
          </w:p>
        </w:tc>
        <w:tc>
          <w:tcPr>
            <w:shd w:val="clear" w:color="auto" w:fill="fafafc"/>
            <w:tcBorders/>
            <w:tcW w:w="2104" w:type="dxa"/>
          </w:tcPr>
          <w:p>
            <w:pPr>
              <w:pStyle w:val="731"/>
              <w:pBdr/>
              <w:spacing/>
              <w:ind/>
              <w:rPr/>
            </w:pPr>
            <w:r>
              <w:t xml:space="preserve">Contramuro. 27 de agosto de 2025.</w:t>
            </w:r>
            <w:r/>
          </w:p>
        </w:tc>
        <w:tc>
          <w:tcPr>
            <w:shd w:val="clear" w:color="auto" w:fill="fafafc"/>
            <w:tcBorders/>
            <w:tcW w:w="2900" w:type="dxa"/>
          </w:tcPr>
          <w:p>
            <w:pPr>
              <w:pStyle w:val="731"/>
              <w:pBdr/>
              <w:spacing/>
              <w:ind/>
              <w:rPr/>
            </w:pPr>
            <w:r/>
            <w:hyperlink r:id="rId16" w:tooltip="https://www.contramuro.com/convocatoria-para-liga-municipal-de-futbol-morelia-2025-2026/" w:history="1">
              <w:r>
                <w:rPr>
                  <w:rStyle w:val="739"/>
                </w:rPr>
                <w:t xml:space="preserve">https://www.contramuro.com/convocatoria-para-liga-municipal-de-futbol-morelia-2025-2026/</w:t>
              </w:r>
            </w:hyperlink>
            <w:r/>
            <w:r/>
          </w:p>
        </w:tc>
      </w:tr>
      <w:tr>
        <w:trPr>
          <w:cantSplit/>
        </w:trPr>
        <w:tc>
          <w:tcPr>
            <w:tcBorders/>
            <w:tcW w:w="900" w:type="dxa"/>
          </w:tcPr>
          <w:p>
            <w:pPr>
              <w:pStyle w:val="731"/>
              <w:pBdr/>
              <w:spacing/>
              <w:ind/>
              <w:rPr/>
            </w:pPr>
            <w:r>
              <w:t xml:space="preserve">REF-15</w:t>
            </w:r>
            <w:r/>
          </w:p>
        </w:tc>
        <w:tc>
          <w:tcPr>
            <w:tcBorders/>
            <w:tcW w:w="3500" w:type="dxa"/>
          </w:tcPr>
          <w:p>
            <w:pPr>
              <w:pStyle w:val="731"/>
              <w:pBdr/>
              <w:spacing/>
              <w:ind/>
              <w:rPr/>
            </w:pPr>
            <w:r>
              <w:t xml:space="preserve">«Regresa la Liga Municipal de Futbol Amateur Morelia».</w:t>
            </w:r>
            <w:r/>
          </w:p>
          <w:p>
            <w:pPr>
              <w:pStyle w:val="731"/>
              <w:pBdr/>
              <w:spacing/>
              <w:ind/>
              <w:rPr/>
            </w:pPr>
            <w:r>
              <w:rPr>
                <w:i/>
                <w:iCs/>
              </w:rPr>
              <w:t xml:space="preserve">Tipo: fuente secundaria (prensa).</w:t>
            </w:r>
            <w:r/>
          </w:p>
        </w:tc>
        <w:tc>
          <w:tcPr>
            <w:tcBorders/>
            <w:tcW w:w="2104" w:type="dxa"/>
          </w:tcPr>
          <w:p>
            <w:pPr>
              <w:pStyle w:val="731"/>
              <w:pBdr/>
              <w:spacing/>
              <w:ind/>
              <w:rPr/>
            </w:pPr>
            <w:r>
              <w:t xml:space="preserve">Contramuro. 3 de noviembre de 2025.</w:t>
            </w:r>
            <w:r/>
          </w:p>
        </w:tc>
        <w:tc>
          <w:tcPr>
            <w:tcBorders/>
            <w:tcW w:w="2900" w:type="dxa"/>
          </w:tcPr>
          <w:p>
            <w:pPr>
              <w:pStyle w:val="731"/>
              <w:pBdr/>
              <w:spacing/>
              <w:ind/>
              <w:rPr/>
            </w:pPr>
            <w:r/>
            <w:hyperlink r:id="rId17" w:tooltip="https://www.contramuro.com/liga-municipal-futbol-morelia-regresa-2025-2026/" w:history="1">
              <w:r>
                <w:rPr>
                  <w:rStyle w:val="739"/>
                </w:rPr>
                <w:t xml:space="preserve">https://www.contramuro.com/liga-municipal-futbol-morelia-regresa-2025-2026/</w:t>
              </w:r>
            </w:hyperlink>
            <w:r/>
            <w:r/>
          </w:p>
        </w:tc>
      </w:tr>
      <w:tr>
        <w:trPr>
          <w:cantSplit/>
        </w:trPr>
        <w:tc>
          <w:tcPr>
            <w:shd w:val="clear" w:color="auto" w:fill="fafafc"/>
            <w:tcBorders/>
            <w:tcW w:w="900" w:type="dxa"/>
          </w:tcPr>
          <w:p>
            <w:pPr>
              <w:pStyle w:val="731"/>
              <w:pBdr/>
              <w:spacing/>
              <w:ind/>
              <w:rPr/>
            </w:pPr>
            <w:r>
              <w:t xml:space="preserve">REF-16</w:t>
            </w:r>
            <w:r/>
          </w:p>
        </w:tc>
        <w:tc>
          <w:tcPr>
            <w:shd w:val="clear" w:color="auto" w:fill="fafafc"/>
            <w:tcBorders/>
            <w:tcW w:w="3500" w:type="dxa"/>
          </w:tcPr>
          <w:p>
            <w:pPr>
              <w:pStyle w:val="731"/>
              <w:pBdr/>
              <w:spacing/>
              <w:ind/>
              <w:rPr/>
            </w:pPr>
            <w:r>
              <w:t xml:space="preserve">«Más de 25 mil futbolistas le darán vida a la temporada 2025-26 de la Liga Municipal de Futbol Amateur Morelia A.C.».</w:t>
            </w:r>
            <w:r/>
          </w:p>
          <w:p>
            <w:pPr>
              <w:pStyle w:val="731"/>
              <w:pBdr/>
              <w:spacing/>
              <w:ind/>
              <w:rPr/>
            </w:pPr>
            <w:r>
              <w:rPr>
                <w:i/>
                <w:iCs/>
              </w:rPr>
              <w:t xml:space="preserve">Tipo: fuente secundaria (prensa).</w:t>
            </w:r>
            <w:r/>
          </w:p>
        </w:tc>
        <w:tc>
          <w:tcPr>
            <w:shd w:val="clear" w:color="auto" w:fill="fafafc"/>
            <w:tcBorders/>
            <w:tcW w:w="2104" w:type="dxa"/>
          </w:tcPr>
          <w:p>
            <w:pPr>
              <w:pStyle w:val="731"/>
              <w:pBdr/>
              <w:spacing/>
              <w:ind/>
              <w:rPr/>
            </w:pPr>
            <w:r>
              <w:t xml:space="preserve">Contramuro. 9 de noviembre de 2025.</w:t>
            </w:r>
            <w:r/>
          </w:p>
        </w:tc>
        <w:tc>
          <w:tcPr>
            <w:shd w:val="clear" w:color="auto" w:fill="fafafc"/>
            <w:tcBorders/>
            <w:tcW w:w="2900" w:type="dxa"/>
          </w:tcPr>
          <w:p>
            <w:pPr>
              <w:pStyle w:val="731"/>
              <w:pBdr/>
              <w:spacing/>
              <w:ind/>
              <w:rPr/>
            </w:pPr>
            <w:r/>
            <w:hyperlink r:id="rId18" w:tooltip="https://www.contramuro.com/liga-municipal-futbol-amateur-morelia-2025-26/" w:history="1">
              <w:r>
                <w:rPr>
                  <w:rStyle w:val="739"/>
                </w:rPr>
                <w:t xml:space="preserve">https://www.contramuro.com/liga-municipal-futbol-amateur-morelia-2025-26/</w:t>
              </w:r>
            </w:hyperlink>
            <w:r/>
            <w:r/>
          </w:p>
        </w:tc>
      </w:tr>
      <w:tr>
        <w:trPr>
          <w:cantSplit/>
        </w:trPr>
        <w:tc>
          <w:tcPr>
            <w:tcBorders/>
            <w:tcW w:w="900" w:type="dxa"/>
          </w:tcPr>
          <w:p>
            <w:pPr>
              <w:pStyle w:val="731"/>
              <w:pBdr/>
              <w:spacing/>
              <w:ind/>
              <w:rPr/>
            </w:pPr>
            <w:r>
              <w:t xml:space="preserve">REF-17</w:t>
            </w:r>
            <w:r/>
          </w:p>
        </w:tc>
        <w:tc>
          <w:tcPr>
            <w:tcBorders/>
            <w:tcW w:w="3500" w:type="dxa"/>
          </w:tcPr>
          <w:p>
            <w:pPr>
              <w:pStyle w:val="731"/>
              <w:pBdr/>
              <w:spacing/>
              <w:ind/>
              <w:rPr/>
            </w:pPr>
            <w:r>
              <w:t xml:space="preserve">«Programación oficial de la Liga Municipal de Fut-bol Amateur Morelia, A.C.».</w:t>
            </w:r>
            <w:r/>
          </w:p>
          <w:p>
            <w:pPr>
              <w:pStyle w:val="731"/>
              <w:pBdr/>
              <w:spacing/>
              <w:ind/>
              <w:rPr/>
            </w:pPr>
            <w:r>
              <w:rPr>
                <w:i/>
                <w:iCs/>
              </w:rPr>
              <w:t xml:space="preserve">Tipo: fuente secundaria (prensa).</w:t>
            </w:r>
            <w:r/>
          </w:p>
        </w:tc>
        <w:tc>
          <w:tcPr>
            <w:tcBorders/>
            <w:tcW w:w="2104" w:type="dxa"/>
          </w:tcPr>
          <w:p>
            <w:pPr>
              <w:pStyle w:val="731"/>
              <w:pBdr/>
              <w:spacing/>
              <w:ind/>
              <w:rPr/>
            </w:pPr>
            <w:r>
              <w:t xml:space="preserve">Respuesta Michoacán. 1 de noviembre de 2023.</w:t>
            </w:r>
            <w:r/>
          </w:p>
        </w:tc>
        <w:tc>
          <w:tcPr>
            <w:tcBorders/>
            <w:tcW w:w="2900" w:type="dxa"/>
          </w:tcPr>
          <w:p>
            <w:pPr>
              <w:pStyle w:val="731"/>
              <w:pBdr/>
              <w:spacing/>
              <w:ind/>
              <w:rPr/>
            </w:pPr>
            <w:r/>
            <w:hyperlink r:id="rId19" w:tooltip="https://www.respuesta.com.mx/deportes-secciones/programacion-oficial-de-la-liga-municipal-de-fut-bol-amateur-morelia-a-c-2/" w:history="1">
              <w:r>
                <w:rPr>
                  <w:rStyle w:val="739"/>
                </w:rPr>
                <w:t xml:space="preserve">https://www.respuesta.com.mx/deportes-secciones/programacion-oficial-de-la-liga-municipal-de-fut-bol-amateur-morelia-a-c-2/</w:t>
              </w:r>
            </w:hyperlink>
            <w:r/>
            <w:r/>
          </w:p>
        </w:tc>
      </w:tr>
    </w:tbl>
    <w:p>
      <w:pPr>
        <w:pBdr/>
        <w:spacing w:after="60" w:before="0"/>
        <w:ind/>
        <w:rPr/>
      </w:pPr>
      <w:r/>
      <w:r/>
    </w:p>
    <w:p>
      <w:pPr>
        <w:pStyle w:val="725"/>
        <w:pBdr/>
        <w:spacing/>
        <w:ind/>
        <w:rPr/>
      </w:pPr>
      <w:r/>
      <w:bookmarkStart w:id="29" w:name="_Toc100029"/>
      <w:r>
        <w:t xml:space="preserve">1.4.5 Precedencia entre fuentes</w:t>
      </w:r>
      <w:bookmarkEnd w:id="29"/>
      <w:r/>
      <w:r/>
    </w:p>
    <w:p>
      <w:pPr>
        <w:pBdr/>
        <w:spacing/>
        <w:ind/>
        <w:rPr/>
      </w:pPr>
      <w:r>
        <w:t xml:space="preserve">Si dos fuentes se contradicen, este ERS aplica el orden siguiente (</w:t>
      </w:r>
      <w:r>
        <w:rPr>
          <w:b/>
          <w:bCs/>
        </w:rPr>
        <w:t xml:space="preserve">propuesta</w:t>
      </w:r>
      <w:r>
        <w:t xml:space="preserve"> del análisis; requiere aprobación de la Liga):</w:t>
      </w:r>
      <w:r/>
    </w:p>
    <w:p>
      <w:pPr>
        <w:pStyle w:val="730"/>
        <w:numPr>
          <w:ilvl w:val="0"/>
          <w:numId w:val="3"/>
        </w:numPr>
        <w:pBdr/>
        <w:spacing/>
        <w:ind/>
        <w:rPr/>
      </w:pPr>
      <w:r>
        <w:t xml:space="preserve">Normas vigentes de la Liga: estatutos, reglamento interno y convocatoria de la temporada (REF-01, REF-02, REF-04 y REF-05).</w:t>
      </w:r>
      <w:r/>
    </w:p>
    <w:p>
      <w:pPr>
        <w:pStyle w:val="730"/>
        <w:numPr>
          <w:ilvl w:val="0"/>
          <w:numId w:val="3"/>
        </w:numPr>
        <w:pBdr/>
        <w:spacing/>
        <w:ind/>
        <w:rPr/>
      </w:pPr>
      <w:r>
        <w:t xml:space="preserve">Documentos operativos oficiales, como la programación (REF-03).</w:t>
      </w:r>
      <w:r/>
    </w:p>
    <w:p>
      <w:pPr>
        <w:pStyle w:val="730"/>
        <w:numPr>
          <w:ilvl w:val="0"/>
          <w:numId w:val="3"/>
        </w:numPr>
        <w:pBdr/>
        <w:spacing/>
        <w:ind/>
        <w:rPr/>
      </w:pPr>
      <w:r>
        <w:t xml:space="preserve">Información del levantamiento (REF-07).</w:t>
      </w:r>
      <w:r/>
    </w:p>
    <w:p>
      <w:pPr>
        <w:pStyle w:val="730"/>
        <w:numPr>
          <w:ilvl w:val="0"/>
          <w:numId w:val="3"/>
        </w:numPr>
        <w:pBdr/>
        <w:spacing/>
        <w:ind/>
        <w:rPr/>
      </w:pPr>
      <w:r>
        <w:t xml:space="preserve">Documento base de visión y alcance (REF-06).</w:t>
      </w:r>
      <w:r/>
    </w:p>
    <w:p>
      <w:pPr>
        <w:pStyle w:val="730"/>
        <w:numPr>
          <w:ilvl w:val="0"/>
          <w:numId w:val="3"/>
        </w:numPr>
        <w:pBdr/>
        <w:spacing/>
        <w:ind/>
        <w:rPr/>
      </w:pPr>
      <w:r>
        <w:t xml:space="preserve">Prensa y sitios web (REF-13 a REF-17).</w:t>
      </w:r>
      <w:r/>
    </w:p>
    <w:p>
      <w:pPr>
        <w:pBdr/>
        <w:spacing/>
        <w:ind/>
        <w:rPr/>
      </w:pPr>
      <w:r>
        <w:t xml:space="preserve">Las contradicciones detectadas se señalan en el texto donde aparecen (por ejemplo, en 1.3.3).</w:t>
      </w:r>
      <w:r/>
    </w:p>
    <w:p>
      <w:pPr>
        <w:pStyle w:val="725"/>
        <w:pBdr/>
        <w:spacing/>
        <w:ind/>
        <w:rPr/>
      </w:pPr>
      <w:r/>
      <w:bookmarkStart w:id="30" w:name="_Toc100030"/>
      <w:r>
        <w:t xml:space="preserve">1.4.6 Documentos revisados que no se usan como fuente</w:t>
      </w:r>
      <w:bookmarkEnd w:id="30"/>
      <w:r/>
      <w:r/>
    </w:p>
    <w:p>
      <w:pPr>
        <w:pStyle w:val="730"/>
        <w:numPr>
          <w:ilvl w:val="0"/>
          <w:numId w:val="1"/>
        </w:numPr>
        <w:pBdr/>
        <w:spacing/>
        <w:ind/>
        <w:rPr/>
      </w:pPr>
      <w:r>
        <w:rPr>
          <w:b/>
          <w:bCs/>
        </w:rPr>
        <w:t xml:space="preserve">«Reglamento General» de la «Liga Municipal de Fútbol Infantil»</w:t>
      </w:r>
      <w:r>
        <w:t xml:space="preserve"> (contexto/reglamento_liga_municipal_infantil.pdf). Corresponde a una liga de Merlo, provincia de Buenos Aires, Argentina (fechado en «Merlo, Febrero 2022»). No es reglamento de la Liga y no se usa como fuente.</w:t>
      </w:r>
      <w:r/>
    </w:p>
    <w:p>
      <w:pPr>
        <w:pStyle w:val="730"/>
        <w:numPr>
          <w:ilvl w:val="0"/>
          <w:numId w:val="1"/>
        </w:numPr>
        <w:pBdr/>
        <w:spacing/>
        <w:ind/>
        <w:rPr/>
      </w:pPr>
      <w:r>
        <w:rPr>
          <w:b/>
          <w:bCs/>
        </w:rPr>
        <w:t xml:space="preserve">Cuestionario y lienzo Business Model Canvas</w:t>
      </w:r>
      <w:r>
        <w:t xml:space="preserve"> numerados «1.» y «2.». Pertenecen a otro proyecto; las copias sin número están en blanco.</w:t>
      </w:r>
      <w:r/>
    </w:p>
    <w:p>
      <w:pPr>
        <w:pStyle w:val="730"/>
        <w:numPr>
          <w:ilvl w:val="0"/>
          <w:numId w:val="1"/>
        </w:numPr>
        <w:pBdr/>
        <w:spacing/>
        <w:ind/>
        <w:rPr/>
      </w:pPr>
      <w:r>
        <w:rPr>
          <w:b/>
          <w:bCs/>
        </w:rPr>
        <w:t xml:space="preserve">«Introducción a Scrum»</w:t>
      </w:r>
      <w:r>
        <w:t xml:space="preserve"> (contexto/SCRUM_ONLY.pdf). Es material de metodología de desarrollo y queda fuera del alcance de un ERS.</w:t>
      </w:r>
      <w:r/>
    </w:p>
    <w:p>
      <w:pPr>
        <w:pStyle w:val="724"/>
        <w:pBdr/>
        <w:spacing/>
        <w:ind/>
        <w:rPr/>
      </w:pPr>
      <w:r/>
      <w:bookmarkStart w:id="31" w:name="_Toc100031"/>
      <w:r>
        <w:t xml:space="preserve">1.5 Visión general del documento</w:t>
      </w:r>
      <w:bookmarkEnd w:id="31"/>
      <w:r/>
      <w:r/>
    </w:p>
    <w:p>
      <w:pPr>
        <w:pStyle w:val="725"/>
        <w:pBdr/>
        <w:spacing/>
        <w:ind/>
        <w:rPr/>
      </w:pPr>
      <w:r/>
      <w:bookmarkStart w:id="32" w:name="_Toc100032"/>
      <w:r>
        <w:t xml:space="preserve">1.5.1 Organización del documento</w:t>
      </w:r>
      <w:bookmarkEnd w:id="32"/>
      <w:r/>
      <w:r/>
    </w:p>
    <w:p>
      <w:pPr>
        <w:pStyle w:val="732"/>
        <w:keepNext w:val="true"/>
        <w:pBdr/>
        <w:spacing/>
        <w:ind/>
        <w:rPr/>
      </w:pPr>
      <w:r>
        <w:rPr>
          <w:b/>
          <w:bCs/>
          <w:color w:val="241a61"/>
          <w:sz w:val="18"/>
          <w:szCs w:val="18"/>
        </w:rPr>
        <w:t xml:space="preserve">Tabla 20. </w:t>
      </w:r>
      <w:r>
        <w:rPr>
          <w:sz w:val="18"/>
          <w:szCs w:val="18"/>
        </w:rPr>
        <w:t xml:space="preserve">Organización del ERS y estado de cada sección.</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400"/>
        <w:gridCol w:w="5004"/>
        <w:gridCol w:w="2000"/>
      </w:tblGrid>
      <w:tr>
        <w:trPr>
          <w:cantSplit/>
          <w:tblHeader/>
        </w:trPr>
        <w:tc>
          <w:tcPr>
            <w:shd w:val="clear" w:color="auto" w:fill="241a61"/>
            <w:tcBorders/>
            <w:tcW w:w="2400" w:type="dxa"/>
            <w:vAlign w:val="center"/>
          </w:tcPr>
          <w:p>
            <w:pPr>
              <w:pStyle w:val="731"/>
              <w:pBdr/>
              <w:spacing/>
              <w:ind/>
              <w:rPr/>
            </w:pPr>
            <w:r>
              <w:rPr>
                <w:b/>
                <w:bCs/>
                <w:color w:val="ffffff"/>
              </w:rPr>
              <w:t xml:space="preserve">Sección</w:t>
            </w:r>
            <w:r/>
          </w:p>
        </w:tc>
        <w:tc>
          <w:tcPr>
            <w:shd w:val="clear" w:color="auto" w:fill="241a61"/>
            <w:tcBorders/>
            <w:tcW w:w="5004" w:type="dxa"/>
            <w:vAlign w:val="center"/>
          </w:tcPr>
          <w:p>
            <w:pPr>
              <w:pStyle w:val="731"/>
              <w:pBdr/>
              <w:spacing/>
              <w:ind/>
              <w:rPr/>
            </w:pPr>
            <w:r>
              <w:rPr>
                <w:b/>
                <w:bCs/>
                <w:color w:val="ffffff"/>
              </w:rPr>
              <w:t xml:space="preserve">Contenido</w:t>
            </w:r>
            <w:r/>
          </w:p>
        </w:tc>
        <w:tc>
          <w:tcPr>
            <w:shd w:val="clear" w:color="auto" w:fill="241a61"/>
            <w:tcBorders/>
            <w:tcW w:w="2000" w:type="dxa"/>
            <w:vAlign w:val="center"/>
          </w:tcPr>
          <w:p>
            <w:pPr>
              <w:pStyle w:val="731"/>
              <w:pBdr/>
              <w:spacing/>
              <w:ind/>
              <w:rPr/>
            </w:pPr>
            <w:r>
              <w:rPr>
                <w:b/>
                <w:bCs/>
                <w:color w:val="ffffff"/>
              </w:rPr>
              <w:t xml:space="preserve">Estado en esta versión</w:t>
            </w:r>
            <w:r/>
          </w:p>
        </w:tc>
      </w:tr>
      <w:tr>
        <w:trPr>
          <w:cantSplit/>
        </w:trPr>
        <w:tc>
          <w:tcPr>
            <w:tcBorders/>
            <w:tcW w:w="2400" w:type="dxa"/>
          </w:tcPr>
          <w:p>
            <w:pPr>
              <w:pStyle w:val="731"/>
              <w:pBdr/>
              <w:spacing/>
              <w:ind/>
              <w:rPr/>
            </w:pPr>
            <w:r>
              <w:t xml:space="preserve">1. Introducción</w:t>
            </w:r>
            <w:r/>
          </w:p>
        </w:tc>
        <w:tc>
          <w:tcPr>
            <w:tcBorders/>
            <w:tcW w:w="5004" w:type="dxa"/>
          </w:tcPr>
          <w:p>
            <w:pPr>
              <w:pStyle w:val="731"/>
              <w:pBdr/>
              <w:spacing/>
              <w:ind/>
              <w:rPr/>
            </w:pPr>
            <w:r>
              <w:t xml:space="preserve">Propósito, alcance, definiciones, referencias, visión general del documento (incluye el modelado del sistema) y personal involucrado.</w:t>
            </w:r>
            <w:r/>
          </w:p>
        </w:tc>
        <w:tc>
          <w:tcPr>
            <w:tcBorders/>
            <w:tcW w:w="2000" w:type="dxa"/>
          </w:tcPr>
          <w:p>
            <w:pPr>
              <w:pStyle w:val="731"/>
              <w:pBdr/>
              <w:spacing/>
              <w:ind/>
              <w:rPr/>
            </w:pPr>
            <w:r>
              <w:t xml:space="preserve">Elaborada (1.6 la completa el equipo).</w:t>
            </w:r>
            <w:r/>
          </w:p>
        </w:tc>
      </w:tr>
      <w:tr>
        <w:trPr>
          <w:cantSplit/>
        </w:trPr>
        <w:tc>
          <w:tcPr>
            <w:shd w:val="clear" w:color="auto" w:fill="fafafc"/>
            <w:tcBorders/>
            <w:tcW w:w="2400" w:type="dxa"/>
          </w:tcPr>
          <w:p>
            <w:pPr>
              <w:pStyle w:val="731"/>
              <w:pBdr/>
              <w:spacing/>
              <w:ind/>
              <w:rPr/>
            </w:pPr>
            <w:r>
              <w:t xml:space="preserve">2. Descripción general</w:t>
            </w:r>
            <w:r/>
          </w:p>
        </w:tc>
        <w:tc>
          <w:tcPr>
            <w:shd w:val="clear" w:color="auto" w:fill="fafafc"/>
            <w:tcBorders/>
            <w:tcW w:w="5004" w:type="dxa"/>
          </w:tcPr>
          <w:p>
            <w:pPr>
              <w:pStyle w:val="731"/>
              <w:pBdr/>
              <w:spacing/>
              <w:ind/>
              <w:rPr/>
            </w:pPr>
            <w:r>
              <w:t xml:space="preserve">Perspectiva del producto, funciones, características de los usuarios, restricciones, supuestos y dependencias.</w:t>
            </w:r>
            <w:r/>
          </w:p>
        </w:tc>
        <w:tc>
          <w:tcPr>
            <w:shd w:val="clear" w:color="auto" w:fill="fafafc"/>
            <w:tcBorders/>
            <w:tcW w:w="2000" w:type="dxa"/>
          </w:tcPr>
          <w:p>
            <w:pPr>
              <w:pStyle w:val="731"/>
              <w:pBdr/>
              <w:spacing/>
              <w:ind/>
              <w:rPr/>
            </w:pPr>
            <w:r>
              <w:t xml:space="preserve">Pendiente.</w:t>
            </w:r>
            <w:r/>
          </w:p>
        </w:tc>
      </w:tr>
      <w:tr>
        <w:trPr>
          <w:cantSplit/>
        </w:trPr>
        <w:tc>
          <w:tcPr>
            <w:tcBorders/>
            <w:tcW w:w="2400" w:type="dxa"/>
          </w:tcPr>
          <w:p>
            <w:pPr>
              <w:pStyle w:val="731"/>
              <w:pBdr/>
              <w:spacing/>
              <w:ind/>
              <w:rPr/>
            </w:pPr>
            <w:r>
              <w:t xml:space="preserve">3. Requisitos específicos</w:t>
            </w:r>
            <w:r/>
          </w:p>
        </w:tc>
        <w:tc>
          <w:tcPr>
            <w:tcBorders/>
            <w:tcW w:w="5004" w:type="dxa"/>
          </w:tcPr>
          <w:p>
            <w:pPr>
              <w:pStyle w:val="731"/>
              <w:pBdr/>
              <w:spacing/>
              <w:ind/>
              <w:rPr/>
            </w:pPr>
            <w:r>
              <w:t xml:space="preserve">Requisitos funcionales, no funcionales (según ISO/IEC 25010), de interfaces externas, de datos y de cumplimiento legal.</w:t>
            </w:r>
            <w:r/>
          </w:p>
        </w:tc>
        <w:tc>
          <w:tcPr>
            <w:tcBorders/>
            <w:tcW w:w="2000" w:type="dxa"/>
          </w:tcPr>
          <w:p>
            <w:pPr>
              <w:pStyle w:val="731"/>
              <w:pBdr/>
              <w:spacing/>
              <w:ind/>
              <w:rPr/>
            </w:pPr>
            <w:r>
              <w:t xml:space="preserve">Pendiente.</w:t>
            </w:r>
            <w:r/>
          </w:p>
        </w:tc>
      </w:tr>
      <w:tr>
        <w:trPr>
          <w:cantSplit/>
        </w:trPr>
        <w:tc>
          <w:tcPr>
            <w:shd w:val="clear" w:color="auto" w:fill="fafafc"/>
            <w:tcBorders/>
            <w:tcW w:w="2400" w:type="dxa"/>
          </w:tcPr>
          <w:p>
            <w:pPr>
              <w:pStyle w:val="731"/>
              <w:pBdr/>
              <w:spacing/>
              <w:ind/>
              <w:rPr/>
            </w:pPr>
            <w:r>
              <w:t xml:space="preserve">4. Verificación y validación</w:t>
            </w:r>
            <w:r/>
          </w:p>
        </w:tc>
        <w:tc>
          <w:tcPr>
            <w:shd w:val="clear" w:color="auto" w:fill="fafafc"/>
            <w:tcBorders/>
            <w:tcW w:w="5004" w:type="dxa"/>
          </w:tcPr>
          <w:p>
            <w:pPr>
              <w:pStyle w:val="731"/>
              <w:pBdr/>
              <w:spacing/>
              <w:ind/>
              <w:rPr/>
            </w:pPr>
            <w:r>
              <w:t xml:space="preserve">Criterios de aceptación y métodos de verificación: inspección, análisis, prueba y demostración.</w:t>
            </w:r>
            <w:r/>
          </w:p>
        </w:tc>
        <w:tc>
          <w:tcPr>
            <w:shd w:val="clear" w:color="auto" w:fill="fafafc"/>
            <w:tcBorders/>
            <w:tcW w:w="2000" w:type="dxa"/>
          </w:tcPr>
          <w:p>
            <w:pPr>
              <w:pStyle w:val="731"/>
              <w:pBdr/>
              <w:spacing/>
              <w:ind/>
              <w:rPr/>
            </w:pPr>
            <w:r>
              <w:t xml:space="preserve">Pendiente.</w:t>
            </w:r>
            <w:r/>
          </w:p>
        </w:tc>
      </w:tr>
      <w:tr>
        <w:trPr>
          <w:cantSplit/>
        </w:trPr>
        <w:tc>
          <w:tcPr>
            <w:tcBorders/>
            <w:tcW w:w="2400" w:type="dxa"/>
          </w:tcPr>
          <w:p>
            <w:pPr>
              <w:pStyle w:val="731"/>
              <w:pBdr/>
              <w:spacing/>
              <w:ind/>
              <w:rPr/>
            </w:pPr>
            <w:r>
              <w:t xml:space="preserve">5. Matriz de trazabilidad</w:t>
            </w:r>
            <w:r/>
          </w:p>
        </w:tc>
        <w:tc>
          <w:tcPr>
            <w:tcBorders/>
            <w:tcW w:w="5004" w:type="dxa"/>
          </w:tcPr>
          <w:p>
            <w:pPr>
              <w:pStyle w:val="731"/>
              <w:pBdr/>
              <w:spacing/>
              <w:ind/>
              <w:rPr/>
            </w:pPr>
            <w:r>
              <w:t xml:space="preserve">Relación entre fuentes, requisitos y verificación.</w:t>
            </w:r>
            <w:r/>
          </w:p>
        </w:tc>
        <w:tc>
          <w:tcPr>
            <w:tcBorders/>
            <w:tcW w:w="2000" w:type="dxa"/>
          </w:tcPr>
          <w:p>
            <w:pPr>
              <w:pStyle w:val="731"/>
              <w:pBdr/>
              <w:spacing/>
              <w:ind/>
              <w:rPr/>
            </w:pPr>
            <w:r>
              <w:t xml:space="preserve">Pendiente.</w:t>
            </w:r>
            <w:r/>
          </w:p>
        </w:tc>
      </w:tr>
      <w:tr>
        <w:trPr>
          <w:cantSplit/>
        </w:trPr>
        <w:tc>
          <w:tcPr>
            <w:shd w:val="clear" w:color="auto" w:fill="fafafc"/>
            <w:tcBorders/>
            <w:tcW w:w="2400" w:type="dxa"/>
          </w:tcPr>
          <w:p>
            <w:pPr>
              <w:pStyle w:val="731"/>
              <w:pBdr/>
              <w:spacing/>
              <w:ind/>
              <w:rPr/>
            </w:pPr>
            <w:r>
              <w:t xml:space="preserve">6. Apéndices</w:t>
            </w:r>
            <w:r/>
          </w:p>
        </w:tc>
        <w:tc>
          <w:tcPr>
            <w:shd w:val="clear" w:color="auto" w:fill="fafafc"/>
            <w:tcBorders/>
            <w:tcW w:w="5004" w:type="dxa"/>
          </w:tcPr>
          <w:p>
            <w:pPr>
              <w:pStyle w:val="731"/>
              <w:pBdr/>
              <w:spacing/>
              <w:ind/>
              <w:rPr/>
            </w:pPr>
            <w:r>
              <w:t xml:space="preserve">Glosario, historial de cambios y pendientes </w:t>
            </w:r>
            <w:r>
              <w:rPr>
                <w:b/>
                <w:bCs/>
                <w:color w:val="9c4a00"/>
                <w:shd w:val="clear" w:color="auto" w:fill="fff2cc"/>
              </w:rPr>
              <w:t xml:space="preserve">[POR DEFINIR]</w:t>
            </w:r>
            <w:r>
              <w:t xml:space="preserve">.</w:t>
            </w:r>
            <w:r/>
          </w:p>
        </w:tc>
        <w:tc>
          <w:tcPr>
            <w:shd w:val="clear" w:color="auto" w:fill="fafafc"/>
            <w:tcBorders/>
            <w:tcW w:w="2000" w:type="dxa"/>
          </w:tcPr>
          <w:p>
            <w:pPr>
              <w:pStyle w:val="731"/>
              <w:pBdr/>
              <w:spacing/>
              <w:ind/>
              <w:rPr/>
            </w:pPr>
            <w:r>
              <w:t xml:space="preserve">Pendiente.</w:t>
            </w:r>
            <w:r/>
          </w:p>
        </w:tc>
      </w:tr>
    </w:tbl>
    <w:p>
      <w:pPr>
        <w:pBdr/>
        <w:spacing w:after="60" w:before="0"/>
        <w:ind/>
        <w:rPr/>
      </w:pPr>
      <w:r/>
      <w:r/>
    </w:p>
    <w:p>
      <w:pPr>
        <w:keepNext w:val="true"/>
        <w:pBdr/>
        <w:spacing/>
        <w:ind/>
        <w:rPr/>
      </w:pPr>
      <w:r>
        <w:t xml:space="preserve">La tabla siguiente relaciona las secciones de la plantilla de referencia [REF-08] con las de este ERS.</w:t>
      </w:r>
      <w:r/>
    </w:p>
    <w:p>
      <w:pPr>
        <w:pStyle w:val="732"/>
        <w:keepNext w:val="true"/>
        <w:pBdr/>
        <w:spacing/>
        <w:ind/>
        <w:rPr/>
      </w:pPr>
      <w:r>
        <w:rPr>
          <w:b/>
          <w:bCs/>
          <w:color w:val="241a61"/>
          <w:sz w:val="18"/>
          <w:szCs w:val="18"/>
        </w:rPr>
        <w:t xml:space="preserve">Tabla 21. </w:t>
      </w:r>
      <w:r>
        <w:rPr>
          <w:sz w:val="18"/>
          <w:szCs w:val="18"/>
        </w:rPr>
        <w:t xml:space="preserve">Correspondencia con la plantilla de referencia.</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4702"/>
        <w:gridCol w:w="4702"/>
      </w:tblGrid>
      <w:tr>
        <w:trPr>
          <w:cantSplit/>
          <w:tblHeader/>
        </w:trPr>
        <w:tc>
          <w:tcPr>
            <w:shd w:val="clear" w:color="auto" w:fill="241a61"/>
            <w:tcBorders/>
            <w:tcW w:w="4702" w:type="dxa"/>
            <w:vAlign w:val="center"/>
          </w:tcPr>
          <w:p>
            <w:pPr>
              <w:pStyle w:val="731"/>
              <w:pBdr/>
              <w:spacing/>
              <w:ind/>
              <w:rPr/>
            </w:pPr>
            <w:r>
              <w:rPr>
                <w:b/>
                <w:bCs/>
                <w:color w:val="ffffff"/>
              </w:rPr>
              <w:t xml:space="preserve">Plantilla de referencia [REF-08]</w:t>
            </w:r>
            <w:r/>
          </w:p>
        </w:tc>
        <w:tc>
          <w:tcPr>
            <w:shd w:val="clear" w:color="auto" w:fill="241a61"/>
            <w:tcBorders/>
            <w:tcW w:w="4702" w:type="dxa"/>
            <w:vAlign w:val="center"/>
          </w:tcPr>
          <w:p>
            <w:pPr>
              <w:pStyle w:val="731"/>
              <w:pBdr/>
              <w:spacing/>
              <w:ind/>
              <w:rPr/>
            </w:pPr>
            <w:r>
              <w:rPr>
                <w:b/>
                <w:bCs/>
                <w:color w:val="ffffff"/>
              </w:rPr>
              <w:t xml:space="preserve">Este ERS</w:t>
            </w:r>
            <w:r/>
          </w:p>
        </w:tc>
      </w:tr>
      <w:tr>
        <w:trPr>
          <w:cantSplit/>
        </w:trPr>
        <w:tc>
          <w:tcPr>
            <w:tcBorders/>
            <w:tcW w:w="4702" w:type="dxa"/>
          </w:tcPr>
          <w:p>
            <w:pPr>
              <w:pStyle w:val="731"/>
              <w:pBdr/>
              <w:spacing/>
              <w:ind/>
              <w:rPr/>
            </w:pPr>
            <w:r>
              <w:t xml:space="preserve">1 Introducción</w:t>
            </w:r>
            <w:r/>
          </w:p>
        </w:tc>
        <w:tc>
          <w:tcPr>
            <w:tcBorders/>
            <w:tcW w:w="4702" w:type="dxa"/>
          </w:tcPr>
          <w:p>
            <w:pPr>
              <w:pStyle w:val="731"/>
              <w:pBdr/>
              <w:spacing/>
              <w:ind/>
              <w:rPr/>
            </w:pPr>
            <w:r>
              <w:t xml:space="preserve">1 Introducción (1.1 a 1.6)</w:t>
            </w:r>
            <w:r/>
          </w:p>
        </w:tc>
      </w:tr>
      <w:tr>
        <w:trPr>
          <w:cantSplit/>
        </w:trPr>
        <w:tc>
          <w:tcPr>
            <w:shd w:val="clear" w:color="auto" w:fill="fafafc"/>
            <w:tcBorders/>
            <w:tcW w:w="4702" w:type="dxa"/>
          </w:tcPr>
          <w:p>
            <w:pPr>
              <w:pStyle w:val="731"/>
              <w:pBdr/>
              <w:spacing/>
              <w:ind/>
              <w:rPr/>
            </w:pPr>
            <w:r>
              <w:t xml:space="preserve">1.1 Alcance</w:t>
            </w:r>
            <w:r/>
          </w:p>
        </w:tc>
        <w:tc>
          <w:tcPr>
            <w:shd w:val="clear" w:color="auto" w:fill="fafafc"/>
            <w:tcBorders/>
            <w:tcW w:w="4702" w:type="dxa"/>
          </w:tcPr>
          <w:p>
            <w:pPr>
              <w:pStyle w:val="731"/>
              <w:pBdr/>
              <w:spacing/>
              <w:ind/>
              <w:rPr/>
            </w:pPr>
            <w:r>
              <w:t xml:space="preserve">1.2 Alcance</w:t>
            </w:r>
            <w:r/>
          </w:p>
        </w:tc>
      </w:tr>
      <w:tr>
        <w:trPr>
          <w:cantSplit/>
        </w:trPr>
        <w:tc>
          <w:tcPr>
            <w:tcBorders/>
            <w:tcW w:w="4702" w:type="dxa"/>
          </w:tcPr>
          <w:p>
            <w:pPr>
              <w:pStyle w:val="731"/>
              <w:pBdr/>
              <w:spacing/>
              <w:ind/>
              <w:rPr/>
            </w:pPr>
            <w:r>
              <w:t xml:space="preserve">1.2 Personal involucrado</w:t>
            </w:r>
            <w:r/>
          </w:p>
        </w:tc>
        <w:tc>
          <w:tcPr>
            <w:tcBorders/>
            <w:tcW w:w="4702" w:type="dxa"/>
          </w:tcPr>
          <w:p>
            <w:pPr>
              <w:pStyle w:val="731"/>
              <w:pBdr/>
              <w:spacing/>
              <w:ind/>
              <w:rPr/>
            </w:pPr>
            <w:r>
              <w:t xml:space="preserve">1.6 Personal involucrado</w:t>
            </w:r>
            <w:r/>
          </w:p>
        </w:tc>
      </w:tr>
      <w:tr>
        <w:trPr>
          <w:cantSplit/>
        </w:trPr>
        <w:tc>
          <w:tcPr>
            <w:shd w:val="clear" w:color="auto" w:fill="fafafc"/>
            <w:tcBorders/>
            <w:tcW w:w="4702" w:type="dxa"/>
          </w:tcPr>
          <w:p>
            <w:pPr>
              <w:pStyle w:val="731"/>
              <w:pBdr/>
              <w:spacing/>
              <w:ind/>
              <w:rPr/>
            </w:pPr>
            <w:r>
              <w:t xml:space="preserve">2.1 Perspectiva del producto</w:t>
            </w:r>
            <w:r/>
          </w:p>
        </w:tc>
        <w:tc>
          <w:tcPr>
            <w:shd w:val="clear" w:color="auto" w:fill="fafafc"/>
            <w:tcBorders/>
            <w:tcW w:w="4702" w:type="dxa"/>
          </w:tcPr>
          <w:p>
            <w:pPr>
              <w:pStyle w:val="731"/>
              <w:pBdr/>
              <w:spacing/>
              <w:ind/>
              <w:rPr/>
            </w:pPr>
            <w:r>
              <w:t xml:space="preserve">2.1 Perspectiva del producto</w:t>
            </w:r>
            <w:r/>
          </w:p>
        </w:tc>
      </w:tr>
      <w:tr>
        <w:trPr>
          <w:cantSplit/>
        </w:trPr>
        <w:tc>
          <w:tcPr>
            <w:tcBorders/>
            <w:tcW w:w="4702" w:type="dxa"/>
          </w:tcPr>
          <w:p>
            <w:pPr>
              <w:pStyle w:val="731"/>
              <w:pBdr/>
              <w:spacing/>
              <w:ind/>
              <w:rPr/>
            </w:pPr>
            <w:r>
              <w:t xml:space="preserve">2.2 Funcionalidad del producto</w:t>
            </w:r>
            <w:r/>
          </w:p>
        </w:tc>
        <w:tc>
          <w:tcPr>
            <w:tcBorders/>
            <w:tcW w:w="4702" w:type="dxa"/>
          </w:tcPr>
          <w:p>
            <w:pPr>
              <w:pStyle w:val="731"/>
              <w:pBdr/>
              <w:spacing/>
              <w:ind/>
              <w:rPr/>
            </w:pPr>
            <w:r>
              <w:t xml:space="preserve">2.2 Funciones del producto</w:t>
            </w:r>
            <w:r/>
          </w:p>
        </w:tc>
      </w:tr>
      <w:tr>
        <w:trPr>
          <w:cantSplit/>
        </w:trPr>
        <w:tc>
          <w:tcPr>
            <w:shd w:val="clear" w:color="auto" w:fill="fafafc"/>
            <w:tcBorders/>
            <w:tcW w:w="4702" w:type="dxa"/>
          </w:tcPr>
          <w:p>
            <w:pPr>
              <w:pStyle w:val="731"/>
              <w:pBdr/>
              <w:spacing/>
              <w:ind/>
              <w:rPr/>
            </w:pPr>
            <w:r>
              <w:t xml:space="preserve">2.3 Características de los usuarios</w:t>
            </w:r>
            <w:r/>
          </w:p>
        </w:tc>
        <w:tc>
          <w:tcPr>
            <w:shd w:val="clear" w:color="auto" w:fill="fafafc"/>
            <w:tcBorders/>
            <w:tcW w:w="4702" w:type="dxa"/>
          </w:tcPr>
          <w:p>
            <w:pPr>
              <w:pStyle w:val="731"/>
              <w:pBdr/>
              <w:spacing/>
              <w:ind/>
              <w:rPr/>
            </w:pPr>
            <w:r>
              <w:t xml:space="preserve">2.3 Características de los usuarios</w:t>
            </w:r>
            <w:r/>
          </w:p>
        </w:tc>
      </w:tr>
      <w:tr>
        <w:trPr>
          <w:cantSplit/>
        </w:trPr>
        <w:tc>
          <w:tcPr>
            <w:tcBorders/>
            <w:tcW w:w="4702" w:type="dxa"/>
          </w:tcPr>
          <w:p>
            <w:pPr>
              <w:pStyle w:val="731"/>
              <w:pBdr/>
              <w:spacing/>
              <w:ind/>
              <w:rPr/>
            </w:pPr>
            <w:r>
              <w:t xml:space="preserve">2.4 Restricciones</w:t>
            </w:r>
            <w:r/>
          </w:p>
        </w:tc>
        <w:tc>
          <w:tcPr>
            <w:tcBorders/>
            <w:tcW w:w="4702" w:type="dxa"/>
          </w:tcPr>
          <w:p>
            <w:pPr>
              <w:pStyle w:val="731"/>
              <w:pBdr/>
              <w:spacing/>
              <w:ind/>
              <w:rPr/>
            </w:pPr>
            <w:r>
              <w:t xml:space="preserve">2.4 Restricciones y 2.5 Supuestos y dependencias</w:t>
            </w:r>
            <w:r/>
          </w:p>
        </w:tc>
      </w:tr>
      <w:tr>
        <w:trPr>
          <w:cantSplit/>
        </w:trPr>
        <w:tc>
          <w:tcPr>
            <w:shd w:val="clear" w:color="auto" w:fill="fafafc"/>
            <w:tcBorders/>
            <w:tcW w:w="4702" w:type="dxa"/>
          </w:tcPr>
          <w:p>
            <w:pPr>
              <w:pStyle w:val="731"/>
              <w:pBdr/>
              <w:spacing/>
              <w:ind/>
              <w:rPr/>
            </w:pPr>
            <w:r>
              <w:t xml:space="preserve">3.1 Requisitos comunes de los interfaces</w:t>
            </w:r>
            <w:r/>
          </w:p>
        </w:tc>
        <w:tc>
          <w:tcPr>
            <w:shd w:val="clear" w:color="auto" w:fill="fafafc"/>
            <w:tcBorders/>
            <w:tcW w:w="4702" w:type="dxa"/>
          </w:tcPr>
          <w:p>
            <w:pPr>
              <w:pStyle w:val="731"/>
              <w:pBdr/>
              <w:spacing/>
              <w:ind/>
              <w:rPr/>
            </w:pPr>
            <w:r>
              <w:t xml:space="preserve">3.3 Requisitos de interfaces externas</w:t>
            </w:r>
            <w:r/>
          </w:p>
        </w:tc>
      </w:tr>
      <w:tr>
        <w:trPr>
          <w:cantSplit/>
        </w:trPr>
        <w:tc>
          <w:tcPr>
            <w:tcBorders/>
            <w:tcW w:w="4702" w:type="dxa"/>
          </w:tcPr>
          <w:p>
            <w:pPr>
              <w:pStyle w:val="731"/>
              <w:pBdr/>
              <w:spacing/>
              <w:ind/>
              <w:rPr/>
            </w:pPr>
            <w:r>
              <w:t xml:space="preserve">3.2 Requisitos funcionales</w:t>
            </w:r>
            <w:r/>
          </w:p>
        </w:tc>
        <w:tc>
          <w:tcPr>
            <w:tcBorders/>
            <w:tcW w:w="4702" w:type="dxa"/>
          </w:tcPr>
          <w:p>
            <w:pPr>
              <w:pStyle w:val="731"/>
              <w:pBdr/>
              <w:spacing/>
              <w:ind/>
              <w:rPr/>
            </w:pPr>
            <w:r>
              <w:t xml:space="preserve">3.1 Requisitos funcionales</w:t>
            </w:r>
            <w:r/>
          </w:p>
        </w:tc>
      </w:tr>
      <w:tr>
        <w:trPr>
          <w:cantSplit/>
        </w:trPr>
        <w:tc>
          <w:tcPr>
            <w:shd w:val="clear" w:color="auto" w:fill="fafafc"/>
            <w:tcBorders/>
            <w:tcW w:w="4702" w:type="dxa"/>
          </w:tcPr>
          <w:p>
            <w:pPr>
              <w:pStyle w:val="731"/>
              <w:pBdr/>
              <w:spacing/>
              <w:ind/>
              <w:rPr/>
            </w:pPr>
            <w:r>
              <w:t xml:space="preserve">3.3 Requisitos no funcionales</w:t>
            </w:r>
            <w:r/>
          </w:p>
        </w:tc>
        <w:tc>
          <w:tcPr>
            <w:shd w:val="clear" w:color="auto" w:fill="fafafc"/>
            <w:tcBorders/>
            <w:tcW w:w="4702" w:type="dxa"/>
          </w:tcPr>
          <w:p>
            <w:pPr>
              <w:pStyle w:val="731"/>
              <w:pBdr/>
              <w:spacing/>
              <w:ind/>
              <w:rPr/>
            </w:pPr>
            <w:r>
              <w:t xml:space="preserve">3.2 Requisitos no funcionales (ISO/IEC 25010)</w:t>
            </w:r>
            <w:r/>
          </w:p>
        </w:tc>
      </w:tr>
      <w:tr>
        <w:trPr>
          <w:cantSplit/>
        </w:trPr>
        <w:tc>
          <w:tcPr>
            <w:tcBorders/>
            <w:tcW w:w="4702" w:type="dxa"/>
          </w:tcPr>
          <w:p>
            <w:pPr>
              <w:pStyle w:val="731"/>
              <w:pBdr/>
              <w:spacing/>
              <w:ind/>
              <w:rPr/>
            </w:pPr>
            <w:r>
              <w:t xml:space="preserve">3.4 Otros requisitos</w:t>
            </w:r>
            <w:r/>
          </w:p>
        </w:tc>
        <w:tc>
          <w:tcPr>
            <w:tcBorders/>
            <w:tcW w:w="4702" w:type="dxa"/>
          </w:tcPr>
          <w:p>
            <w:pPr>
              <w:pStyle w:val="731"/>
              <w:pBdr/>
              <w:spacing/>
              <w:ind/>
              <w:rPr/>
            </w:pPr>
            <w:r>
              <w:t xml:space="preserve">3.4 Requisitos de datos y 3.5 Requisitos de cumplimiento y legales</w:t>
            </w:r>
            <w:r/>
          </w:p>
        </w:tc>
      </w:tr>
      <w:tr>
        <w:trPr>
          <w:cantSplit/>
        </w:trPr>
        <w:tc>
          <w:tcPr>
            <w:shd w:val="clear" w:color="auto" w:fill="fafafc"/>
            <w:tcBorders/>
            <w:tcW w:w="4702" w:type="dxa"/>
          </w:tcPr>
          <w:p>
            <w:pPr>
              <w:pStyle w:val="731"/>
              <w:pBdr/>
              <w:spacing/>
              <w:ind/>
              <w:rPr/>
            </w:pPr>
            <w:r>
              <w:t xml:space="preserve">4 Modelado del sistema</w:t>
            </w:r>
            <w:r/>
          </w:p>
        </w:tc>
        <w:tc>
          <w:tcPr>
            <w:shd w:val="clear" w:color="auto" w:fill="fafafc"/>
            <w:tcBorders/>
            <w:tcW w:w="4702" w:type="dxa"/>
          </w:tcPr>
          <w:p>
            <w:pPr>
              <w:pStyle w:val="731"/>
              <w:pBdr/>
              <w:spacing/>
              <w:ind/>
              <w:rPr/>
            </w:pPr>
            <w:r>
              <w:t xml:space="preserve">1.5.3 Modelado del sistema</w:t>
            </w:r>
            <w:r/>
          </w:p>
        </w:tc>
      </w:tr>
    </w:tbl>
    <w:p>
      <w:pPr>
        <w:pBdr/>
        <w:spacing w:after="60" w:before="0"/>
        <w:ind/>
        <w:rPr/>
      </w:pPr>
      <w:r/>
      <w:r/>
    </w:p>
    <w:p>
      <w:pPr>
        <w:pStyle w:val="725"/>
        <w:pBdr/>
        <w:spacing/>
        <w:ind/>
        <w:rPr/>
      </w:pPr>
      <w:r/>
      <w:bookmarkStart w:id="33" w:name="_Toc100033"/>
      <w:r>
        <w:t xml:space="preserve">1.5.2 Convenciones</w:t>
      </w:r>
      <w:bookmarkEnd w:id="33"/>
      <w:r/>
      <w:r/>
    </w:p>
    <w:p>
      <w:pPr>
        <w:pStyle w:val="730"/>
        <w:numPr>
          <w:ilvl w:val="0"/>
          <w:numId w:val="1"/>
        </w:numPr>
        <w:pBdr/>
        <w:spacing/>
        <w:ind/>
        <w:rPr/>
      </w:pPr>
      <w:r>
        <w:rPr>
          <w:b/>
          <w:bCs/>
        </w:rPr>
        <w:t xml:space="preserve">Fuentes.</w:t>
      </w:r>
      <w:r>
        <w:t xml:space="preserve"> Se citan con su identificador [REF-xx] (1.4). Las respuestas del levantamiento se citan con el número de pregunta, por ejemplo «REF-07, P13».</w:t>
      </w:r>
      <w:r/>
    </w:p>
    <w:p>
      <w:pPr>
        <w:pStyle w:val="730"/>
        <w:numPr>
          <w:ilvl w:val="0"/>
          <w:numId w:val="1"/>
        </w:numPr>
        <w:pBdr/>
        <w:spacing/>
        <w:ind/>
        <w:rPr/>
      </w:pPr>
      <w:r>
        <w:rPr>
          <w:b/>
          <w:bCs/>
        </w:rPr>
        <w:t xml:space="preserve">Tipo de información.</w:t>
      </w:r>
      <w:r>
        <w:t xml:space="preserve"> </w:t>
      </w:r>
      <w:r>
        <w:rPr>
          <w:b/>
          <w:bCs/>
        </w:rPr>
        <w:t xml:space="preserve">Hecho:</w:t>
      </w:r>
      <w:r>
        <w:t xml:space="preserve"> dato observado o informado por la Liga. </w:t>
      </w:r>
      <w:r>
        <w:rPr>
          <w:b/>
          <w:bCs/>
        </w:rPr>
        <w:t xml:space="preserve">Norma:</w:t>
      </w:r>
      <w:r>
        <w:t xml:space="preserve"> disposición de un documento normativo (convocatoria, reglamento, estatutos, ley o norma técnica). </w:t>
      </w:r>
      <w:r>
        <w:rPr>
          <w:b/>
          <w:bCs/>
        </w:rPr>
        <w:t xml:space="preserve">Propuesta:</w:t>
      </w:r>
      <w:r>
        <w:t xml:space="preserve"> recomendación del análisis o del documento base, que requiere validación de la Liga.</w:t>
      </w:r>
      <w:r/>
    </w:p>
    <w:p>
      <w:pPr>
        <w:pStyle w:val="730"/>
        <w:numPr>
          <w:ilvl w:val="0"/>
          <w:numId w:val="1"/>
        </w:numPr>
        <w:pBdr/>
        <w:spacing/>
        <w:ind/>
        <w:rPr/>
      </w:pPr>
      <w:r>
        <w:rPr>
          <w:b/>
          <w:bCs/>
          <w:color w:val="9c4a00"/>
          <w:shd w:val="clear" w:color="auto" w:fill="fff2cc"/>
        </w:rPr>
        <w:t xml:space="preserve">[POR DEFINIR]</w:t>
      </w:r>
      <w:r>
        <w:t xml:space="preserve"> marca un dato faltante; siempre se acompaña de su impacto.</w:t>
      </w:r>
      <w:r/>
    </w:p>
    <w:p>
      <w:pPr>
        <w:pStyle w:val="730"/>
        <w:numPr>
          <w:ilvl w:val="0"/>
          <w:numId w:val="1"/>
        </w:numPr>
        <w:pBdr/>
        <w:spacing/>
        <w:ind/>
        <w:rPr/>
      </w:pPr>
      <w:r>
        <w:rPr>
          <w:b/>
          <w:bCs/>
        </w:rPr>
        <w:t xml:space="preserve">Identificadores.</w:t>
      </w:r>
      <w:r>
        <w:t xml:space="preserve"> PR-xx: problemas; OBJ-xx: objetivos; AF-xx: áreas funcionales; C-xx: condicionantes. En las secciones posteriores, los requisitos usarán RF-001 y RNF-001.</w:t>
      </w:r>
      <w:r/>
    </w:p>
    <w:p>
      <w:pPr>
        <w:pStyle w:val="730"/>
        <w:numPr>
          <w:ilvl w:val="0"/>
          <w:numId w:val="1"/>
        </w:numPr>
        <w:pBdr/>
        <w:spacing/>
        <w:ind/>
        <w:rPr/>
      </w:pPr>
      <w:r>
        <w:rPr>
          <w:b/>
          <w:bCs/>
        </w:rPr>
        <w:t xml:space="preserve">Prioridad.</w:t>
      </w:r>
      <w:r>
        <w:t xml:space="preserve"> Técnica MoSCoW (1.2.5).</w:t>
      </w:r>
      <w:r/>
    </w:p>
    <w:p>
      <w:pPr>
        <w:pStyle w:val="730"/>
        <w:numPr>
          <w:ilvl w:val="0"/>
          <w:numId w:val="1"/>
        </w:numPr>
        <w:pBdr/>
        <w:spacing/>
        <w:ind/>
        <w:rPr/>
      </w:pPr>
      <w:r>
        <w:rPr>
          <w:b/>
          <w:bCs/>
        </w:rPr>
        <w:t xml:space="preserve">Formatos.</w:t>
      </w:r>
      <w:r>
        <w:t xml:space="preserve"> Montos en pesos mexicanos; fechas en formato dd/mm/aaaa; horas en formato de 24 horas.</w:t>
      </w:r>
      <w:r/>
    </w:p>
    <w:p>
      <w:pPr>
        <w:pStyle w:val="725"/>
        <w:pBdr/>
        <w:spacing/>
        <w:ind/>
        <w:rPr/>
      </w:pPr>
      <w:r/>
      <w:bookmarkStart w:id="34" w:name="_Toc100034"/>
      <w:r>
        <w:t xml:space="preserve">1.5.3 Modelado del sistema</w:t>
      </w:r>
      <w:bookmarkEnd w:id="34"/>
      <w:r/>
      <w:r/>
    </w:p>
    <w:p>
      <w:pPr>
        <w:pBdr/>
        <w:spacing/>
        <w:ind/>
        <w:rPr/>
      </w:pPr>
      <w:r>
        <w:t xml:space="preserve">Los modelos de esta sección son de análisis, no de diseño: describen el entorno del Sistema, el proceso actual y los conceptos del dominio. Son preliminares y deben validarse con la Liga.</w:t>
      </w:r>
      <w:r/>
    </w:p>
    <w:p>
      <w:pPr>
        <w:pStyle w:val="726"/>
        <w:pBdr/>
        <w:spacing/>
        <w:ind/>
        <w:rPr/>
      </w:pPr>
      <w:r/>
      <w:bookmarkStart w:id="35" w:name="_Toc100035"/>
      <w:r>
        <w:t xml:space="preserve">1.5.3.1 Diagrama de contexto</w:t>
      </w:r>
      <w:bookmarkEnd w:id="35"/>
      <w:r/>
      <w:r/>
    </w:p>
    <w:p>
      <w:pPr>
        <w:pBdr/>
        <w:spacing/>
        <w:ind/>
        <w:rPr/>
      </w:pPr>
      <w:r>
        <w:t xml:space="preserve">La Figura 1 muestra el Sistema y las personas, organizaciones y servicios con los que interactúa. Las líneas punteadas indican interacciones aún no definidas o entidades sin integración en esta versión. La Tabla 22 describe cada actor y entidad.</w:t>
      </w:r>
      <w:r/>
    </w:p>
    <w:p>
      <w:pPr>
        <w:pStyle w:val="732"/>
        <w:keepNext w:val="true"/>
        <w:pBdr/>
        <w:spacing/>
        <w:ind/>
        <w:rPr/>
      </w:pPr>
      <w:r>
        <w:rPr>
          <w:b/>
          <w:bCs/>
          <w:color w:val="241a61"/>
          <w:sz w:val="18"/>
          <w:szCs w:val="18"/>
        </w:rPr>
        <w:t xml:space="preserve">Tabla 22. </w:t>
      </w:r>
      <w:r>
        <w:rPr>
          <w:sz w:val="18"/>
          <w:szCs w:val="18"/>
        </w:rPr>
        <w:t xml:space="preserve">Actores y entidades externas del diagrama de contexto.</w:t>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2300"/>
        <w:gridCol w:w="3904"/>
        <w:gridCol w:w="1400"/>
        <w:gridCol w:w="1800"/>
      </w:tblGrid>
      <w:tr>
        <w:trPr>
          <w:cantSplit/>
          <w:tblHeader/>
        </w:trPr>
        <w:tc>
          <w:tcPr>
            <w:shd w:val="clear" w:color="auto" w:fill="241a61"/>
            <w:tcBorders/>
            <w:tcW w:w="2300" w:type="dxa"/>
            <w:vAlign w:val="center"/>
          </w:tcPr>
          <w:p>
            <w:pPr>
              <w:pStyle w:val="731"/>
              <w:pBdr/>
              <w:spacing/>
              <w:ind/>
              <w:rPr/>
            </w:pPr>
            <w:r>
              <w:rPr>
                <w:b/>
                <w:bCs/>
                <w:color w:val="ffffff"/>
              </w:rPr>
              <w:t xml:space="preserve">Actor o entidad</w:t>
            </w:r>
            <w:r/>
          </w:p>
        </w:tc>
        <w:tc>
          <w:tcPr>
            <w:shd w:val="clear" w:color="auto" w:fill="241a61"/>
            <w:tcBorders/>
            <w:tcW w:w="3904" w:type="dxa"/>
            <w:vAlign w:val="center"/>
          </w:tcPr>
          <w:p>
            <w:pPr>
              <w:pStyle w:val="731"/>
              <w:pBdr/>
              <w:spacing/>
              <w:ind/>
              <w:rPr/>
            </w:pPr>
            <w:r>
              <w:rPr>
                <w:b/>
                <w:bCs/>
                <w:color w:val="ffffff"/>
              </w:rPr>
              <w:t xml:space="preserve">Relación con el Sistema</w:t>
            </w:r>
            <w:r/>
          </w:p>
        </w:tc>
        <w:tc>
          <w:tcPr>
            <w:shd w:val="clear" w:color="auto" w:fill="241a61"/>
            <w:tcBorders/>
            <w:tcW w:w="1400" w:type="dxa"/>
            <w:vAlign w:val="center"/>
          </w:tcPr>
          <w:p>
            <w:pPr>
              <w:pStyle w:val="731"/>
              <w:pBdr/>
              <w:spacing/>
              <w:ind/>
              <w:rPr/>
            </w:pPr>
            <w:r>
              <w:rPr>
                <w:b/>
                <w:bCs/>
                <w:color w:val="ffffff"/>
              </w:rPr>
              <w:t xml:space="preserve">Cuenta</w:t>
            </w:r>
            <w:r/>
          </w:p>
        </w:tc>
        <w:tc>
          <w:tcPr>
            <w:shd w:val="clear" w:color="auto" w:fill="241a61"/>
            <w:tcBorders/>
            <w:tcW w:w="1800" w:type="dxa"/>
            <w:vAlign w:val="center"/>
          </w:tcPr>
          <w:p>
            <w:pPr>
              <w:pStyle w:val="731"/>
              <w:pBdr/>
              <w:spacing/>
              <w:ind/>
              <w:rPr/>
            </w:pPr>
            <w:r>
              <w:rPr>
                <w:b/>
                <w:bCs/>
                <w:color w:val="ffffff"/>
              </w:rPr>
              <w:t xml:space="preserve">Fuente</w:t>
            </w:r>
            <w:r/>
          </w:p>
        </w:tc>
      </w:tr>
      <w:tr>
        <w:trPr>
          <w:cantSplit/>
        </w:trPr>
        <w:tc>
          <w:tcPr>
            <w:tcBorders/>
            <w:tcW w:w="2300" w:type="dxa"/>
          </w:tcPr>
          <w:p>
            <w:pPr>
              <w:pStyle w:val="731"/>
              <w:pBdr/>
              <w:spacing/>
              <w:ind/>
              <w:rPr/>
            </w:pPr>
            <w:r>
              <w:t xml:space="preserve">Directivos (Consejo Directivo y Comité Ejecutivo)</w:t>
            </w:r>
            <w:r/>
          </w:p>
        </w:tc>
        <w:tc>
          <w:tcPr>
            <w:tcBorders/>
            <w:tcW w:w="3904" w:type="dxa"/>
          </w:tcPr>
          <w:p>
            <w:pPr>
              <w:pStyle w:val="731"/>
              <w:pBdr/>
              <w:spacing/>
              <w:ind/>
              <w:rPr/>
            </w:pPr>
            <w:r>
              <w:t xml:space="preserve">Configuran la temporada y sus reglas; consultan reportes; autorizan publicaciones.</w:t>
            </w:r>
            <w:r/>
          </w:p>
        </w:tc>
        <w:tc>
          <w:tcPr>
            <w:tcBorders/>
            <w:tcW w:w="1400" w:type="dxa"/>
          </w:tcPr>
          <w:p>
            <w:pPr>
              <w:pStyle w:val="731"/>
              <w:pBdr/>
              <w:spacing/>
              <w:ind/>
              <w:rPr/>
            </w:pPr>
            <w:r>
              <w:t xml:space="preserve">Sí</w:t>
            </w:r>
            <w:r/>
          </w:p>
        </w:tc>
        <w:tc>
          <w:tcPr>
            <w:tcBorders/>
            <w:tcW w:w="1800" w:type="dxa"/>
          </w:tcPr>
          <w:p>
            <w:pPr>
              <w:pStyle w:val="731"/>
              <w:pBdr/>
              <w:spacing/>
              <w:ind/>
              <w:rPr/>
            </w:pPr>
            <w:r>
              <w:t xml:space="preserve">REF-01; REF-07, P20</w:t>
            </w:r>
            <w:r/>
          </w:p>
        </w:tc>
      </w:tr>
      <w:tr>
        <w:trPr>
          <w:cantSplit/>
        </w:trPr>
        <w:tc>
          <w:tcPr>
            <w:shd w:val="clear" w:color="auto" w:fill="fafafc"/>
            <w:tcBorders/>
            <w:tcW w:w="2300" w:type="dxa"/>
          </w:tcPr>
          <w:p>
            <w:pPr>
              <w:pStyle w:val="731"/>
              <w:pBdr/>
              <w:spacing/>
              <w:ind/>
              <w:rPr/>
            </w:pPr>
            <w:r>
              <w:t xml:space="preserve">Secretaría y personal administrativo</w:t>
            </w:r>
            <w:r/>
          </w:p>
        </w:tc>
        <w:tc>
          <w:tcPr>
            <w:shd w:val="clear" w:color="auto" w:fill="fafafc"/>
            <w:tcBorders/>
            <w:tcW w:w="3904" w:type="dxa"/>
          </w:tcPr>
          <w:p>
            <w:pPr>
              <w:pStyle w:val="731"/>
              <w:pBdr/>
              <w:spacing/>
              <w:ind/>
              <w:rPr/>
            </w:pPr>
            <w:r>
              <w:t xml:space="preserve">Registran clubes, jugadores y cédulas; elaboran y publican la programación.</w:t>
            </w:r>
            <w:r/>
          </w:p>
        </w:tc>
        <w:tc>
          <w:tcPr>
            <w:shd w:val="clear" w:color="auto" w:fill="fafafc"/>
            <w:tcBorders/>
            <w:tcW w:w="1400" w:type="dxa"/>
          </w:tcPr>
          <w:p>
            <w:pPr>
              <w:pStyle w:val="731"/>
              <w:pBdr/>
              <w:spacing/>
              <w:ind/>
              <w:rPr/>
            </w:pPr>
            <w:r>
              <w:t xml:space="preserve">Sí</w:t>
            </w:r>
            <w:r/>
          </w:p>
        </w:tc>
        <w:tc>
          <w:tcPr>
            <w:shd w:val="clear" w:color="auto" w:fill="fafafc"/>
            <w:tcBorders/>
            <w:tcW w:w="1800" w:type="dxa"/>
          </w:tcPr>
          <w:p>
            <w:pPr>
              <w:pStyle w:val="731"/>
              <w:pBdr/>
              <w:spacing/>
              <w:ind/>
              <w:rPr/>
            </w:pPr>
            <w:r>
              <w:t xml:space="preserve">REF-01, I-d; REF-07, P19–P20</w:t>
            </w:r>
            <w:r/>
          </w:p>
        </w:tc>
      </w:tr>
      <w:tr>
        <w:trPr>
          <w:cantSplit/>
        </w:trPr>
        <w:tc>
          <w:tcPr>
            <w:tcBorders/>
            <w:tcW w:w="2300" w:type="dxa"/>
          </w:tcPr>
          <w:p>
            <w:pPr>
              <w:pStyle w:val="731"/>
              <w:pBdr/>
              <w:spacing/>
              <w:ind/>
              <w:rPr/>
            </w:pPr>
            <w:r>
              <w:t xml:space="preserve">Tesorería</w:t>
            </w:r>
            <w:r/>
          </w:p>
        </w:tc>
        <w:tc>
          <w:tcPr>
            <w:tcBorders/>
            <w:tcW w:w="3904" w:type="dxa"/>
          </w:tcPr>
          <w:p>
            <w:pPr>
              <w:pStyle w:val="731"/>
              <w:pBdr/>
              <w:spacing/>
              <w:ind/>
              <w:rPr/>
            </w:pPr>
            <w:r>
              <w:t xml:space="preserve">Registra aportaciones y pagos.</w:t>
            </w:r>
            <w:r/>
          </w:p>
        </w:tc>
        <w:tc>
          <w:tcPr>
            <w:tcBorders/>
            <w:tcW w:w="1400" w:type="dxa"/>
          </w:tcPr>
          <w:p>
            <w:pPr>
              <w:pStyle w:val="731"/>
              <w:pBdr/>
              <w:spacing/>
              <w:ind/>
              <w:rPr/>
            </w:pPr>
            <w:r>
              <w:t xml:space="preserve">Sí</w:t>
            </w:r>
            <w:r/>
          </w:p>
        </w:tc>
        <w:tc>
          <w:tcPr>
            <w:tcBorders/>
            <w:tcW w:w="1800" w:type="dxa"/>
          </w:tcPr>
          <w:p>
            <w:pPr>
              <w:pStyle w:val="731"/>
              <w:pBdr/>
              <w:spacing/>
              <w:ind/>
              <w:rPr/>
            </w:pPr>
            <w:r>
              <w:t xml:space="preserve">REF-01, IX; REF-07, P20</w:t>
            </w:r>
            <w:r/>
          </w:p>
        </w:tc>
      </w:tr>
      <w:tr>
        <w:trPr>
          <w:cantSplit/>
        </w:trPr>
        <w:tc>
          <w:tcPr>
            <w:shd w:val="clear" w:color="auto" w:fill="fafafc"/>
            <w:tcBorders/>
            <w:tcW w:w="2300" w:type="dxa"/>
          </w:tcPr>
          <w:p>
            <w:pPr>
              <w:pStyle w:val="731"/>
              <w:pBdr/>
              <w:spacing/>
              <w:ind/>
              <w:rPr/>
            </w:pPr>
            <w:r>
              <w:t xml:space="preserve">Tribunal de Penas</w:t>
            </w:r>
            <w:r/>
          </w:p>
        </w:tc>
        <w:tc>
          <w:tcPr>
            <w:shd w:val="clear" w:color="auto" w:fill="fafafc"/>
            <w:tcBorders/>
            <w:tcW w:w="3904" w:type="dxa"/>
          </w:tcPr>
          <w:p>
            <w:pPr>
              <w:pStyle w:val="731"/>
              <w:pBdr/>
              <w:spacing/>
              <w:ind/>
              <w:rPr/>
            </w:pPr>
            <w:r>
              <w:t xml:space="preserve">Revisa incidencias, dictamina suspensiones y emite el boletín de castigados.</w:t>
            </w:r>
            <w:r/>
          </w:p>
        </w:tc>
        <w:tc>
          <w:tcPr>
            <w:shd w:val="clear" w:color="auto" w:fill="fafafc"/>
            <w:tcBorders/>
            <w:tcW w:w="1400" w:type="dxa"/>
          </w:tcPr>
          <w:p>
            <w:pPr>
              <w:pStyle w:val="731"/>
              <w:pBdr/>
              <w:spacing/>
              <w:ind/>
              <w:rPr/>
            </w:pPr>
            <w:r>
              <w:t xml:space="preserve">Sí</w:t>
            </w:r>
            <w:r/>
          </w:p>
        </w:tc>
        <w:tc>
          <w:tcPr>
            <w:shd w:val="clear" w:color="auto" w:fill="fafafc"/>
            <w:tcBorders/>
            <w:tcW w:w="1800" w:type="dxa"/>
          </w:tcPr>
          <w:p>
            <w:pPr>
              <w:pStyle w:val="731"/>
              <w:pBdr/>
              <w:spacing/>
              <w:ind/>
              <w:rPr/>
            </w:pPr>
            <w:r>
              <w:t xml:space="preserve">REF-07, P19–P20</w:t>
            </w:r>
            <w:r/>
          </w:p>
        </w:tc>
      </w:tr>
      <w:tr>
        <w:trPr>
          <w:cantSplit/>
        </w:trPr>
        <w:tc>
          <w:tcPr>
            <w:tcBorders/>
            <w:tcW w:w="2300" w:type="dxa"/>
          </w:tcPr>
          <w:p>
            <w:pPr>
              <w:pStyle w:val="731"/>
              <w:pBdr/>
              <w:spacing/>
              <w:ind/>
              <w:rPr/>
            </w:pPr>
            <w:r>
              <w:t xml:space="preserve">Comisión de la Rama Infantil</w:t>
            </w:r>
            <w:r/>
          </w:p>
        </w:tc>
        <w:tc>
          <w:tcPr>
            <w:tcBorders/>
            <w:tcW w:w="3904" w:type="dxa"/>
          </w:tcPr>
          <w:p>
            <w:pPr>
              <w:pStyle w:val="731"/>
              <w:pBdr/>
              <w:spacing/>
              <w:ind/>
              <w:rPr/>
            </w:pPr>
            <w:r>
              <w:t xml:space="preserve">Define el sistema de competencia de la rama infantil.</w:t>
            </w:r>
            <w:r/>
          </w:p>
        </w:tc>
        <w:tc>
          <w:tcPr>
            <w:tcBorders/>
            <w:tcW w:w="1400" w:type="dxa"/>
          </w:tcPr>
          <w:p>
            <w:pPr>
              <w:pStyle w:val="731"/>
              <w:pBdr/>
              <w:spacing/>
              <w:ind/>
              <w:rPr/>
            </w:pPr>
            <w:r>
              <w:t xml:space="preserve">Sí</w:t>
            </w:r>
            <w:r/>
          </w:p>
        </w:tc>
        <w:tc>
          <w:tcPr>
            <w:tcBorders/>
            <w:tcW w:w="1800" w:type="dxa"/>
          </w:tcPr>
          <w:p>
            <w:pPr>
              <w:pStyle w:val="731"/>
              <w:pBdr/>
              <w:spacing/>
              <w:ind/>
              <w:rPr/>
            </w:pPr>
            <w:r>
              <w:t xml:space="preserve">REF-02, III-b; REF-07, P20</w:t>
            </w:r>
            <w:r/>
          </w:p>
        </w:tc>
      </w:tr>
      <w:tr>
        <w:trPr>
          <w:cantSplit/>
        </w:trPr>
        <w:tc>
          <w:tcPr>
            <w:shd w:val="clear" w:color="auto" w:fill="fafafc"/>
            <w:tcBorders/>
            <w:tcW w:w="2300" w:type="dxa"/>
          </w:tcPr>
          <w:p>
            <w:pPr>
              <w:pStyle w:val="731"/>
              <w:pBdr/>
              <w:spacing/>
              <w:ind/>
              <w:rPr/>
            </w:pPr>
            <w:r>
              <w:t xml:space="preserve">Presidente del club</w:t>
            </w:r>
            <w:r/>
          </w:p>
        </w:tc>
        <w:tc>
          <w:tcPr>
            <w:shd w:val="clear" w:color="auto" w:fill="fafafc"/>
            <w:tcBorders/>
            <w:tcW w:w="3904" w:type="dxa"/>
          </w:tcPr>
          <w:p>
            <w:pPr>
              <w:pStyle w:val="731"/>
              <w:pBdr/>
              <w:spacing/>
              <w:ind/>
              <w:rPr/>
            </w:pPr>
            <w:r>
              <w:t xml:space="preserve">Consulta la información de su club. Funciones en el Sistema: </w:t>
            </w:r>
            <w:r>
              <w:rPr>
                <w:b/>
                <w:bCs/>
                <w:color w:val="9c4a00"/>
                <w:shd w:val="clear" w:color="auto" w:fill="fff2cc"/>
              </w:rPr>
              <w:t xml:space="preserve">[POR DEFINIR]</w:t>
            </w:r>
            <w:r>
              <w:t xml:space="preserve">.</w:t>
            </w:r>
            <w:r/>
          </w:p>
        </w:tc>
        <w:tc>
          <w:tcPr>
            <w:shd w:val="clear" w:color="auto" w:fill="fafafc"/>
            <w:tcBorders/>
            <w:tcW w:w="1400" w:type="dxa"/>
          </w:tcPr>
          <w:p>
            <w:pPr>
              <w:pStyle w:val="731"/>
              <w:pBdr/>
              <w:spacing/>
              <w:ind/>
              <w:rPr/>
            </w:pPr>
            <w:r>
              <w:t xml:space="preserve">Sí</w:t>
            </w:r>
            <w:r/>
          </w:p>
        </w:tc>
        <w:tc>
          <w:tcPr>
            <w:shd w:val="clear" w:color="auto" w:fill="fafafc"/>
            <w:tcBorders/>
            <w:tcW w:w="1800" w:type="dxa"/>
          </w:tcPr>
          <w:p>
            <w:pPr>
              <w:pStyle w:val="731"/>
              <w:pBdr/>
              <w:spacing/>
              <w:ind/>
              <w:rPr/>
            </w:pPr>
            <w:r>
              <w:t xml:space="preserve">REF-07, P20</w:t>
            </w:r>
            <w:r/>
          </w:p>
        </w:tc>
      </w:tr>
      <w:tr>
        <w:trPr>
          <w:cantSplit/>
        </w:trPr>
        <w:tc>
          <w:tcPr>
            <w:tcBorders/>
            <w:tcW w:w="2300" w:type="dxa"/>
          </w:tcPr>
          <w:p>
            <w:pPr>
              <w:pStyle w:val="731"/>
              <w:pBdr/>
              <w:spacing/>
              <w:ind/>
              <w:rPr/>
            </w:pPr>
            <w:r>
              <w:t xml:space="preserve">Delegado del club</w:t>
            </w:r>
            <w:r/>
          </w:p>
        </w:tc>
        <w:tc>
          <w:tcPr>
            <w:tcBorders/>
            <w:tcW w:w="3904" w:type="dxa"/>
          </w:tcPr>
          <w:p>
            <w:pPr>
              <w:pStyle w:val="731"/>
              <w:pBdr/>
              <w:spacing/>
              <w:ind/>
              <w:rPr/>
            </w:pPr>
            <w:r>
              <w:t xml:space="preserve">Consulta horarios, sanciones y pagos de su club. Si capturará información: </w:t>
            </w:r>
            <w:r>
              <w:rPr>
                <w:b/>
                <w:bCs/>
                <w:color w:val="9c4a00"/>
                <w:shd w:val="clear" w:color="auto" w:fill="fff2cc"/>
              </w:rPr>
              <w:t xml:space="preserve">[POR DEFINIR]</w:t>
            </w:r>
            <w:r>
              <w:t xml:space="preserve">.</w:t>
            </w:r>
            <w:r/>
          </w:p>
        </w:tc>
        <w:tc>
          <w:tcPr>
            <w:tcBorders/>
            <w:tcW w:w="1400" w:type="dxa"/>
          </w:tcPr>
          <w:p>
            <w:pPr>
              <w:pStyle w:val="731"/>
              <w:pBdr/>
              <w:spacing/>
              <w:ind/>
              <w:rPr/>
            </w:pPr>
            <w:r>
              <w:t xml:space="preserve">Sí</w:t>
            </w:r>
            <w:r/>
          </w:p>
        </w:tc>
        <w:tc>
          <w:tcPr>
            <w:tcBorders/>
            <w:tcW w:w="1800" w:type="dxa"/>
          </w:tcPr>
          <w:p>
            <w:pPr>
              <w:pStyle w:val="731"/>
              <w:pBdr/>
              <w:spacing/>
              <w:ind/>
              <w:rPr/>
            </w:pPr>
            <w:r>
              <w:t xml:space="preserve">REF-07, P13 y P20</w:t>
            </w:r>
            <w:r/>
          </w:p>
        </w:tc>
      </w:tr>
      <w:tr>
        <w:trPr>
          <w:cantSplit/>
        </w:trPr>
        <w:tc>
          <w:tcPr>
            <w:shd w:val="clear" w:color="auto" w:fill="fafafc"/>
            <w:tcBorders/>
            <w:tcW w:w="2300" w:type="dxa"/>
          </w:tcPr>
          <w:p>
            <w:pPr>
              <w:pStyle w:val="731"/>
              <w:pBdr/>
              <w:spacing/>
              <w:ind/>
              <w:rPr/>
            </w:pPr>
            <w:r>
              <w:t xml:space="preserve">Jugador</w:t>
            </w:r>
            <w:r/>
          </w:p>
        </w:tc>
        <w:tc>
          <w:tcPr>
            <w:shd w:val="clear" w:color="auto" w:fill="fafafc"/>
            <w:tcBorders/>
            <w:tcW w:w="3904" w:type="dxa"/>
          </w:tcPr>
          <w:p>
            <w:pPr>
              <w:pStyle w:val="731"/>
              <w:pBdr/>
              <w:spacing/>
              <w:ind/>
              <w:rPr/>
            </w:pPr>
            <w:r>
              <w:t xml:space="preserve">Consulta su información.</w:t>
            </w:r>
            <w:r/>
          </w:p>
        </w:tc>
        <w:tc>
          <w:tcPr>
            <w:shd w:val="clear" w:color="auto" w:fill="fafafc"/>
            <w:tcBorders/>
            <w:tcW w:w="1400" w:type="dxa"/>
          </w:tcPr>
          <w:p>
            <w:pPr>
              <w:pStyle w:val="731"/>
              <w:pBdr/>
              <w:spacing/>
              <w:ind/>
              <w:rPr/>
            </w:pPr>
            <w:r>
              <w:rPr>
                <w:b/>
                <w:bCs/>
                <w:color w:val="9c4a00"/>
                <w:shd w:val="clear" w:color="auto" w:fill="fff2cc"/>
              </w:rPr>
              <w:t xml:space="preserve">[POR DEFINIR]</w:t>
            </w:r>
            <w:r/>
          </w:p>
        </w:tc>
        <w:tc>
          <w:tcPr>
            <w:shd w:val="clear" w:color="auto" w:fill="fafafc"/>
            <w:tcBorders/>
            <w:tcW w:w="1800" w:type="dxa"/>
          </w:tcPr>
          <w:p>
            <w:pPr>
              <w:pStyle w:val="731"/>
              <w:pBdr/>
              <w:spacing/>
              <w:ind/>
              <w:rPr/>
            </w:pPr>
            <w:r>
              <w:t xml:space="preserve">REF-07, P20</w:t>
            </w:r>
            <w:r/>
          </w:p>
        </w:tc>
      </w:tr>
      <w:tr>
        <w:trPr>
          <w:cantSplit/>
        </w:trPr>
        <w:tc>
          <w:tcPr>
            <w:tcBorders/>
            <w:tcW w:w="2300" w:type="dxa"/>
          </w:tcPr>
          <w:p>
            <w:pPr>
              <w:pStyle w:val="731"/>
              <w:pBdr/>
              <w:spacing/>
              <w:ind/>
              <w:rPr/>
            </w:pPr>
            <w:r>
              <w:t xml:space="preserve">Árbitros y colegios de árbitros</w:t>
            </w:r>
            <w:r/>
          </w:p>
        </w:tc>
        <w:tc>
          <w:tcPr>
            <w:tcBorders/>
            <w:tcW w:w="3904" w:type="dxa"/>
          </w:tcPr>
          <w:p>
            <w:pPr>
              <w:pStyle w:val="731"/>
              <w:pBdr/>
              <w:spacing/>
              <w:ind/>
              <w:rPr/>
            </w:pPr>
            <w:r>
              <w:t xml:space="preserve">Entregan las cédulas, hoy en papel. Si usarán el Sistema: </w:t>
            </w:r>
            <w:r>
              <w:rPr>
                <w:b/>
                <w:bCs/>
                <w:color w:val="9c4a00"/>
                <w:shd w:val="clear" w:color="auto" w:fill="fff2cc"/>
              </w:rPr>
              <w:t xml:space="preserve">[POR DEFINIR]</w:t>
            </w:r>
            <w:r>
              <w:t xml:space="preserve">.</w:t>
            </w:r>
            <w:r/>
          </w:p>
        </w:tc>
        <w:tc>
          <w:tcPr>
            <w:tcBorders/>
            <w:tcW w:w="1400" w:type="dxa"/>
          </w:tcPr>
          <w:p>
            <w:pPr>
              <w:pStyle w:val="731"/>
              <w:pBdr/>
              <w:spacing/>
              <w:ind/>
              <w:rPr/>
            </w:pPr>
            <w:r>
              <w:rPr>
                <w:b/>
                <w:bCs/>
                <w:color w:val="9c4a00"/>
                <w:shd w:val="clear" w:color="auto" w:fill="fff2cc"/>
              </w:rPr>
              <w:t xml:space="preserve">[POR DEFINIR]</w:t>
            </w:r>
            <w:r/>
          </w:p>
        </w:tc>
        <w:tc>
          <w:tcPr>
            <w:tcBorders/>
            <w:tcW w:w="1800" w:type="dxa"/>
          </w:tcPr>
          <w:p>
            <w:pPr>
              <w:pStyle w:val="731"/>
              <w:pBdr/>
              <w:spacing/>
              <w:ind/>
              <w:rPr/>
            </w:pPr>
            <w:r>
              <w:t xml:space="preserve">REF-07, P18–P19</w:t>
            </w:r>
            <w:r/>
          </w:p>
        </w:tc>
      </w:tr>
      <w:tr>
        <w:trPr>
          <w:cantSplit/>
        </w:trPr>
        <w:tc>
          <w:tcPr>
            <w:shd w:val="clear" w:color="auto" w:fill="fafafc"/>
            <w:tcBorders/>
            <w:tcW w:w="2300" w:type="dxa"/>
          </w:tcPr>
          <w:p>
            <w:pPr>
              <w:pStyle w:val="731"/>
              <w:pBdr/>
              <w:spacing/>
              <w:ind/>
              <w:rPr/>
            </w:pPr>
            <w:r>
              <w:t xml:space="preserve">Público general</w:t>
            </w:r>
            <w:r/>
          </w:p>
        </w:tc>
        <w:tc>
          <w:tcPr>
            <w:shd w:val="clear" w:color="auto" w:fill="fafafc"/>
            <w:tcBorders/>
            <w:tcW w:w="3904" w:type="dxa"/>
          </w:tcPr>
          <w:p>
            <w:pPr>
              <w:pStyle w:val="731"/>
              <w:pBdr/>
              <w:spacing/>
              <w:ind/>
              <w:rPr/>
            </w:pPr>
            <w:r>
              <w:t xml:space="preserve">Consulta programación, resultados, tablas, goleo y castigados.</w:t>
            </w:r>
            <w:r/>
          </w:p>
        </w:tc>
        <w:tc>
          <w:tcPr>
            <w:shd w:val="clear" w:color="auto" w:fill="fafafc"/>
            <w:tcBorders/>
            <w:tcW w:w="1400" w:type="dxa"/>
          </w:tcPr>
          <w:p>
            <w:pPr>
              <w:pStyle w:val="731"/>
              <w:pBdr/>
              <w:spacing/>
              <w:ind/>
              <w:rPr/>
            </w:pPr>
            <w:r>
              <w:t xml:space="preserve">No</w:t>
            </w:r>
            <w:r/>
          </w:p>
        </w:tc>
        <w:tc>
          <w:tcPr>
            <w:shd w:val="clear" w:color="auto" w:fill="fafafc"/>
            <w:tcBorders/>
            <w:tcW w:w="1800" w:type="dxa"/>
          </w:tcPr>
          <w:p>
            <w:pPr>
              <w:pStyle w:val="731"/>
              <w:pBdr/>
              <w:spacing/>
              <w:ind/>
              <w:rPr/>
            </w:pPr>
            <w:r>
              <w:t xml:space="preserve">REF-07, P20</w:t>
            </w:r>
            <w:r/>
          </w:p>
        </w:tc>
      </w:tr>
      <w:tr>
        <w:trPr>
          <w:cantSplit/>
        </w:trPr>
        <w:tc>
          <w:tcPr>
            <w:tcBorders/>
            <w:tcW w:w="2300" w:type="dxa"/>
          </w:tcPr>
          <w:p>
            <w:pPr>
              <w:pStyle w:val="731"/>
              <w:pBdr/>
              <w:spacing/>
              <w:ind/>
              <w:rPr/>
            </w:pPr>
            <w:r>
              <w:t xml:space="preserve">WhatsApp</w:t>
            </w:r>
            <w:r/>
          </w:p>
        </w:tc>
        <w:tc>
          <w:tcPr>
            <w:tcBorders/>
            <w:tcW w:w="3904" w:type="dxa"/>
          </w:tcPr>
          <w:p>
            <w:pPr>
              <w:pStyle w:val="731"/>
              <w:pBdr/>
              <w:spacing/>
              <w:ind/>
              <w:rPr/>
            </w:pPr>
            <w:r>
              <w:t xml:space="preserve">Servicio externo para enviar avisos.</w:t>
            </w:r>
            <w:r/>
          </w:p>
        </w:tc>
        <w:tc>
          <w:tcPr>
            <w:tcBorders/>
            <w:tcW w:w="1400" w:type="dxa"/>
          </w:tcPr>
          <w:p>
            <w:pPr>
              <w:pStyle w:val="731"/>
              <w:pBdr/>
              <w:spacing/>
              <w:ind/>
              <w:rPr/>
            </w:pPr>
            <w:r>
              <w:t xml:space="preserve">No aplica</w:t>
            </w:r>
            <w:r/>
          </w:p>
        </w:tc>
        <w:tc>
          <w:tcPr>
            <w:tcBorders/>
            <w:tcW w:w="1800" w:type="dxa"/>
          </w:tcPr>
          <w:p>
            <w:pPr>
              <w:pStyle w:val="731"/>
              <w:pBdr/>
              <w:spacing/>
              <w:ind/>
              <w:rPr/>
            </w:pPr>
            <w:r>
              <w:t xml:space="preserve">REF-07, P10-d</w:t>
            </w:r>
            <w:r/>
          </w:p>
        </w:tc>
      </w:tr>
      <w:tr>
        <w:trPr>
          <w:cantSplit/>
        </w:trPr>
        <w:tc>
          <w:tcPr>
            <w:shd w:val="clear" w:color="auto" w:fill="fafafc"/>
            <w:tcBorders/>
            <w:tcW w:w="2300" w:type="dxa"/>
          </w:tcPr>
          <w:p>
            <w:pPr>
              <w:pStyle w:val="731"/>
              <w:pBdr/>
              <w:spacing/>
              <w:ind/>
              <w:rPr/>
            </w:pPr>
            <w:r>
              <w:t xml:space="preserve">IMCUFIDE</w:t>
            </w:r>
            <w:r/>
          </w:p>
        </w:tc>
        <w:tc>
          <w:tcPr>
            <w:shd w:val="clear" w:color="auto" w:fill="fafafc"/>
            <w:tcBorders/>
            <w:tcW w:w="3904" w:type="dxa"/>
          </w:tcPr>
          <w:p>
            <w:pPr>
              <w:pStyle w:val="731"/>
              <w:pBdr/>
              <w:spacing/>
              <w:ind/>
              <w:rPr/>
            </w:pPr>
            <w:r>
              <w:t xml:space="preserve">Intercambia con la Liga información administrativa, operativa y de seguridad.</w:t>
            </w:r>
            <w:r/>
          </w:p>
        </w:tc>
        <w:tc>
          <w:tcPr>
            <w:shd w:val="clear" w:color="auto" w:fill="fafafc"/>
            <w:tcBorders/>
            <w:tcW w:w="1400" w:type="dxa"/>
          </w:tcPr>
          <w:p>
            <w:pPr>
              <w:pStyle w:val="731"/>
              <w:pBdr/>
              <w:spacing/>
              <w:ind/>
              <w:rPr/>
            </w:pPr>
            <w:r>
              <w:t xml:space="preserve">Sin integración</w:t>
            </w:r>
            <w:r/>
          </w:p>
        </w:tc>
        <w:tc>
          <w:tcPr>
            <w:shd w:val="clear" w:color="auto" w:fill="fafafc"/>
            <w:tcBorders/>
            <w:tcW w:w="1800" w:type="dxa"/>
          </w:tcPr>
          <w:p>
            <w:pPr>
              <w:pStyle w:val="731"/>
              <w:pBdr/>
              <w:spacing/>
              <w:ind/>
              <w:rPr/>
            </w:pPr>
            <w:r>
              <w:t xml:space="preserve">REF-07, P18; REF-13</w:t>
            </w:r>
            <w:r/>
          </w:p>
        </w:tc>
      </w:tr>
      <w:tr>
        <w:trPr>
          <w:cantSplit/>
        </w:trPr>
        <w:tc>
          <w:tcPr>
            <w:tcBorders/>
            <w:tcW w:w="2300" w:type="dxa"/>
          </w:tcPr>
          <w:p>
            <w:pPr>
              <w:pStyle w:val="731"/>
              <w:pBdr/>
              <w:spacing/>
              <w:ind/>
              <w:rPr/>
            </w:pPr>
            <w:r>
              <w:t xml:space="preserve">UMSNH y sindicato del Ayuntamiento</w:t>
            </w:r>
            <w:r/>
          </w:p>
        </w:tc>
        <w:tc>
          <w:tcPr>
            <w:tcBorders/>
            <w:tcW w:w="3904" w:type="dxa"/>
          </w:tcPr>
          <w:p>
            <w:pPr>
              <w:pStyle w:val="731"/>
              <w:pBdr/>
              <w:spacing/>
              <w:ind/>
              <w:rPr/>
            </w:pPr>
            <w:r>
              <w:t xml:space="preserve">Intercambian registro de plantillas, validación de credenciales de estudiantes o trabajadores e informes de comportamiento y sanciones (por ejemplo, en los Juegos Deportivos Interdependencias).</w:t>
            </w:r>
            <w:r/>
          </w:p>
        </w:tc>
        <w:tc>
          <w:tcPr>
            <w:tcBorders/>
            <w:tcW w:w="1400" w:type="dxa"/>
          </w:tcPr>
          <w:p>
            <w:pPr>
              <w:pStyle w:val="731"/>
              <w:pBdr/>
              <w:spacing/>
              <w:ind/>
              <w:rPr/>
            </w:pPr>
            <w:r>
              <w:t xml:space="preserve">Sin integración</w:t>
            </w:r>
            <w:r/>
          </w:p>
        </w:tc>
        <w:tc>
          <w:tcPr>
            <w:tcBorders/>
            <w:tcW w:w="1800" w:type="dxa"/>
          </w:tcPr>
          <w:p>
            <w:pPr>
              <w:pStyle w:val="731"/>
              <w:pBdr/>
              <w:spacing/>
              <w:ind/>
              <w:rPr/>
            </w:pPr>
            <w:r>
              <w:t xml:space="preserve">REF-07, P18</w:t>
            </w:r>
            <w:r/>
          </w:p>
        </w:tc>
      </w:tr>
      <w:tr>
        <w:trPr>
          <w:cantSplit/>
        </w:trPr>
        <w:tc>
          <w:tcPr>
            <w:shd w:val="clear" w:color="auto" w:fill="fafafc"/>
            <w:tcBorders/>
            <w:tcW w:w="2300" w:type="dxa"/>
          </w:tcPr>
          <w:p>
            <w:pPr>
              <w:pStyle w:val="731"/>
              <w:pBdr/>
              <w:spacing/>
              <w:ind/>
              <w:rPr/>
            </w:pPr>
            <w:r>
              <w:t xml:space="preserve">Portales locales (La Extra, Fanáticos, La Muni)</w:t>
            </w:r>
            <w:r/>
          </w:p>
        </w:tc>
        <w:tc>
          <w:tcPr>
            <w:shd w:val="clear" w:color="auto" w:fill="fafafc"/>
            <w:tcBorders/>
            <w:tcW w:w="3904" w:type="dxa"/>
          </w:tcPr>
          <w:p>
            <w:pPr>
              <w:pStyle w:val="731"/>
              <w:pBdr/>
              <w:spacing/>
              <w:ind/>
              <w:rPr/>
            </w:pPr>
            <w:r>
              <w:t xml:space="preserve">Reciben la programación, las tablas de goleo y los roles semanales en imagen o PDF para difundirlos.</w:t>
            </w:r>
            <w:r/>
          </w:p>
        </w:tc>
        <w:tc>
          <w:tcPr>
            <w:shd w:val="clear" w:color="auto" w:fill="fafafc"/>
            <w:tcBorders/>
            <w:tcW w:w="1400" w:type="dxa"/>
          </w:tcPr>
          <w:p>
            <w:pPr>
              <w:pStyle w:val="731"/>
              <w:pBdr/>
              <w:spacing/>
              <w:ind/>
              <w:rPr/>
            </w:pPr>
            <w:r>
              <w:t xml:space="preserve">Sin integración</w:t>
            </w:r>
            <w:r/>
          </w:p>
        </w:tc>
        <w:tc>
          <w:tcPr>
            <w:shd w:val="clear" w:color="auto" w:fill="fafafc"/>
            <w:tcBorders/>
            <w:tcW w:w="1800" w:type="dxa"/>
          </w:tcPr>
          <w:p>
            <w:pPr>
              <w:pStyle w:val="731"/>
              <w:pBdr/>
              <w:spacing/>
              <w:ind/>
              <w:rPr/>
            </w:pPr>
            <w:r>
              <w:t xml:space="preserve">REF-07, P18</w:t>
            </w:r>
            <w:r/>
          </w:p>
        </w:tc>
      </w:tr>
      <w:tr>
        <w:trPr>
          <w:cantSplit/>
        </w:trPr>
        <w:tc>
          <w:tcPr>
            <w:tcBorders/>
            <w:tcW w:w="2300" w:type="dxa"/>
          </w:tcPr>
          <w:p>
            <w:pPr>
              <w:pStyle w:val="731"/>
              <w:pBdr/>
              <w:spacing/>
              <w:ind/>
              <w:rPr/>
            </w:pPr>
            <w:r>
              <w:t xml:space="preserve">Notarías públicas</w:t>
            </w:r>
            <w:r/>
          </w:p>
        </w:tc>
        <w:tc>
          <w:tcPr>
            <w:tcBorders/>
            <w:tcW w:w="3904" w:type="dxa"/>
          </w:tcPr>
          <w:p>
            <w:pPr>
              <w:pStyle w:val="731"/>
              <w:pBdr/>
              <w:spacing/>
              <w:ind/>
              <w:rPr/>
            </w:pPr>
            <w:r>
              <w:t xml:space="preserve">Protocolizan actas y estatutos de la asociación civil.</w:t>
            </w:r>
            <w:r/>
          </w:p>
        </w:tc>
        <w:tc>
          <w:tcPr>
            <w:tcBorders/>
            <w:tcW w:w="1400" w:type="dxa"/>
          </w:tcPr>
          <w:p>
            <w:pPr>
              <w:pStyle w:val="731"/>
              <w:pBdr/>
              <w:spacing/>
              <w:ind/>
              <w:rPr/>
            </w:pPr>
            <w:r>
              <w:t xml:space="preserve">Fuera del alcance</w:t>
            </w:r>
            <w:r/>
          </w:p>
        </w:tc>
        <w:tc>
          <w:tcPr>
            <w:tcBorders/>
            <w:tcW w:w="1800" w:type="dxa"/>
          </w:tcPr>
          <w:p>
            <w:pPr>
              <w:pStyle w:val="731"/>
              <w:pBdr/>
              <w:spacing/>
              <w:ind/>
              <w:rPr/>
            </w:pPr>
            <w:r>
              <w:t xml:space="preserve">REF-07, P18</w:t>
            </w:r>
            <w:r/>
          </w:p>
        </w:tc>
      </w:tr>
    </w:tbl>
    <w:p>
      <w:pPr>
        <w:pBdr/>
        <w:spacing w:after="60" w:before="0"/>
        <w:ind/>
        <w:rPr/>
      </w:pPr>
      <w:r/>
      <w:r/>
    </w:p>
    <w:p>
      <w:pPr>
        <w:keepNext w:val="true"/>
        <w:pBdr/>
        <w:spacing w:after="60" w:before="120"/>
        <w:ind/>
        <w:jc w:val="center"/>
        <w:rPr/>
      </w:pPr>
      <w:r>
        <mc:AlternateContent>
          <mc:Choice Requires="wpg">
            <w:drawing>
              <wp:inline xmlns:wp="http://schemas.openxmlformats.org/drawingml/2006/wordprocessingDrawing" distT="0" distB="0" distL="0" distR="0">
                <wp:extent cx="5486400" cy="5760720"/>
                <wp:effectExtent l="0" t="0" r="0" b="0"/>
                <wp:docPr id="1" name="Figura 1" descr="Diagrama de context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agrama de contexto del Sistema"/>
                        <pic:cNvPicPr>
                          <a:picLocks noChangeAspect="1"/>
                        </pic:cNvPicPr>
                        <pic:nvPr/>
                      </pic:nvPicPr>
                      <pic:blipFill rotWithShape="1">
                        <a:blip r:embed="rId20"/>
                        <a:stretch/>
                      </pic:blipFill>
                      <pic:spPr bwMode="auto">
                        <a:xfrm>
                          <a:off x="0" y="0"/>
                          <a:ext cx="5486400" cy="5760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453.60pt;mso-wrap-distance-left:0.00pt;mso-wrap-distance-top:0.00pt;mso-wrap-distance-right:0.00pt;mso-wrap-distance-bottom:0.00pt;z-index:1;" stroked="false">
                <v:imagedata r:id="rId20" o:title=""/>
                <o:lock v:ext="edit" rotation="t"/>
              </v:shape>
            </w:pict>
          </mc:Fallback>
        </mc:AlternateContent>
      </w:r>
      <w:r/>
    </w:p>
    <w:p>
      <w:pPr>
        <w:pStyle w:val="732"/>
        <w:pBdr/>
        <w:spacing/>
        <w:ind/>
        <w:rPr/>
      </w:pPr>
      <w:r>
        <w:rPr>
          <w:b/>
          <w:bCs/>
          <w:color w:val="241a61"/>
          <w:sz w:val="18"/>
          <w:szCs w:val="18"/>
        </w:rPr>
        <w:t xml:space="preserve">Figura 1. </w:t>
      </w:r>
      <w:r>
        <w:rPr>
          <w:sz w:val="18"/>
          <w:szCs w:val="18"/>
        </w:rPr>
        <w:t xml:space="preserve">Diagrama de contexto del Sistema.</w:t>
      </w:r>
      <w:r/>
    </w:p>
    <w:p>
      <w:pPr>
        <w:pStyle w:val="733"/>
        <w:pBdr/>
        <w:spacing/>
        <w:ind/>
        <w:rPr/>
      </w:pPr>
      <w:r>
        <w:rPr>
          <w:b/>
          <w:bCs/>
          <w:color w:val="241a61"/>
        </w:rPr>
        <w:t xml:space="preserve">Observación: </w:t>
      </w:r>
      <w:r>
        <w:t xml:space="preserve">el levantamiento indica que «todos los que conforman la Liga» tendrán cuenta propia [REF-07, P20]. No se pudo confirmar si eso incluye a jugadores y árbitros, por lo que se marcan como </w:t>
      </w:r>
      <w:r>
        <w:rPr>
          <w:b/>
          <w:bCs/>
          <w:color w:val="9c4a00"/>
          <w:shd w:val="clear" w:color="auto" w:fill="fff2cc"/>
        </w:rPr>
        <w:t xml:space="preserve">[POR DEFINIR]</w:t>
      </w:r>
      <w:r>
        <w:t xml:space="preserve">. </w:t>
      </w:r>
      <w:r>
        <w:rPr>
          <w:b/>
          <w:bCs/>
        </w:rPr>
        <w:t xml:space="preserve">Impacto:</w:t>
      </w:r>
      <w:r>
        <w:t xml:space="preserve"> define el número de usuarios con cuenta y el modelo de permisos.</w:t>
      </w:r>
      <w:r/>
    </w:p>
    <w:p>
      <w:pPr>
        <w:pStyle w:val="726"/>
        <w:pBdr/>
        <w:spacing/>
        <w:ind/>
        <w:rPr/>
      </w:pPr>
      <w:r/>
      <w:bookmarkStart w:id="36" w:name="_Toc100036"/>
      <w:r>
        <w:t xml:space="preserve">1.5.3.2 Proceso actual de la cédula arbitral</w:t>
      </w:r>
      <w:bookmarkEnd w:id="36"/>
      <w:r/>
      <w:r/>
    </w:p>
    <w:p>
      <w:pPr>
        <w:keepNext w:val="true"/>
        <w:pBdr/>
        <w:spacing/>
        <w:ind/>
        <w:rPr/>
      </w:pPr>
      <w:r>
        <w:t xml:space="preserve">La Figura 2 modela el proceso actual (situación «tal como es») desde el registro de jugadores en la cancha hasta la publicación del boletín de castigados [REF-07, P19]. Los problemas PR-02, PR-03 y PR-04 se originan en este proceso.</w:t>
      </w:r>
      <w:r/>
    </w:p>
    <w:p>
      <w:pPr>
        <w:keepNext w:val="true"/>
        <w:pBdr/>
        <w:spacing w:after="60" w:before="120"/>
        <w:ind/>
        <w:jc w:val="center"/>
        <w:rPr/>
      </w:pPr>
      <w:r>
        <mc:AlternateContent>
          <mc:Choice Requires="wpg">
            <w:drawing>
              <wp:inline xmlns:wp="http://schemas.openxmlformats.org/drawingml/2006/wordprocessingDrawing" distT="0" distB="0" distL="0" distR="0">
                <wp:extent cx="5120640" cy="5837529"/>
                <wp:effectExtent l="0" t="0" r="0" b="0"/>
                <wp:docPr id="2" name="Figura 2" descr="Proceso actual de la cédula arbi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Proceso actual de la cédula arbitral"/>
                        <pic:cNvPicPr>
                          <a:picLocks noChangeAspect="1"/>
                        </pic:cNvPicPr>
                        <pic:nvPr/>
                      </pic:nvPicPr>
                      <pic:blipFill rotWithShape="1">
                        <a:blip r:embed="rId21"/>
                        <a:stretch/>
                      </pic:blipFill>
                      <pic:spPr bwMode="auto">
                        <a:xfrm>
                          <a:off x="0" y="0"/>
                          <a:ext cx="5120640" cy="58375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03.20pt;height:459.65pt;mso-wrap-distance-left:0.00pt;mso-wrap-distance-top:0.00pt;mso-wrap-distance-right:0.00pt;mso-wrap-distance-bottom:0.00pt;z-index:1;" stroked="false">
                <v:imagedata r:id="rId21" o:title=""/>
                <o:lock v:ext="edit" rotation="t"/>
              </v:shape>
            </w:pict>
          </mc:Fallback>
        </mc:AlternateContent>
      </w:r>
      <w:r/>
    </w:p>
    <w:p>
      <w:pPr>
        <w:pStyle w:val="732"/>
        <w:pBdr/>
        <w:spacing/>
        <w:ind/>
        <w:rPr/>
      </w:pPr>
      <w:r>
        <w:rPr>
          <w:b/>
          <w:bCs/>
          <w:color w:val="241a61"/>
          <w:sz w:val="18"/>
          <w:szCs w:val="18"/>
        </w:rPr>
        <w:t xml:space="preserve">Figura 2. </w:t>
      </w:r>
      <w:r>
        <w:rPr>
          <w:sz w:val="18"/>
          <w:szCs w:val="18"/>
        </w:rPr>
        <w:t xml:space="preserve">Proceso actual de la cédula arbitral.</w:t>
      </w:r>
      <w:r/>
    </w:p>
    <w:p>
      <w:pPr>
        <w:pStyle w:val="726"/>
        <w:pBdr/>
        <w:spacing/>
        <w:ind/>
        <w:rPr/>
      </w:pPr>
      <w:r/>
      <w:bookmarkStart w:id="37" w:name="_Toc100037"/>
      <w:r>
        <w:t xml:space="preserve">1.5.3.3 Modelo conceptual del dominio</w:t>
      </w:r>
      <w:bookmarkEnd w:id="37"/>
      <w:r/>
      <w:r/>
    </w:p>
    <w:p>
      <w:pPr>
        <w:keepNext w:val="true"/>
        <w:pBdr/>
        <w:spacing/>
        <w:ind/>
        <w:rPr/>
      </w:pPr>
      <w:r>
        <w:t xml:space="preserve">La Figura 3 muestra los conceptos principales del dominio y sus relaciones. Las cardinalidades son hipótesis por validar con la Liga [REF-06, diap. 31]. Por ejemplo, la relación entre «Registro de jugador» y «Credencial» sigue </w:t>
      </w:r>
      <w:r>
        <w:rPr>
          <w:b/>
          <w:bCs/>
          <w:color w:val="9c4a00"/>
          <w:shd w:val="clear" w:color="auto" w:fill="fff2cc"/>
        </w:rPr>
        <w:t xml:space="preserve">[POR DEFINIR]</w:t>
      </w:r>
      <w:r>
        <w:t xml:space="preserve"> (1.3.4).</w:t>
      </w:r>
      <w:r/>
    </w:p>
    <w:p>
      <w:pPr>
        <w:keepNext w:val="true"/>
        <w:pBdr/>
        <w:spacing w:after="60" w:before="120"/>
        <w:ind/>
        <w:jc w:val="center"/>
        <w:rPr/>
      </w:pPr>
      <w:r>
        <mc:AlternateContent>
          <mc:Choice Requires="wpg">
            <w:drawing>
              <wp:inline xmlns:wp="http://schemas.openxmlformats.org/drawingml/2006/wordprocessingDrawing" distT="0" distB="0" distL="0" distR="0">
                <wp:extent cx="5852160" cy="4768426"/>
                <wp:effectExtent l="0" t="0" r="0" b="0"/>
                <wp:docPr id="3" name="Figura 3" descr="Modelo conceptual del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Modelo conceptual del dominio"/>
                        <pic:cNvPicPr>
                          <a:picLocks noChangeAspect="1"/>
                        </pic:cNvPicPr>
                        <pic:nvPr/>
                      </pic:nvPicPr>
                      <pic:blipFill rotWithShape="1">
                        <a:blip r:embed="rId22"/>
                        <a:stretch/>
                      </pic:blipFill>
                      <pic:spPr bwMode="auto">
                        <a:xfrm>
                          <a:off x="0" y="0"/>
                          <a:ext cx="5852160" cy="47684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0.80pt;height:375.47pt;mso-wrap-distance-left:0.00pt;mso-wrap-distance-top:0.00pt;mso-wrap-distance-right:0.00pt;mso-wrap-distance-bottom:0.00pt;z-index:1;" stroked="false">
                <v:imagedata r:id="rId22" o:title=""/>
                <o:lock v:ext="edit" rotation="t"/>
              </v:shape>
            </w:pict>
          </mc:Fallback>
        </mc:AlternateContent>
      </w:r>
      <w:r/>
    </w:p>
    <w:p>
      <w:pPr>
        <w:pStyle w:val="732"/>
        <w:pBdr/>
        <w:spacing/>
        <w:ind/>
        <w:rPr/>
      </w:pPr>
      <w:r>
        <w:rPr>
          <w:b/>
          <w:bCs/>
          <w:color w:val="241a61"/>
          <w:sz w:val="18"/>
          <w:szCs w:val="18"/>
        </w:rPr>
        <w:t xml:space="preserve">Figura 3. </w:t>
      </w:r>
      <w:r>
        <w:rPr>
          <w:sz w:val="18"/>
          <w:szCs w:val="18"/>
        </w:rPr>
        <w:t xml:space="preserve">Modelo conceptual preliminar del dominio.</w:t>
      </w:r>
      <w:r/>
    </w:p>
    <w:p>
      <w:pPr>
        <w:pStyle w:val="724"/>
        <w:pBdr/>
        <w:spacing/>
        <w:ind/>
        <w:rPr/>
      </w:pPr>
      <w:r/>
      <w:bookmarkStart w:id="38" w:name="_Toc100038"/>
      <w:r>
        <w:t xml:space="preserve">1.6 Personal involucrado</w:t>
      </w:r>
      <w:bookmarkEnd w:id="38"/>
      <w:r/>
      <w:r/>
    </w:p>
    <w:tbl>
      <w:tblPr>
        <w:tblW w:w="9404" w:type="dxa"/>
        <w:tblCellMar>
          <w:left w:w="90" w:type="dxa"/>
          <w:top w:w="45" w:type="dxa"/>
          <w:right w:w="90" w:type="dxa"/>
          <w:bottom w:w="45" w:type="dxa"/>
        </w:tblCellMa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A0" w:firstRow="1" w:lastRow="0" w:firstColumn="1" w:lastColumn="0" w:noHBand="0" w:noVBand="1"/>
      </w:tblPr>
      <w:tblGrid>
        <w:gridCol w:w="1700"/>
        <w:gridCol w:w="1400"/>
        <w:gridCol w:w="1500"/>
        <w:gridCol w:w="2000"/>
        <w:gridCol w:w="1604"/>
        <w:gridCol w:w="1200"/>
      </w:tblGrid>
      <w:tr>
        <w:trPr>
          <w:cantSplit/>
          <w:tblHeader/>
        </w:trPr>
        <w:tc>
          <w:tcPr>
            <w:shd w:val="clear" w:color="auto" w:fill="241a61"/>
            <w:tcBorders/>
            <w:tcW w:w="1700" w:type="dxa"/>
            <w:vAlign w:val="center"/>
          </w:tcPr>
          <w:p>
            <w:pPr>
              <w:pStyle w:val="731"/>
              <w:pBdr/>
              <w:spacing/>
              <w:ind/>
              <w:rPr/>
            </w:pPr>
            <w:r>
              <w:rPr>
                <w:b/>
                <w:bCs/>
                <w:color w:val="ffffff"/>
              </w:rPr>
              <w:t xml:space="preserve">Nombre</w:t>
            </w:r>
            <w:r/>
          </w:p>
        </w:tc>
        <w:tc>
          <w:tcPr>
            <w:shd w:val="clear" w:color="auto" w:fill="241a61"/>
            <w:tcBorders/>
            <w:tcW w:w="1400" w:type="dxa"/>
            <w:vAlign w:val="center"/>
          </w:tcPr>
          <w:p>
            <w:pPr>
              <w:pStyle w:val="731"/>
              <w:pBdr/>
              <w:spacing/>
              <w:ind/>
              <w:rPr/>
            </w:pPr>
            <w:r>
              <w:rPr>
                <w:b/>
                <w:bCs/>
                <w:color w:val="ffffff"/>
              </w:rPr>
              <w:t xml:space="preserve">Rol</w:t>
            </w:r>
            <w:r/>
          </w:p>
        </w:tc>
        <w:tc>
          <w:tcPr>
            <w:shd w:val="clear" w:color="auto" w:fill="241a61"/>
            <w:tcBorders/>
            <w:tcW w:w="1500" w:type="dxa"/>
            <w:vAlign w:val="center"/>
          </w:tcPr>
          <w:p>
            <w:pPr>
              <w:pStyle w:val="731"/>
              <w:pBdr/>
              <w:spacing/>
              <w:ind/>
              <w:rPr/>
            </w:pPr>
            <w:r>
              <w:rPr>
                <w:b/>
                <w:bCs/>
                <w:color w:val="ffffff"/>
              </w:rPr>
              <w:t xml:space="preserve">Categoría profesional</w:t>
            </w:r>
            <w:r/>
          </w:p>
        </w:tc>
        <w:tc>
          <w:tcPr>
            <w:shd w:val="clear" w:color="auto" w:fill="241a61"/>
            <w:tcBorders/>
            <w:tcW w:w="2000" w:type="dxa"/>
            <w:vAlign w:val="center"/>
          </w:tcPr>
          <w:p>
            <w:pPr>
              <w:pStyle w:val="731"/>
              <w:pBdr/>
              <w:spacing/>
              <w:ind/>
              <w:rPr/>
            </w:pPr>
            <w:r>
              <w:rPr>
                <w:b/>
                <w:bCs/>
                <w:color w:val="ffffff"/>
              </w:rPr>
              <w:t xml:space="preserve">Responsabilidades</w:t>
            </w:r>
            <w:r/>
          </w:p>
        </w:tc>
        <w:tc>
          <w:tcPr>
            <w:shd w:val="clear" w:color="auto" w:fill="241a61"/>
            <w:tcBorders/>
            <w:tcW w:w="1604" w:type="dxa"/>
            <w:vAlign w:val="center"/>
          </w:tcPr>
          <w:p>
            <w:pPr>
              <w:pStyle w:val="731"/>
              <w:pBdr/>
              <w:spacing/>
              <w:ind/>
              <w:rPr/>
            </w:pPr>
            <w:r>
              <w:rPr>
                <w:b/>
                <w:bCs/>
                <w:color w:val="ffffff"/>
              </w:rPr>
              <w:t xml:space="preserve">Información de contacto</w:t>
            </w:r>
            <w:r/>
          </w:p>
        </w:tc>
        <w:tc>
          <w:tcPr>
            <w:shd w:val="clear" w:color="auto" w:fill="241a61"/>
            <w:tcBorders/>
            <w:tcW w:w="1200" w:type="dxa"/>
            <w:vAlign w:val="center"/>
          </w:tcPr>
          <w:p>
            <w:pPr>
              <w:pStyle w:val="731"/>
              <w:pBdr/>
              <w:spacing/>
              <w:ind/>
              <w:rPr/>
            </w:pPr>
            <w:r>
              <w:rPr>
                <w:b/>
                <w:bCs/>
                <w:color w:val="ffffff"/>
              </w:rPr>
              <w:t xml:space="preserve">Aprobación</w:t>
            </w:r>
            <w:r/>
          </w:p>
        </w:tc>
      </w:tr>
      <w:tr>
        <w:trPr>
          <w:cantSplit/>
          <w:trHeight w:val="480"/>
        </w:trPr>
        <w:tc>
          <w:tcPr>
            <w:tcBorders/>
            <w:tcW w:w="1700" w:type="dxa"/>
          </w:tcPr>
          <w:p>
            <w:pPr>
              <w:pStyle w:val="731"/>
              <w:pBdr/>
              <w:spacing/>
              <w:ind/>
              <w:rPr/>
            </w:pPr>
            <w:r/>
            <w:r/>
          </w:p>
        </w:tc>
        <w:tc>
          <w:tcPr>
            <w:tcBorders/>
            <w:tcW w:w="1400" w:type="dxa"/>
          </w:tcPr>
          <w:p>
            <w:pPr>
              <w:pStyle w:val="731"/>
              <w:pBdr/>
              <w:spacing/>
              <w:ind/>
              <w:rPr/>
            </w:pPr>
            <w:r/>
            <w:r/>
          </w:p>
        </w:tc>
        <w:tc>
          <w:tcPr>
            <w:tcBorders/>
            <w:tcW w:w="1500" w:type="dxa"/>
          </w:tcPr>
          <w:p>
            <w:pPr>
              <w:pStyle w:val="731"/>
              <w:pBdr/>
              <w:spacing/>
              <w:ind/>
              <w:rPr/>
            </w:pPr>
            <w:r/>
            <w:r/>
          </w:p>
        </w:tc>
        <w:tc>
          <w:tcPr>
            <w:tcBorders/>
            <w:tcW w:w="2000" w:type="dxa"/>
          </w:tcPr>
          <w:p>
            <w:pPr>
              <w:pStyle w:val="731"/>
              <w:pBdr/>
              <w:spacing/>
              <w:ind/>
              <w:rPr/>
            </w:pPr>
            <w:r/>
            <w:r/>
          </w:p>
        </w:tc>
        <w:tc>
          <w:tcPr>
            <w:tcBorders/>
            <w:tcW w:w="1604" w:type="dxa"/>
          </w:tcPr>
          <w:p>
            <w:pPr>
              <w:pStyle w:val="731"/>
              <w:pBdr/>
              <w:spacing/>
              <w:ind/>
              <w:rPr/>
            </w:pPr>
            <w:r/>
            <w:r/>
          </w:p>
        </w:tc>
        <w:tc>
          <w:tcPr>
            <w:tcBorders/>
            <w:tcW w:w="1200" w:type="dxa"/>
          </w:tcPr>
          <w:p>
            <w:pPr>
              <w:pStyle w:val="731"/>
              <w:pBdr/>
              <w:spacing/>
              <w:ind/>
              <w:rPr/>
            </w:pPr>
            <w:r/>
            <w:r/>
          </w:p>
        </w:tc>
      </w:tr>
      <w:tr>
        <w:trPr>
          <w:cantSplit/>
          <w:trHeight w:val="480"/>
        </w:trPr>
        <w:tc>
          <w:tcPr>
            <w:tcBorders/>
            <w:tcW w:w="1700" w:type="dxa"/>
          </w:tcPr>
          <w:p>
            <w:pPr>
              <w:pStyle w:val="731"/>
              <w:pBdr/>
              <w:spacing/>
              <w:ind/>
              <w:rPr/>
            </w:pPr>
            <w:r/>
            <w:r/>
          </w:p>
        </w:tc>
        <w:tc>
          <w:tcPr>
            <w:tcBorders/>
            <w:tcW w:w="1400" w:type="dxa"/>
          </w:tcPr>
          <w:p>
            <w:pPr>
              <w:pStyle w:val="731"/>
              <w:pBdr/>
              <w:spacing/>
              <w:ind/>
              <w:rPr/>
            </w:pPr>
            <w:r/>
            <w:r/>
          </w:p>
        </w:tc>
        <w:tc>
          <w:tcPr>
            <w:tcBorders/>
            <w:tcW w:w="1500" w:type="dxa"/>
          </w:tcPr>
          <w:p>
            <w:pPr>
              <w:pStyle w:val="731"/>
              <w:pBdr/>
              <w:spacing/>
              <w:ind/>
              <w:rPr/>
            </w:pPr>
            <w:r/>
            <w:r/>
          </w:p>
        </w:tc>
        <w:tc>
          <w:tcPr>
            <w:tcBorders/>
            <w:tcW w:w="2000" w:type="dxa"/>
          </w:tcPr>
          <w:p>
            <w:pPr>
              <w:pStyle w:val="731"/>
              <w:pBdr/>
              <w:spacing/>
              <w:ind/>
              <w:rPr/>
            </w:pPr>
            <w:r/>
            <w:r/>
          </w:p>
        </w:tc>
        <w:tc>
          <w:tcPr>
            <w:tcBorders/>
            <w:tcW w:w="1604" w:type="dxa"/>
          </w:tcPr>
          <w:p>
            <w:pPr>
              <w:pStyle w:val="731"/>
              <w:pBdr/>
              <w:spacing/>
              <w:ind/>
              <w:rPr/>
            </w:pPr>
            <w:r/>
            <w:r/>
          </w:p>
        </w:tc>
        <w:tc>
          <w:tcPr>
            <w:tcBorders/>
            <w:tcW w:w="1200" w:type="dxa"/>
          </w:tcPr>
          <w:p>
            <w:pPr>
              <w:pStyle w:val="731"/>
              <w:pBdr/>
              <w:spacing/>
              <w:ind/>
              <w:rPr/>
            </w:pPr>
            <w:r/>
            <w:r/>
          </w:p>
        </w:tc>
      </w:tr>
      <w:tr>
        <w:trPr>
          <w:cantSplit/>
          <w:trHeight w:val="480"/>
        </w:trPr>
        <w:tc>
          <w:tcPr>
            <w:tcBorders/>
            <w:tcW w:w="1700" w:type="dxa"/>
          </w:tcPr>
          <w:p>
            <w:pPr>
              <w:pStyle w:val="731"/>
              <w:pBdr/>
              <w:spacing/>
              <w:ind/>
              <w:rPr/>
            </w:pPr>
            <w:r/>
            <w:r/>
          </w:p>
        </w:tc>
        <w:tc>
          <w:tcPr>
            <w:tcBorders/>
            <w:tcW w:w="1400" w:type="dxa"/>
          </w:tcPr>
          <w:p>
            <w:pPr>
              <w:pStyle w:val="731"/>
              <w:pBdr/>
              <w:spacing/>
              <w:ind/>
              <w:rPr/>
            </w:pPr>
            <w:r/>
            <w:r/>
          </w:p>
        </w:tc>
        <w:tc>
          <w:tcPr>
            <w:tcBorders/>
            <w:tcW w:w="1500" w:type="dxa"/>
          </w:tcPr>
          <w:p>
            <w:pPr>
              <w:pStyle w:val="731"/>
              <w:pBdr/>
              <w:spacing/>
              <w:ind/>
              <w:rPr/>
            </w:pPr>
            <w:r/>
            <w:r/>
          </w:p>
        </w:tc>
        <w:tc>
          <w:tcPr>
            <w:tcBorders/>
            <w:tcW w:w="2000" w:type="dxa"/>
          </w:tcPr>
          <w:p>
            <w:pPr>
              <w:pStyle w:val="731"/>
              <w:pBdr/>
              <w:spacing/>
              <w:ind/>
              <w:rPr/>
            </w:pPr>
            <w:r/>
            <w:r/>
          </w:p>
        </w:tc>
        <w:tc>
          <w:tcPr>
            <w:tcBorders/>
            <w:tcW w:w="1604" w:type="dxa"/>
          </w:tcPr>
          <w:p>
            <w:pPr>
              <w:pStyle w:val="731"/>
              <w:pBdr/>
              <w:spacing/>
              <w:ind/>
              <w:rPr/>
            </w:pPr>
            <w:r/>
            <w:r/>
          </w:p>
        </w:tc>
        <w:tc>
          <w:tcPr>
            <w:tcBorders/>
            <w:tcW w:w="1200" w:type="dxa"/>
          </w:tcPr>
          <w:p>
            <w:pPr>
              <w:pStyle w:val="731"/>
              <w:pBdr/>
              <w:spacing/>
              <w:ind/>
              <w:rPr/>
            </w:pPr>
            <w:r/>
            <w:r/>
          </w:p>
        </w:tc>
      </w:tr>
      <w:tr>
        <w:trPr>
          <w:cantSplit/>
          <w:trHeight w:val="480"/>
        </w:trPr>
        <w:tc>
          <w:tcPr>
            <w:tcBorders/>
            <w:tcW w:w="1700" w:type="dxa"/>
          </w:tcPr>
          <w:p>
            <w:pPr>
              <w:pStyle w:val="731"/>
              <w:pBdr/>
              <w:spacing/>
              <w:ind/>
              <w:rPr/>
            </w:pPr>
            <w:r/>
            <w:r/>
          </w:p>
        </w:tc>
        <w:tc>
          <w:tcPr>
            <w:tcBorders/>
            <w:tcW w:w="1400" w:type="dxa"/>
          </w:tcPr>
          <w:p>
            <w:pPr>
              <w:pStyle w:val="731"/>
              <w:pBdr/>
              <w:spacing/>
              <w:ind/>
              <w:rPr/>
            </w:pPr>
            <w:r/>
            <w:r/>
          </w:p>
        </w:tc>
        <w:tc>
          <w:tcPr>
            <w:tcBorders/>
            <w:tcW w:w="1500" w:type="dxa"/>
          </w:tcPr>
          <w:p>
            <w:pPr>
              <w:pStyle w:val="731"/>
              <w:pBdr/>
              <w:spacing/>
              <w:ind/>
              <w:rPr/>
            </w:pPr>
            <w:r/>
            <w:r/>
          </w:p>
        </w:tc>
        <w:tc>
          <w:tcPr>
            <w:tcBorders/>
            <w:tcW w:w="2000" w:type="dxa"/>
          </w:tcPr>
          <w:p>
            <w:pPr>
              <w:pStyle w:val="731"/>
              <w:pBdr/>
              <w:spacing/>
              <w:ind/>
              <w:rPr/>
            </w:pPr>
            <w:r/>
            <w:r/>
          </w:p>
        </w:tc>
        <w:tc>
          <w:tcPr>
            <w:tcBorders/>
            <w:tcW w:w="1604" w:type="dxa"/>
          </w:tcPr>
          <w:p>
            <w:pPr>
              <w:pStyle w:val="731"/>
              <w:pBdr/>
              <w:spacing/>
              <w:ind/>
              <w:rPr/>
            </w:pPr>
            <w:r/>
            <w:r/>
          </w:p>
        </w:tc>
        <w:tc>
          <w:tcPr>
            <w:tcBorders/>
            <w:tcW w:w="1200" w:type="dxa"/>
          </w:tcPr>
          <w:p>
            <w:pPr>
              <w:pStyle w:val="731"/>
              <w:pBdr/>
              <w:spacing/>
              <w:ind/>
              <w:rPr/>
            </w:pPr>
            <w:r/>
            <w:r/>
          </w:p>
        </w:tc>
      </w:tr>
    </w:tbl>
    <w:p>
      <w:pPr>
        <w:pBdr/>
        <w:spacing w:after="60" w:before="0"/>
        <w:ind/>
        <w:rPr/>
      </w:pPr>
      <w:r/>
      <w:r/>
    </w:p>
    <w:sectPr>
      <w:headerReference w:type="default" r:id="rId9"/>
      <w:headerReference w:type="first" r:id="rId10"/>
      <w:footerReference w:type="default" r:id="rId11"/>
      <w:footerReference w:type="first" r:id="rId12"/>
      <w:footnotePr/>
      <w:endnotePr/>
      <w:type w:val="nextPage"/>
      <w:pgSz w:h="15840" w:orient="portrait" w:w="12240"/>
      <w:pgMar w:top="1418" w:right="1418" w:bottom="1276" w:left="1418" w:header="708"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8"/>
      <w:pBdr/>
      <w:tabs>
        <w:tab w:val="right" w:leader="none" w:pos="9404"/>
      </w:tabs>
      <w:spacing/>
      <w:ind/>
      <w:rPr/>
    </w:pPr>
    <w:r>
      <w:rPr>
        <w:color w:val="595959"/>
        <w:sz w:val="16"/>
        <w:szCs w:val="16"/>
      </w:rPr>
      <w:t xml:space="preserve">Liga Municipal de Fútbol Amateur de Morelia, A.C.</w:t>
    </w:r>
    <w:r>
      <w:rPr>
        <w:sz w:val="16"/>
        <w:szCs w:val="16"/>
      </w:rPr>
      <w:tab/>
    </w:r>
    <w:r>
      <w:rPr>
        <w:color w:val="595959"/>
        <w:sz w:val="16"/>
        <w:szCs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 xml:space="preserve">1</w:t>
    </w:r>
    <w:r>
      <w:rPr>
        <w:color w:val="595959"/>
        <w:sz w:val="16"/>
      </w:rPr>
      <w:fldChar w:fldCharType="end"/>
    </w:r>
    <w:r>
      <w:rPr>
        <w:color w:val="595959"/>
        <w:sz w:val="16"/>
        <w:szCs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 xml:space="preserve">1</w:t>
    </w:r>
    <w:r>
      <w:rPr>
        <w:color w:val="595959"/>
        <w:sz w:val="16"/>
      </w:rP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37"/>
      <w:pBdr>
        <w:bottom w:val="single" w:color="bfbfbf" w:sz="4" w:space="4"/>
      </w:pBdr>
      <w:spacing/>
      <w:ind/>
      <w:jc w:val="right"/>
      <w:rPr/>
    </w:pPr>
    <w:r>
      <w:rPr>
        <w:color w:val="595959"/>
        <w:sz w:val="16"/>
        <w:szCs w:val="16"/>
      </w:rPr>
      <w:t xml:space="preserve">ERS · Sistema de Gestión de la Liga Municipal de Futbol Amateur Morelia</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283" w:left="567"/>
      </w:pPr>
      <w:rPr>
        <w:rFonts w:hint="default" w:ascii="Arial" w:hAnsi="Arial"/>
      </w:rPr>
      <w:start w:val="1"/>
      <w:suff w:val="tab"/>
    </w:lvl>
    <w:lvl w:ilvl="1">
      <w:isLgl w:val="false"/>
      <w:lvlJc w:val="left"/>
      <w:lvlText w:val="–"/>
      <w:numFmt w:val="bullet"/>
      <w:pPr>
        <w:pBdr/>
        <w:spacing/>
        <w:ind w:hanging="283" w:left="1004"/>
      </w:pPr>
      <w:rPr>
        <w:rFonts w:hint="default" w:ascii="Arial" w:hAnsi="Arial"/>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lvl w:ilvl="0">
      <w:isLgl w:val="false"/>
      <w:lvlJc w:val="left"/>
      <w:lvlText w:val="•"/>
      <w:numFmt w:val="bullet"/>
      <w:pPr>
        <w:pBdr/>
        <w:spacing/>
        <w:ind w:hanging="170" w:left="198"/>
      </w:pPr>
      <w:rPr>
        <w:rFonts w:hint="default" w:ascii="Arial" w:hAnsi="Aria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1."/>
      <w:numFmt w:val="decimal"/>
      <w:pPr>
        <w:pBdr/>
        <w:spacing/>
        <w:ind w:hanging="283" w:left="567"/>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1"/>
        <w:szCs w:val="21"/>
        <w:lang w:val="es-MX" w:eastAsia="es-MX" w:bidi="ar-SA"/>
      </w:rPr>
    </w:rPrDefault>
    <w:pPrDefault>
      <w:pPr>
        <w:pBdr/>
        <w:spacing w:after="12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722"/>
    <w:next w:val="722"/>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22"/>
    <w:next w:val="722"/>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22"/>
    <w:next w:val="722"/>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2"/>
    <w:next w:val="722"/>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2"/>
    <w:next w:val="722"/>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3"/>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4"/>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5"/>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6"/>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2"/>
    <w:next w:val="722"/>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2"/>
    <w:next w:val="72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2"/>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character" w:styleId="177">
    <w:name w:val="Header Char"/>
    <w:basedOn w:val="148"/>
    <w:link w:val="737"/>
    <w:uiPriority w:val="99"/>
    <w:pPr>
      <w:pBdr/>
      <w:spacing/>
      <w:ind/>
    </w:pPr>
  </w:style>
  <w:style w:type="character" w:styleId="179">
    <w:name w:val="Footer Char"/>
    <w:basedOn w:val="148"/>
    <w:link w:val="738"/>
    <w:uiPriority w:val="99"/>
    <w:pPr>
      <w:pBdr/>
      <w:spacing/>
      <w:ind/>
    </w:pPr>
  </w:style>
  <w:style w:type="paragraph" w:styleId="181">
    <w:name w:val="footnote text"/>
    <w:basedOn w:val="722"/>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2"/>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92">
    <w:name w:val="toc 4"/>
    <w:basedOn w:val="722"/>
    <w:next w:val="722"/>
    <w:uiPriority w:val="39"/>
    <w:unhideWhenUsed/>
    <w:pPr>
      <w:pBdr/>
      <w:spacing w:after="100"/>
      <w:ind w:left="660"/>
    </w:pPr>
  </w:style>
  <w:style w:type="paragraph" w:styleId="193">
    <w:name w:val="toc 5"/>
    <w:basedOn w:val="722"/>
    <w:next w:val="722"/>
    <w:uiPriority w:val="39"/>
    <w:unhideWhenUsed/>
    <w:pPr>
      <w:pBdr/>
      <w:spacing w:after="100"/>
      <w:ind w:left="880"/>
    </w:pPr>
  </w:style>
  <w:style w:type="paragraph" w:styleId="194">
    <w:name w:val="toc 6"/>
    <w:basedOn w:val="722"/>
    <w:next w:val="722"/>
    <w:uiPriority w:val="39"/>
    <w:unhideWhenUsed/>
    <w:pPr>
      <w:pBdr/>
      <w:spacing w:after="100"/>
      <w:ind w:left="1100"/>
    </w:pPr>
  </w:style>
  <w:style w:type="paragraph" w:styleId="195">
    <w:name w:val="toc 7"/>
    <w:basedOn w:val="722"/>
    <w:next w:val="722"/>
    <w:uiPriority w:val="39"/>
    <w:unhideWhenUsed/>
    <w:pPr>
      <w:pBdr/>
      <w:spacing w:after="100"/>
      <w:ind w:left="1320"/>
    </w:pPr>
  </w:style>
  <w:style w:type="paragraph" w:styleId="196">
    <w:name w:val="toc 8"/>
    <w:basedOn w:val="722"/>
    <w:next w:val="722"/>
    <w:uiPriority w:val="39"/>
    <w:unhideWhenUsed/>
    <w:pPr>
      <w:pBdr/>
      <w:spacing w:after="100"/>
      <w:ind w:left="1540"/>
    </w:pPr>
  </w:style>
  <w:style w:type="paragraph" w:styleId="197">
    <w:name w:val="toc 9"/>
    <w:basedOn w:val="722"/>
    <w:next w:val="722"/>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2"/>
    <w:next w:val="722"/>
    <w:uiPriority w:val="99"/>
    <w:unhideWhenUsed/>
    <w:pPr>
      <w:pBdr/>
      <w:spacing w:after="0" w:afterAutospacing="0"/>
      <w:ind/>
    </w:pPr>
  </w:style>
  <w:style w:type="paragraph" w:styleId="722" w:default="1">
    <w:name w:val="Normal"/>
    <w:qFormat/>
    <w:pPr>
      <w:pBdr/>
      <w:spacing/>
      <w:ind/>
      <w:jc w:val="both"/>
    </w:pPr>
  </w:style>
  <w:style w:type="paragraph" w:styleId="723">
    <w:name w:val="Heading 1"/>
    <w:basedOn w:val="722"/>
    <w:next w:val="722"/>
    <w:qFormat/>
    <w:pPr>
      <w:keepNext w:val="true"/>
      <w:keepLines w:val="true"/>
      <w:pBdr/>
      <w:spacing w:after="200" w:before="360"/>
      <w:ind/>
      <w:jc w:val="left"/>
      <w:outlineLvl w:val="0"/>
    </w:pPr>
    <w:rPr>
      <w:b/>
      <w:bCs/>
      <w:color w:val="241a61"/>
      <w:sz w:val="34"/>
      <w:szCs w:val="34"/>
    </w:rPr>
  </w:style>
  <w:style w:type="paragraph" w:styleId="724">
    <w:name w:val="Heading 2"/>
    <w:basedOn w:val="722"/>
    <w:next w:val="722"/>
    <w:qFormat/>
    <w:pPr>
      <w:keepNext w:val="true"/>
      <w:keepLines w:val="true"/>
      <w:pBdr/>
      <w:spacing w:after="140" w:before="320"/>
      <w:ind/>
      <w:jc w:val="left"/>
      <w:outlineLvl w:val="1"/>
    </w:pPr>
    <w:rPr>
      <w:b/>
      <w:bCs/>
      <w:color w:val="241a61"/>
      <w:sz w:val="27"/>
      <w:szCs w:val="27"/>
    </w:rPr>
  </w:style>
  <w:style w:type="paragraph" w:styleId="725">
    <w:name w:val="Heading 3"/>
    <w:basedOn w:val="722"/>
    <w:next w:val="722"/>
    <w:qFormat/>
    <w:pPr>
      <w:keepNext w:val="true"/>
      <w:keepLines w:val="true"/>
      <w:pBdr/>
      <w:spacing w:after="100" w:before="240"/>
      <w:ind/>
      <w:jc w:val="left"/>
      <w:outlineLvl w:val="2"/>
    </w:pPr>
    <w:rPr>
      <w:b/>
      <w:bCs/>
      <w:color w:val="241a61"/>
      <w:sz w:val="23"/>
      <w:szCs w:val="23"/>
    </w:rPr>
  </w:style>
  <w:style w:type="paragraph" w:styleId="726">
    <w:name w:val="Heading 4"/>
    <w:basedOn w:val="722"/>
    <w:next w:val="722"/>
    <w:qFormat/>
    <w:pPr>
      <w:keepNext w:val="true"/>
      <w:keepLines w:val="true"/>
      <w:pBdr/>
      <w:spacing w:after="80" w:before="200"/>
      <w:ind/>
      <w:jc w:val="left"/>
      <w:outlineLvl w:val="3"/>
    </w:pPr>
    <w:rPr>
      <w:b/>
      <w:bCs/>
      <w:i/>
      <w:color w:val="333333"/>
      <w:sz w:val="21"/>
      <w:szCs w:val="21"/>
    </w:rPr>
  </w:style>
  <w:style w:type="paragraph" w:styleId="727">
    <w:name w:val="Title"/>
    <w:basedOn w:val="722"/>
    <w:qFormat/>
    <w:pPr>
      <w:pBdr/>
      <w:spacing w:after="160"/>
      <w:ind/>
      <w:jc w:val="left"/>
    </w:pPr>
    <w:rPr>
      <w:b/>
      <w:bCs/>
      <w:color w:val="241a61"/>
      <w:sz w:val="56"/>
      <w:szCs w:val="56"/>
    </w:rPr>
  </w:style>
  <w:style w:type="paragraph" w:styleId="728">
    <w:name w:val="Subtitle"/>
    <w:basedOn w:val="722"/>
    <w:qFormat/>
    <w:pPr>
      <w:pBdr/>
      <w:spacing w:after="120"/>
      <w:ind/>
      <w:jc w:val="left"/>
    </w:pPr>
    <w:rPr>
      <w:color w:val="333333"/>
      <w:sz w:val="32"/>
      <w:szCs w:val="32"/>
    </w:rPr>
  </w:style>
  <w:style w:type="paragraph" w:styleId="729">
    <w:name w:val="Encabezado sin numeración"/>
    <w:basedOn w:val="722"/>
    <w:next w:val="722"/>
    <w:pPr>
      <w:keepNext w:val="true"/>
      <w:pBdr/>
      <w:spacing w:after="200" w:before="0"/>
      <w:ind/>
      <w:jc w:val="left"/>
    </w:pPr>
    <w:rPr>
      <w:b/>
      <w:bCs/>
      <w:color w:val="241a61"/>
      <w:sz w:val="30"/>
      <w:szCs w:val="30"/>
    </w:rPr>
  </w:style>
  <w:style w:type="paragraph" w:styleId="730">
    <w:name w:val="List Paragraph"/>
    <w:basedOn w:val="722"/>
    <w:qFormat/>
    <w:pPr>
      <w:pBdr/>
      <w:spacing w:after="60"/>
      <w:ind w:left="720"/>
      <w:contextualSpacing w:val="true"/>
    </w:pPr>
  </w:style>
  <w:style w:type="paragraph" w:styleId="731">
    <w:name w:val="Texto de tabla"/>
    <w:basedOn w:val="722"/>
    <w:pPr>
      <w:pBdr/>
      <w:spacing w:after="20" w:before="0" w:line="240" w:lineRule="auto"/>
      <w:ind/>
      <w:jc w:val="left"/>
    </w:pPr>
    <w:rPr>
      <w:sz w:val="17"/>
      <w:szCs w:val="17"/>
    </w:rPr>
  </w:style>
  <w:style w:type="paragraph" w:styleId="732">
    <w:name w:val="Caption"/>
    <w:basedOn w:val="722"/>
    <w:next w:val="722"/>
    <w:qFormat/>
    <w:pPr>
      <w:pBdr/>
      <w:spacing w:after="160" w:before="60"/>
      <w:ind/>
      <w:jc w:val="center"/>
    </w:pPr>
    <w:rPr>
      <w:color w:val="404040"/>
      <w:sz w:val="18"/>
      <w:szCs w:val="18"/>
    </w:rPr>
  </w:style>
  <w:style w:type="paragraph" w:styleId="733">
    <w:name w:val="Nota"/>
    <w:basedOn w:val="722"/>
    <w:pPr>
      <w:pBdr/>
      <w:shd w:val="clear" w:color="auto" w:fill="f2f2f2"/>
      <w:spacing w:after="160" w:before="80" w:line="252" w:lineRule="auto"/>
      <w:ind w:right="113" w:left="113"/>
    </w:pPr>
    <w:rPr>
      <w:sz w:val="19"/>
      <w:szCs w:val="19"/>
    </w:rPr>
  </w:style>
  <w:style w:type="paragraph" w:styleId="734">
    <w:name w:val="toc 1"/>
    <w:basedOn w:val="722"/>
    <w:next w:val="722"/>
    <w:pPr>
      <w:pBdr/>
      <w:tabs>
        <w:tab w:val="right" w:leader="dot" w:pos="9404"/>
      </w:tabs>
      <w:spacing w:after="20" w:before="80" w:line="240" w:lineRule="auto"/>
      <w:ind/>
      <w:jc w:val="left"/>
    </w:pPr>
    <w:rPr>
      <w:b/>
      <w:bCs/>
    </w:rPr>
  </w:style>
  <w:style w:type="paragraph" w:styleId="735">
    <w:name w:val="toc 2"/>
    <w:basedOn w:val="722"/>
    <w:next w:val="722"/>
    <w:pPr>
      <w:pBdr/>
      <w:tabs>
        <w:tab w:val="right" w:leader="dot" w:pos="9404"/>
      </w:tabs>
      <w:spacing w:after="10" w:before="0" w:line="240" w:lineRule="auto"/>
      <w:ind w:left="284"/>
      <w:jc w:val="left"/>
    </w:pPr>
  </w:style>
  <w:style w:type="paragraph" w:styleId="736">
    <w:name w:val="toc 3"/>
    <w:basedOn w:val="722"/>
    <w:next w:val="722"/>
    <w:pPr>
      <w:pBdr/>
      <w:tabs>
        <w:tab w:val="right" w:leader="dot" w:pos="9404"/>
      </w:tabs>
      <w:spacing w:after="0" w:before="0" w:line="240" w:lineRule="auto"/>
      <w:ind w:left="567"/>
      <w:jc w:val="left"/>
    </w:pPr>
    <w:rPr>
      <w:sz w:val="19"/>
      <w:szCs w:val="19"/>
    </w:rPr>
  </w:style>
  <w:style w:type="paragraph" w:styleId="737">
    <w:name w:val="Header"/>
    <w:basedOn w:val="722"/>
    <w:pPr>
      <w:pBdr/>
      <w:spacing w:after="0"/>
      <w:ind/>
    </w:pPr>
  </w:style>
  <w:style w:type="paragraph" w:styleId="738">
    <w:name w:val="Footer"/>
    <w:basedOn w:val="722"/>
    <w:pPr>
      <w:pBdr/>
      <w:spacing w:after="0"/>
      <w:ind/>
    </w:pPr>
  </w:style>
  <w:style w:type="character" w:styleId="739">
    <w:name w:val="Hyperlink"/>
    <w:pPr>
      <w:pBdr/>
      <w:spacing/>
      <w:ind/>
    </w:pPr>
    <w:rPr>
      <w:color w:val="1f4e9a"/>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hyperlink" Target="https://www.iso.org/standard/72089.html" TargetMode="External"/><Relationship Id="rId14" Type="http://schemas.openxmlformats.org/officeDocument/2006/relationships/hyperlink" Target="https://www.diputados.gob.mx/LeyesBiblio/pdf/LFPDPPP.pdf" TargetMode="External"/><Relationship Id="rId15" Type="http://schemas.openxmlformats.org/officeDocument/2006/relationships/hyperlink" Target="https://imcufide.org/nosotros/" TargetMode="External"/><Relationship Id="rId16" Type="http://schemas.openxmlformats.org/officeDocument/2006/relationships/hyperlink" Target="https://www.contramuro.com/convocatoria-para-liga-municipal-de-futbol-morelia-2025-2026/" TargetMode="External"/><Relationship Id="rId17" Type="http://schemas.openxmlformats.org/officeDocument/2006/relationships/hyperlink" Target="https://www.contramuro.com/liga-municipal-futbol-morelia-regresa-2025-2026/" TargetMode="External"/><Relationship Id="rId18" Type="http://schemas.openxmlformats.org/officeDocument/2006/relationships/hyperlink" Target="https://www.contramuro.com/liga-municipal-futbol-amateur-morelia-2025-26/" TargetMode="External"/><Relationship Id="rId19" Type="http://schemas.openxmlformats.org/officeDocument/2006/relationships/hyperlink" Target="https://www.respuesta.com.mx/deportes-secciones/programacion-oficial-de-la-liga-municipal-de-fut-bol-amateur-morelia-a-c-2/"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 Sistema de Gestión de la Liga Municipal de Futbol Amateur Morelia</dc:title>
  <dc:language>es-MX</dc:language>
  <cp:revision>1</cp:revision>
  <dcterms:created xsi:type="dcterms:W3CDTF">2026-10-05T00:00:00Z</dcterms:created>
  <dcterms:modified xsi:type="dcterms:W3CDTF">2026-10-05T20:55:51Z</dcterms:modified>
</cp:coreProperties>
</file>