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Compliance and Governance Framework</w:t>
      </w:r>
    </w:p>
    <w:p>
      <w:r>
        <w:t>This Microsoft Word document validates OpenXML DOM traversal, heading hierarchy, and nested table extraction.</w:t>
      </w:r>
    </w:p>
    <w:p>
      <w:pPr>
        <w:pStyle w:val="Heading2"/>
      </w:pPr>
      <w:r>
        <w:t>1. Strategic Security Mandates</w:t>
      </w:r>
    </w:p>
    <w:p>
      <w:pPr>
        <w:pStyle w:val="ListBullet"/>
      </w:pPr>
      <w:r>
        <w:t>Mandatory encryption at rest using AES-256 standards.</w:t>
      </w:r>
    </w:p>
    <w:p>
      <w:pPr>
        <w:pStyle w:val="ListBullet"/>
      </w:pPr>
      <w:r>
        <w:t>Automated role-based access control with biometric verification.</w:t>
      </w:r>
    </w:p>
    <w:p>
      <w:pPr>
        <w:pStyle w:val="ListBullet"/>
      </w:pPr>
      <w:r>
        <w:t>Quarterly third-party vulnerability assessments.</w:t>
      </w:r>
    </w:p>
    <w:p>
      <w:pPr>
        <w:pStyle w:val="Heading2"/>
      </w:pPr>
      <w:r>
        <w:t>2. Audit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Control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Compliance Status</w:t>
            </w:r>
          </w:p>
        </w:tc>
      </w:tr>
      <w:tr>
        <w:tc>
          <w:tcPr>
            <w:tcW w:type="dxa" w:w="2160"/>
          </w:tcPr>
          <w:p>
            <w:r>
              <w:t>SEC-01</w:t>
            </w:r>
          </w:p>
        </w:tc>
        <w:tc>
          <w:tcPr>
            <w:tcW w:type="dxa" w:w="2160"/>
          </w:tcPr>
          <w:p>
            <w:r>
              <w:t>Multi-Factor Authentication</w:t>
            </w:r>
          </w:p>
        </w:tc>
        <w:tc>
          <w:tcPr>
            <w:tcW w:type="dxa" w:w="2160"/>
          </w:tcPr>
          <w:p>
            <w:r>
              <w:t>Daily / Continuous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</w:tr>
      <w:tr>
        <w:tc>
          <w:tcPr>
            <w:tcW w:type="dxa" w:w="2160"/>
          </w:tcPr>
          <w:p>
            <w:r>
              <w:t>SEC-02</w:t>
            </w:r>
          </w:p>
        </w:tc>
        <w:tc>
          <w:tcPr>
            <w:tcW w:type="dxa" w:w="2160"/>
          </w:tcPr>
          <w:p>
            <w:r>
              <w:t>Database Key Rotation</w:t>
            </w:r>
          </w:p>
        </w:tc>
        <w:tc>
          <w:tcPr>
            <w:tcW w:type="dxa" w:w="2160"/>
          </w:tcPr>
          <w:p>
            <w:r>
              <w:t>90 Days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</w:tr>
      <w:tr>
        <w:tc>
          <w:tcPr>
            <w:tcW w:type="dxa" w:w="2160"/>
          </w:tcPr>
          <w:p>
            <w:r>
              <w:t>SEC-03</w:t>
            </w:r>
          </w:p>
        </w:tc>
        <w:tc>
          <w:tcPr>
            <w:tcW w:type="dxa" w:w="2160"/>
          </w:tcPr>
          <w:p>
            <w:r>
              <w:t>Immutable Audit Logging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