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4"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1,110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Altmann, reviewing it,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Altmann, reviewing it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Altmann</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1,110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1,110</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Altmann's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Altmann's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Altmann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4"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39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(54%), used a</w:t>
      </w:r>
      <w:r>
        <w:t xml:space="preserve"> </w:t>
      </w:r>
      <w:r>
        <w:t xml:space="preserve">-t</w:t>
      </w:r>
      <w:r>
        <w:t xml:space="preserve"> </w:t>
      </w:r>
      <w:r>
        <w:t xml:space="preserve">coda</w:t>
      </w:r>
      <w:r>
        <w:t xml:space="preserve"> </w:t>
      </w:r>
      <w:r>
        <w:rPr>
          <w:bCs/>
          <w:b/>
        </w:rPr>
        <w:t xml:space="preserve">16</w:t>
      </w:r>
      <w:r>
        <w:t xml:space="preserve"> </w:t>
      </w:r>
      <w:r>
        <w:t xml:space="preserve">times (41%):</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1,110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Start w:id="43" w:name="Xb626db11d1faa38f7835a2118b6e3cd898a0040"/>
    <w:p>
      <w:pPr>
        <w:pStyle w:val="Heading3"/>
      </w:pPr>
      <w:r>
        <w:t xml:space="preserve">8.6  A control on what a correct reading costs</w:t>
      </w:r>
    </w:p>
    <w:p>
      <w:pPr>
        <w:pStyle w:val="FirstParagraph"/>
      </w:pPr>
      <w:r>
        <w:t xml:space="preserve">The five measurements above are cell rates: how often one source sound was written one way. A</w:t>
      </w:r>
      <w:r>
        <w:t xml:space="preserve"> </w:t>
      </w:r>
      <w:r>
        <w:t xml:space="preserve">reading of a whole name is the product of six or nine such cells, so it falls with every extra</w:t>
      </w:r>
      <w:r>
        <w:t xml:space="preserve"> </w:t>
      </w:r>
      <w:r>
        <w:t xml:space="preserve">character and is a different quantity from any of them. The two must not be compared, and a</w:t>
      </w:r>
      <w:r>
        <w:t xml:space="preserve"> </w:t>
      </w:r>
      <w:r>
        <w:t xml:space="preserve">reader needs a scale for the second kind of figure.</w:t>
      </w:r>
    </w:p>
    <w:p>
      <w:pPr>
        <w:pStyle w:val="BodyText"/>
      </w:pPr>
      <w:r>
        <w:t xml:space="preserve">One item in the record supplies it.</w:t>
      </w:r>
      <w:r>
        <w:t xml:space="preserve"> </w:t>
      </w:r>
      <w:r>
        <w:t xml:space="preserve">撑犁</w:t>
      </w:r>
      <w:r>
        <w:t xml:space="preserve"> </w:t>
      </w:r>
      <w:r>
        <w:t xml:space="preserve">is the only two-character item</w:t>
      </w:r>
      <w:r>
        <w:t xml:space="preserve"> </w:t>
      </w:r>
      <w:r>
        <w:t xml:space="preserve">whose meaning the Chinese sources state outright, 匈奴謂天為撐犁, "the Xiongnu call heaven</w:t>
      </w:r>
      <w:r>
        <w:t xml:space="preserve"> </w:t>
      </w:r>
      <w:r>
        <w:rPr>
          <w:iCs/>
          <w:i/>
        </w:rPr>
        <w:t xml:space="preserve">chengli</w:t>
      </w:r>
      <w:r>
        <w:t xml:space="preserve">", and its identification with the Turkic word for heaven is not in dispute. Its</w:t>
      </w:r>
      <w:r>
        <w:t xml:space="preserve"> </w:t>
      </w:r>
      <w:r>
        <w:t xml:space="preserve">correct reading therefore measures the machinery rather than the reading. Priced on the rates in</w:t>
      </w:r>
      <w:r>
        <w:t xml:space="preserve"> </w:t>
      </w:r>
      <w:r>
        <w:t xml:space="preserve">this section it costs</w:t>
      </w:r>
      <w:r>
        <w:t xml:space="preserve"> </w:t>
      </w:r>
      <w:r>
        <w:rPr>
          <w:bCs/>
          <w:b/>
        </w:rPr>
        <w:t xml:space="preserve">1 in 152</w:t>
      </w:r>
      <w:r>
        <w:t xml:space="preserve">, about 8% per character. That is the scale: a</w:t>
      </w:r>
      <w:r>
        <w:t xml:space="preserve"> </w:t>
      </w:r>
      <w:r>
        <w:t xml:space="preserve">proposal costing 1 in 24 or 1 in 44 is not thereby expensive, and one costing 1 in 200,000 is.</w:t>
      </w:r>
    </w:p>
    <w:p>
      <w:pPr>
        <w:pStyle w:val="BodyText"/>
      </w:pPr>
      <w:r>
        <w:rPr>
          <w:bCs/>
          <w:b/>
        </w:rPr>
        <w:t xml:space="preserve">The same control carries a second result, on the vowel.</w:t>
      </w:r>
      <w:r>
        <w:t xml:space="preserve"> </w:t>
      </w:r>
      <w:r>
        <w:t xml:space="preserve">撑</w:t>
      </w:r>
      <w:r>
        <w:t xml:space="preserve"> </w:t>
      </w:r>
      <w:r>
        <w:t xml:space="preserve">is an open-vowel character, and an open vowel writes a source</w:t>
      </w:r>
      <w:r>
        <w:t xml:space="preserve"> </w:t>
      </w:r>
      <w:r>
        <w:rPr>
          <w:iCs/>
          <w:i/>
        </w:rPr>
        <w:t xml:space="preserve">a</w:t>
      </w:r>
      <w:r>
        <w:t xml:space="preserve"> </w:t>
      </w:r>
      <w:r>
        <w:t xml:space="preserve">1,127 times in 1,634 and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On this</w:t>
      </w:r>
      <w:r>
        <w:t xml:space="preserve"> </w:t>
      </w:r>
      <w:r>
        <w:t xml:space="preserve">spelling the Xiongnu-period form was</w:t>
      </w:r>
      <w:r>
        <w:t xml:space="preserve"> </w:t>
      </w:r>
      <w:r>
        <w:rPr>
          <w:iCs/>
          <w:i/>
        </w:rPr>
        <w:t xml:space="preserve">taŋrı</w:t>
      </w:r>
      <w:r>
        <w:t xml:space="preserve">, at 1 in 152, rather than Kāşgarî's</w:t>
      </w:r>
      <w:r>
        <w:t xml:space="preserve"> </w:t>
      </w:r>
      <w:r>
        <w:rPr>
          <w:iCs/>
          <w:i/>
        </w:rPr>
        <w:t xml:space="preserve">teŋri</w:t>
      </w:r>
      <w:r>
        <w:t xml:space="preserve">, at 1 in 1,579, and the whole factor of ten between them is that one cell. Modern</w:t>
      </w:r>
      <w:r>
        <w:t xml:space="preserve"> </w:t>
      </w:r>
      <w:r>
        <w:t xml:space="preserve">Turkish</w:t>
      </w:r>
      <w:r>
        <w:t xml:space="preserve"> </w:t>
      </w:r>
      <w:r>
        <w:rPr>
          <w:iCs/>
          <w:i/>
        </w:rPr>
        <w:t xml:space="preserve">Tanrı</w:t>
      </w:r>
      <w:r>
        <w:t xml:space="preserve"> </w:t>
      </w:r>
      <w:r>
        <w:t xml:space="preserve">keeps the</w:t>
      </w:r>
      <w:r>
        <w:t xml:space="preserve"> </w:t>
      </w:r>
      <w:r>
        <w:rPr>
          <w:iCs/>
          <w:i/>
        </w:rPr>
        <w:t xml:space="preserve">a</w:t>
      </w:r>
      <w:r>
        <w:t xml:space="preserve">. We record this as what the transcription measures and</w:t>
      </w:r>
      <w:r>
        <w:t xml:space="preserve"> </w:t>
      </w:r>
      <w:r>
        <w:t xml:space="preserve">not as a new claim about the word: the vocalism of this item has its own literature, and Georg</w:t>
      </w:r>
      <w:r>
        <w:t xml:space="preserve"> </w:t>
      </w:r>
      <w:r>
        <w:t xml:space="preserve">2001, which argues the word is a Yeniseian borrowing, is among the works we have not obtained.</w:t>
      </w:r>
    </w:p>
    <w:bookmarkEnd w:id="43"/>
    <w:bookmarkEnd w:id="44"/>
    <w:bookmarkStart w:id="47"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numPr>
          <w:ilvl w:val="0"/>
          <w:numId w:val="1001"/>
        </w:numPr>
        <w:pStyle w:val="Compact"/>
      </w:pPr>
      <w:r>
        <w:rPr>
          <w:bCs/>
          <w:b/>
        </w:rPr>
        <w:t xml:space="preserve">The unwritten vowel is the condition the onset requires.</w:t>
      </w:r>
      <w:r>
        <w:t xml:space="preserve"> </w:t>
      </w:r>
      <w:r>
        <w:t xml:space="preserve">若</w:t>
      </w:r>
      <w:r>
        <w:t xml:space="preserve"> </w:t>
      </w:r>
      <w:r>
        <w:t xml:space="preserve">is</w:t>
      </w:r>
      <w:r>
        <w:t xml:space="preserve"> </w:t>
      </w:r>
      <w:r>
        <w:t xml:space="preserve">ńɑk</w:t>
      </w:r>
      <w:r>
        <w:t xml:space="preserve">, and its onset is a palatal</w:t>
      </w:r>
      <w:r>
        <w:t xml:space="preserve"> </w:t>
      </w:r>
      <w:r>
        <w:t xml:space="preserve">nasal. Turkic has no palatal nasal: its nasals are the dental</w:t>
      </w:r>
      <w:r>
        <w:t xml:space="preserve"> </w:t>
      </w:r>
      <w:r>
        <w:t xml:space="preserve">n</w:t>
      </w:r>
      <w:r>
        <w:t xml:space="preserve"> </w:t>
      </w:r>
      <w:r>
        <w:t xml:space="preserve">and the velar</w:t>
      </w:r>
      <w:r>
        <w:t xml:space="preserve"> </w:t>
      </w:r>
      <w:r>
        <w:t xml:space="preserve">ŋ</w:t>
      </w:r>
      <w:r>
        <w:t xml:space="preserve">, the sound written</w:t>
      </w:r>
      <w:r>
        <w:t xml:space="preserve"> </w:t>
      </w:r>
      <w:r>
        <w:rPr>
          <w:iCs/>
          <w:i/>
        </w:rPr>
        <w:t xml:space="preserve">ñ</w:t>
      </w:r>
      <w:r>
        <w:t xml:space="preserve"> </w:t>
      </w:r>
      <w:r>
        <w:t xml:space="preserve">or</w:t>
      </w:r>
      <w:r>
        <w:t xml:space="preserve"> </w:t>
      </w:r>
      <w:r>
        <w:rPr>
          <w:iCs/>
          <w:i/>
        </w:rPr>
        <w:t xml:space="preserve">ng</w:t>
      </w:r>
      <w:r>
        <w:t xml:space="preserve">.</w:t>
      </w:r>
      <w:r>
        <w:t xml:space="preserve"> </w:t>
      </w:r>
      <w:r>
        <w:t xml:space="preserve">The corpus shows the character class taking palatal sources and nothing else: a source</w:t>
      </w:r>
      <w:r>
        <w:t xml:space="preserve"> </w:t>
      </w:r>
      <w:r>
        <w:t xml:space="preserve">ñ</w:t>
      </w:r>
      <w:r>
        <w:t xml:space="preserve"> </w:t>
      </w:r>
      <w:r>
        <w:t xml:space="preserve">6 of 8, a source</w:t>
      </w:r>
      <w:r>
        <w:t xml:space="preserve"> </w:t>
      </w:r>
      <w:r>
        <w:t xml:space="preserve">j</w:t>
      </w:r>
      <w:r>
        <w:t xml:space="preserve"> </w:t>
      </w:r>
      <w:r>
        <w:t xml:space="preserve">4 of 31, a source</w:t>
      </w:r>
      <w:r>
        <w:t xml:space="preserve"> </w:t>
      </w:r>
      <w:r>
        <w:t xml:space="preserve">y</w:t>
      </w:r>
      <w:r>
        <w:t xml:space="preserve"> </w:t>
      </w:r>
      <w:r>
        <w:t xml:space="preserve">2 of 98, against a velar nasal 0 of 7 and a dental</w:t>
      </w:r>
      <w:r>
        <w:t xml:space="preserve"> </w:t>
      </w:r>
      <w:r>
        <w:t xml:space="preserve">n</w:t>
      </w:r>
      <w:r>
        <w:t xml:space="preserve"> </w:t>
      </w:r>
      <w:r>
        <w:t xml:space="preserve">0 of 126. A Turkic</w:t>
      </w:r>
      <w:r>
        <w:t xml:space="preserve"> </w:t>
      </w:r>
      <w:r>
        <w:rPr>
          <w:iCs/>
          <w:i/>
        </w:rPr>
        <w:t xml:space="preserve">n</w:t>
      </w:r>
      <w:r>
        <w:t xml:space="preserve"> </w:t>
      </w:r>
      <w:r>
        <w:t xml:space="preserve">can therefore be heard as this</w:t>
      </w:r>
      <w:r>
        <w:t xml:space="preserve"> </w:t>
      </w:r>
      <w:r>
        <w:t xml:space="preserve">onset only where something fronts it, and a preceding front vowel is such an environment.</w:t>
      </w:r>
      <w:r>
        <w:t xml:space="preserve"> </w:t>
      </w:r>
      <w:r>
        <w:t xml:space="preserve">The</w:t>
      </w:r>
      <w:r>
        <w:t xml:space="preserve"> </w:t>
      </w:r>
      <w:r>
        <w:rPr>
          <w:iCs/>
          <w:i/>
        </w:rPr>
        <w:t xml:space="preserve">i-</w:t>
      </w:r>
      <w:r>
        <w:t xml:space="preserve"> </w:t>
      </w:r>
      <w:r>
        <w:t xml:space="preserve">that the spelling does not write is what makes the palatal onset</w:t>
      </w:r>
      <w:r>
        <w:t xml:space="preserve"> </w:t>
      </w:r>
      <w:r>
        <w:t xml:space="preserve">intelligible, so the gap in the previous item is one the reading predicts rather than one</w:t>
      </w:r>
      <w:r>
        <w:t xml:space="preserve"> </w:t>
      </w:r>
      <w:r>
        <w:t xml:space="preserve">it must explain away.</w:t>
      </w:r>
      <w:r>
        <w:t xml:space="preserve"> </w:t>
      </w:r>
      <w:r>
        <w:rPr>
          <w:bCs/>
          <w:b/>
        </w:rPr>
        <w:t xml:space="preserve">This also decides which attested form is the relevant one.</w:t>
      </w:r>
      <w:r>
        <w:t xml:space="preserve"> </w:t>
      </w:r>
      <w:r>
        <w:t xml:space="preserve">Old Turkic</w:t>
      </w:r>
      <w:r>
        <w:t xml:space="preserve"> </w:t>
      </w:r>
      <w:r>
        <w:rPr>
          <w:iCs/>
          <w:i/>
        </w:rPr>
        <w:t xml:space="preserve">ınaq</w:t>
      </w:r>
      <w:r>
        <w:t xml:space="preserve"> </w:t>
      </w:r>
      <w:r>
        <w:t xml:space="preserve">is back-vocalic and its</w:t>
      </w:r>
      <w:r>
        <w:t xml:space="preserve"> </w:t>
      </w:r>
      <w:r>
        <w:rPr>
          <w:iCs/>
          <w:i/>
        </w:rPr>
        <w:t xml:space="preserve">ı-</w:t>
      </w:r>
      <w:r>
        <w:t xml:space="preserve"> </w:t>
      </w:r>
      <w:r>
        <w:t xml:space="preserve">would not front a following</w:t>
      </w:r>
      <w:r>
        <w:t xml:space="preserve"> </w:t>
      </w:r>
      <w:r>
        <w:t xml:space="preserve">nasal; the Codex Cumanicus</w:t>
      </w:r>
      <w:r>
        <w:t xml:space="preserve"> </w:t>
      </w:r>
      <w:r>
        <w:rPr>
          <w:iCs/>
          <w:i/>
        </w:rPr>
        <w:t xml:space="preserve">Inak</w:t>
      </w:r>
      <w:r>
        <w:t xml:space="preserve"> </w:t>
      </w:r>
      <w:r>
        <w:t xml:space="preserve">is front, and it is the form the sense was taken</w:t>
      </w:r>
      <w:r>
        <w:t xml:space="preserve"> </w:t>
      </w:r>
      <w:r>
        <w:t xml:space="preserve">from in the first item.</w:t>
      </w:r>
      <w:r>
        <w:t xml:space="preserve"> </w:t>
      </w:r>
      <w:r>
        <w:rPr>
          <w:bCs/>
          <w:b/>
        </w:rPr>
        <w:t xml:space="preserve">The limit.</w:t>
      </w:r>
      <w:r>
        <w:t xml:space="preserve"> </w:t>
      </w:r>
      <w:r>
        <w:t xml:space="preserve">The 0 of 126 is not evidence against a</w:t>
      </w:r>
      <w:r>
        <w:t xml:space="preserve"> </w:t>
      </w:r>
      <w:r>
        <w:t xml:space="preserve">Turkic</w:t>
      </w:r>
      <w:r>
        <w:t xml:space="preserve"> </w:t>
      </w:r>
      <w:r>
        <w:rPr>
          <w:iCs/>
          <w:i/>
        </w:rPr>
        <w:t xml:space="preserve">n</w:t>
      </w:r>
      <w:r>
        <w:t xml:space="preserve"> </w:t>
      </w:r>
      <w:r>
        <w:t xml:space="preserve">here. Sanskrit distinguishes a dental</w:t>
      </w:r>
      <w:r>
        <w:t xml:space="preserve"> </w:t>
      </w:r>
      <w:r>
        <w:t xml:space="preserve">n</w:t>
      </w:r>
      <w:r>
        <w:t xml:space="preserve"> </w:t>
      </w:r>
      <w:r>
        <w:t xml:space="preserve">from a</w:t>
      </w:r>
      <w:r>
        <w:t xml:space="preserve"> </w:t>
      </w:r>
      <w:r>
        <w:t xml:space="preserve">palatal</w:t>
      </w:r>
      <w:r>
        <w:t xml:space="preserve"> </w:t>
      </w:r>
      <w:r>
        <w:t xml:space="preserve">ñ</w:t>
      </w:r>
      <w:r>
        <w:t xml:space="preserve"> </w:t>
      </w:r>
      <w:r>
        <w:t xml:space="preserve">and always had a plain</w:t>
      </w:r>
      <w:r>
        <w:t xml:space="preserve"> </w:t>
      </w:r>
      <w:r>
        <w:t xml:space="preserve">n-</w:t>
      </w:r>
      <w:r>
        <w:t xml:space="preserve"> </w:t>
      </w:r>
      <w:r>
        <w:t xml:space="preserve">character available, so it never had occasion to send an</w:t>
      </w:r>
      <w:r>
        <w:t xml:space="preserve"> </w:t>
      </w:r>
      <w:r>
        <w:t xml:space="preserve">n</w:t>
      </w:r>
      <w:r>
        <w:t xml:space="preserve"> </w:t>
      </w:r>
      <w:r>
        <w:t xml:space="preserve">to a</w:t>
      </w:r>
      <w:r>
        <w:t xml:space="preserve"> </w:t>
      </w:r>
      <w:r>
        <w:t xml:space="preserve">palatal one. The zero records an absence of need, not a prohibition, and the corpus cannot</w:t>
      </w:r>
      <w:r>
        <w:t xml:space="preserve"> </w:t>
      </w:r>
      <w:r>
        <w:t xml:space="preserve">price this correspondence in either direction.</w:t>
      </w:r>
    </w:p>
    <w:p>
      <w:pPr>
        <w:pStyle w:val="FirstParagraph"/>
      </w:pPr>
      <w:r>
        <w:t xml:space="preserve">Four of five hold, with the one gap named and then accounted for.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5"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rPr>
          <w:bCs/>
          <w:b/>
        </w:rPr>
        <w:t xml:space="preserve">The manuscript carries both orders of the word.</w:t>
      </w:r>
      <w:r>
        <w:t xml:space="preserve"> </w:t>
      </w: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kırŋa:k</w:t>
      </w:r>
      <w:r>
        <w:t xml:space="preserve"> </w:t>
      </w:r>
      <w:r>
        <w:t xml:space="preserve">and is corrected in the margin to</w:t>
      </w:r>
      <w:r>
        <w:t xml:space="preserve"> </w:t>
      </w:r>
      <w:r>
        <w:rPr>
          <w:iCs/>
          <w:i/>
        </w:rPr>
        <w:t xml:space="preserve">kıŋra:k</w:t>
      </w:r>
      <w:r>
        <w:t xml:space="preserve">, so the form used here rests on a marginal emendation rather than on the text as</w:t>
      </w:r>
      <w:r>
        <w:t xml:space="preserve"> </w:t>
      </w:r>
      <w:r>
        <w:t xml:space="preserve">written. Dankoff and Kelly print the text form and gloss it "a broad knife (</w:t>
      </w:r>
      <w:r>
        <w:rPr>
          <w:iCs/>
          <w:i/>
        </w:rPr>
        <w:t xml:space="preserve">ṣafra</w:t>
      </w:r>
      <w:r>
        <w:t xml:space="preserve">) like a</w:t>
      </w:r>
      <w:r>
        <w:t xml:space="preserve"> </w:t>
      </w:r>
      <w:r>
        <w:t xml:space="preserve">cleaver (</w:t>
      </w:r>
      <w:r>
        <w:rPr>
          <w:iCs/>
          <w:i/>
        </w:rPr>
        <w:t xml:space="preserve">sāṭūr</w:t>
      </w:r>
      <w:r>
        <w:t xml:space="preserve">) used to cut meat or dough", which is the same object Clauson describes.</w:t>
      </w:r>
      <w:r>
        <w:t xml:space="preserve"> </w:t>
      </w:r>
      <w:r>
        <w:rPr>
          <w:bCs/>
          <w:b/>
        </w:rPr>
        <w:t xml:space="preserve">The two editions therefore agree on what the word means and differ only on the order of the</w:t>
      </w:r>
      <w:r>
        <w:rPr>
          <w:bCs/>
          <w:b/>
        </w:rPr>
        <w:t xml:space="preserve"> </w:t>
      </w:r>
      <w:r>
        <w:rPr>
          <w:bCs/>
          <w:b/>
        </w:rPr>
        <w:t xml:space="preserve">r</w:t>
      </w:r>
      <w:r>
        <w:rPr>
          <w:bCs/>
          <w:b/>
        </w:rPr>
        <w:t xml:space="preserve"> </w:t>
      </w:r>
      <w:r>
        <w:rPr>
          <w:bCs/>
          <w:b/>
        </w:rPr>
        <w:t xml:space="preserve">and the</w:t>
      </w:r>
      <w:r>
        <w:rPr>
          <w:bCs/>
          <w:b/>
        </w:rPr>
        <w:t xml:space="preserve"> </w:t>
      </w:r>
      <w:r>
        <w:rPr>
          <w:bCs/>
          <w:b/>
        </w:rPr>
        <w:t xml:space="preserve">ŋ</w:t>
      </w:r>
      <w:r>
        <w:rPr>
          <w:bCs/>
          <w:b/>
        </w:rPr>
        <w:t xml:space="preserve">.</w:t>
      </w:r>
      <w:r>
        <w:t xml:space="preserve"> </w:t>
      </w:r>
      <w:r>
        <w:t xml:space="preserve">That is not a disagreement</w:t>
      </w:r>
      <w:r>
        <w:t xml:space="preserve"> </w:t>
      </w:r>
      <w:r>
        <w:t xml:space="preserve">about which word is on the page. It is the ordinary Turkic transposition of a liquid across a</w:t>
      </w:r>
      <w:r>
        <w:t xml:space="preserve"> </w:t>
      </w:r>
      <w:r>
        <w:t xml:space="preserve">following consonant, the alternation that gives standard</w:t>
      </w:r>
      <w:r>
        <w:t xml:space="preserve"> </w:t>
      </w:r>
      <w:r>
        <w:rPr>
          <w:iCs/>
          <w:i/>
        </w:rPr>
        <w:t xml:space="preserve">toprak</w:t>
      </w:r>
      <w:r>
        <w:t xml:space="preserve"> </w:t>
      </w:r>
      <w:r>
        <w:t xml:space="preserve">beside dialect</w:t>
      </w:r>
      <w:r>
        <w:t xml:space="preserve"> </w:t>
      </w:r>
      <w:r>
        <w:rPr>
          <w:iCs/>
          <w:i/>
        </w:rPr>
        <w:t xml:space="preserve">torpak</w:t>
      </w:r>
      <w:r>
        <w:t xml:space="preserve">,</w:t>
      </w:r>
      <w:r>
        <w:t xml:space="preserve"> </w:t>
      </w:r>
      <w:r>
        <w:rPr>
          <w:iCs/>
          <w:i/>
        </w:rPr>
        <w:t xml:space="preserve">yaprak</w:t>
      </w:r>
      <w:r>
        <w:t xml:space="preserve"> </w:t>
      </w:r>
      <w:r>
        <w:t xml:space="preserve">beside</w:t>
      </w:r>
      <w:r>
        <w:t xml:space="preserve"> </w:t>
      </w:r>
      <w:r>
        <w:rPr>
          <w:iCs/>
          <w:i/>
        </w:rPr>
        <w:t xml:space="preserve">yarpak</w:t>
      </w:r>
      <w:r>
        <w:t xml:space="preserve">,</w:t>
      </w:r>
      <w:r>
        <w:t xml:space="preserve"> </w:t>
      </w:r>
      <w:r>
        <w:rPr>
          <w:iCs/>
          <w:i/>
        </w:rPr>
        <w:t xml:space="preserve">kirpik</w:t>
      </w:r>
      <w:r>
        <w:t xml:space="preserve"> </w:t>
      </w:r>
      <w:r>
        <w:t xml:space="preserve">beside</w:t>
      </w:r>
      <w:r>
        <w:t xml:space="preserve"> </w:t>
      </w:r>
      <w:r>
        <w:rPr>
          <w:iCs/>
          <w:i/>
        </w:rPr>
        <w:t xml:space="preserve">kiprik</w:t>
      </w:r>
      <w:r>
        <w:t xml:space="preserve"> </w:t>
      </w:r>
      <w:r>
        <w:t xml:space="preserve">and</w:t>
      </w:r>
      <w:r>
        <w:t xml:space="preserve"> </w:t>
      </w:r>
      <w:r>
        <w:rPr>
          <w:iCs/>
          <w:i/>
        </w:rPr>
        <w:t xml:space="preserve">köprü</w:t>
      </w:r>
      <w:r>
        <w:t xml:space="preserve"> </w:t>
      </w:r>
      <w:r>
        <w:t xml:space="preserve">beside</w:t>
      </w:r>
      <w:r>
        <w:t xml:space="preserve"> </w:t>
      </w:r>
      <w:r>
        <w:rPr>
          <w:iCs/>
          <w:i/>
        </w:rPr>
        <w:t xml:space="preserve">körpü</w:t>
      </w:r>
      <w:r>
        <w:t xml:space="preserve">, and that carried Old Turkic</w:t>
      </w:r>
      <w:r>
        <w:t xml:space="preserve"> </w:t>
      </w:r>
      <w:r>
        <w:rPr>
          <w:iCs/>
          <w:i/>
        </w:rPr>
        <w:t xml:space="preserve">kaşru</w:t>
      </w:r>
      <w:r>
        <w:t xml:space="preserve"> </w:t>
      </w:r>
      <w:r>
        <w:t xml:space="preserve">into modern</w:t>
      </w:r>
      <w:r>
        <w:t xml:space="preserve"> </w:t>
      </w:r>
      <w:r>
        <w:rPr>
          <w:iCs/>
          <w:i/>
        </w:rPr>
        <w:t xml:space="preserve">karşı</w:t>
      </w:r>
      <w:r>
        <w:t xml:space="preserve">.</w:t>
      </w:r>
      <w:r>
        <w:t xml:space="preserve"> </w:t>
      </w:r>
      <w:r>
        <w:rPr>
          <w:iCs/>
          <w:i/>
        </w:rPr>
        <w:t xml:space="preserve">Kırŋak</w:t>
      </w:r>
      <w:r>
        <w:t xml:space="preserve"> </w:t>
      </w:r>
      <w:r>
        <w:t xml:space="preserve">and</w:t>
      </w:r>
      <w:r>
        <w:t xml:space="preserve"> </w:t>
      </w:r>
      <w:r>
        <w:rPr>
          <w:iCs/>
          <w:i/>
        </w:rPr>
        <w:t xml:space="preserve">kıŋrak</w:t>
      </w:r>
      <w:r>
        <w:t xml:space="preserve"> </w:t>
      </w:r>
      <w:r>
        <w:t xml:space="preserve">are two orders of one word.</w:t>
      </w:r>
    </w:p>
    <w:p>
      <w:pPr>
        <w:pStyle w:val="BodyText"/>
      </w:pPr>
      <w:r>
        <w:rPr>
          <w:bCs/>
          <w:b/>
        </w:rPr>
        <w:t xml:space="preserve">What that costs and what it does not.</w:t>
      </w:r>
      <w:r>
        <w:t xml:space="preserve"> </w:t>
      </w:r>
      <w:r>
        <w:t xml:space="preserve">It costs the transcription its vote. Of the</w:t>
      </w:r>
      <w:r>
        <w:t xml:space="preserve"> </w:t>
      </w:r>
      <w:r>
        <w:t xml:space="preserve">two orders only</w:t>
      </w:r>
      <w:r>
        <w:t xml:space="preserve"> </w:t>
      </w:r>
      <w:r>
        <w:rPr>
          <w:iCs/>
          <w:i/>
        </w:rPr>
        <w:t xml:space="preserve">kıŋrak</w:t>
      </w:r>
      <w:r>
        <w:t xml:space="preserve"> </w:t>
      </w:r>
      <w:r>
        <w:t xml:space="preserve">can be written with these characters: 徑 carries a velar onset and a</w:t>
      </w:r>
      <w:r>
        <w:t xml:space="preserve"> </w:t>
      </w:r>
      <w:r>
        <w:t xml:space="preserve">written</w:t>
      </w:r>
      <w:r>
        <w:t xml:space="preserve"> </w:t>
      </w:r>
      <w:r>
        <w:t xml:space="preserve">-ŋ</w:t>
      </w:r>
      <w:r>
        <w:t xml:space="preserve"> </w:t>
      </w:r>
      <w:r>
        <w:t xml:space="preserve">coda and 路 a Chinese</w:t>
      </w:r>
      <w:r>
        <w:t xml:space="preserve"> </w:t>
      </w:r>
      <w:r>
        <w:t xml:space="preserve">l-</w:t>
      </w:r>
      <w:r>
        <w:t xml:space="preserve">, so the</w:t>
      </w:r>
      <w:r>
        <w:t xml:space="preserve"> </w:t>
      </w:r>
      <w:r>
        <w:t xml:space="preserve">spelling prices</w:t>
      </w:r>
      <w:r>
        <w:t xml:space="preserve"> </w:t>
      </w:r>
      <w:r>
        <w:rPr>
          <w:iCs/>
          <w:i/>
        </w:rPr>
        <w:t xml:space="preserve">kıŋrak</w:t>
      </w:r>
      <w:r>
        <w:t xml:space="preserve"> </w:t>
      </w:r>
      <w:r>
        <w:t xml:space="preserve">at 1 in 7, two characters for two syllables in order, and</w:t>
      </w:r>
      <w:r>
        <w:t xml:space="preserve"> </w:t>
      </w:r>
      <w:r>
        <w:rPr>
          <w:iCs/>
          <w:i/>
        </w:rPr>
        <w:t xml:space="preserve">kırŋak</w:t>
      </w:r>
      <w:r>
        <w:t xml:space="preserve"> </w:t>
      </w:r>
      <w:r>
        <w:t xml:space="preserve">at 1 in 123, the latter only by compressing two syllables onto 徑 and leaving 路</w:t>
      </w:r>
      <w:r>
        <w:t xml:space="preserve"> </w:t>
      </w:r>
      <w:r>
        <w:t xml:space="preserve">idle, since no Chinese</w:t>
      </w:r>
      <w:r>
        <w:t xml:space="preserve"> </w:t>
      </w:r>
      <w:r>
        <w:t xml:space="preserve">l-</w:t>
      </w:r>
      <w:r>
        <w:t xml:space="preserve"> </w:t>
      </w:r>
      <w:r>
        <w:t xml:space="preserve">character in the corpus writes a source velar</w:t>
      </w:r>
      <w:r>
        <w:t xml:space="preserve"> </w:t>
      </w:r>
      <w:r>
        <w:t xml:space="preserve">nasal. We record that</w:t>
      </w:r>
      <w:r>
        <w:t xml:space="preserve"> </w:t>
      </w:r>
      <w:r>
        <w:t xml:space="preserve">and do not lean on it: the reading is what is under test here, so the Chinese side cannot also be</w:t>
      </w:r>
      <w:r>
        <w:t xml:space="preserve"> </w:t>
      </w:r>
      <w:r>
        <w:t xml:space="preserve">the evidence that picks the Turkic form. What it does not cost is the identification, because the</w:t>
      </w:r>
      <w:r>
        <w:t xml:space="preserve"> </w:t>
      </w:r>
      <w:r>
        <w:t xml:space="preserve">order is settled inside Turkic without reference to Chinese. The margin corrects toward</w:t>
      </w:r>
      <w:r>
        <w:t xml:space="preserve"> </w:t>
      </w:r>
      <w:r>
        <w:rPr>
          <w:iCs/>
          <w:i/>
        </w:rPr>
        <w:t xml:space="preserve">kıŋrak</w:t>
      </w:r>
      <w:r>
        <w:t xml:space="preserve">; Clauson derives that order from</w:t>
      </w:r>
      <w:r>
        <w:t xml:space="preserve"> </w:t>
      </w:r>
      <w:r>
        <w:rPr>
          <w:iCs/>
          <w:i/>
        </w:rPr>
        <w:t xml:space="preserve">kıŋır</w:t>
      </w:r>
      <w:r>
        <w:t xml:space="preserve"> </w:t>
      </w:r>
      <w:r>
        <w:t xml:space="preserve">"crooked", where the text order has</w:t>
      </w:r>
      <w:r>
        <w:t xml:space="preserve"> </w:t>
      </w:r>
      <w:r>
        <w:t xml:space="preserve">no etymology at all; and every modern survival keeps it, Teleut</w:t>
      </w:r>
      <w:r>
        <w:t xml:space="preserve"> </w:t>
      </w:r>
      <w:r>
        <w:rPr>
          <w:iCs/>
          <w:i/>
        </w:rPr>
        <w:t xml:space="preserve">kıŋırak</w:t>
      </w:r>
      <w:r>
        <w:t xml:space="preserve"> </w:t>
      </w:r>
      <w:r>
        <w:t xml:space="preserve">and Kirghiz</w:t>
      </w:r>
      <w:r>
        <w:t xml:space="preserve"> </w:t>
      </w:r>
      <w:r>
        <w:rPr>
          <w:iCs/>
          <w:i/>
        </w:rPr>
        <w:t xml:space="preserve">kıŋarak / kıŋırak</w:t>
      </w:r>
      <w:r>
        <w:t xml:space="preserve">. Hirth, who made the comparison in 1908, took the word from living</w:t>
      </w:r>
      <w:r>
        <w:t xml:space="preserve"> </w:t>
      </w:r>
      <w:r>
        <w:t xml:space="preserve">Turki dialects and not from this manuscript.</w:t>
      </w:r>
    </w:p>
    <w:p>
      <w:pPr>
        <w:pStyle w:val="BodyText"/>
      </w:pPr>
      <w:r>
        <w:rPr>
          <w:bCs/>
          <w:b/>
        </w:rPr>
        <w:t xml:space="preserve">What remains against the reading.</w:t>
      </w:r>
      <w:r>
        <w:t xml:space="preserve"> </w:t>
      </w:r>
      <w:r>
        <w:rPr>
          <w:iCs/>
          <w:i/>
        </w:rPr>
        <w:t xml:space="preserve">Kıñır</w:t>
      </w:r>
      <w:r>
        <w:t xml:space="preserve"> </w:t>
      </w:r>
      <w:r>
        <w:t xml:space="preserve">fits the transcription with</w:t>
      </w:r>
      <w:r>
        <w:t xml:space="preserve"> </w:t>
      </w:r>
      <w:r>
        <w:t xml:space="preserve">nothing supplied, at three consonants, and it means "crooked" rather than "blade";</w:t>
      </w:r>
      <w:r>
        <w:t xml:space="preserve"> </w:t>
      </w:r>
      <w:r>
        <w:rPr>
          <w:iCs/>
          <w:i/>
        </w:rPr>
        <w:t xml:space="preserve">kıñrak</w:t>
      </w:r>
      <w:r>
        <w:t xml:space="preserve">,</w:t>
      </w:r>
      <w:r>
        <w:t xml:space="preserve"> </w:t>
      </w:r>
      <w:r>
        <w:t xml:space="preserve">which means a knife, needs the unwritten final</w:t>
      </w:r>
      <w:r>
        <w:t xml:space="preserve"> </w:t>
      </w:r>
      <w:r>
        <w:t xml:space="preserve">-k</w:t>
      </w:r>
      <w:r>
        <w:t xml:space="preserve"> </w:t>
      </w:r>
      <w:r>
        <w:t xml:space="preserve">that Table 7 licenses at</w:t>
      </w:r>
      <w:r>
        <w:t xml:space="preserve"> </w:t>
      </w:r>
      <w:r>
        <w:t xml:space="preserve">9 of 23, 39%. The form that fits best does not mean "blade", and the form that means "blade" does</w:t>
      </w:r>
      <w:r>
        <w:t xml:space="preserve"> </w:t>
      </w:r>
      <w:r>
        <w:t xml:space="preserve">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5"/>
    <w:bookmarkStart w:id="46"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1,110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94 of 111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111</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111</w:t>
            </w:r>
          </w:p>
        </w:tc>
        <w:tc>
          <w:tcPr/>
          <w:p>
            <w:pPr>
              <w:pStyle w:val="Compact"/>
              <w:jc w:val="left"/>
            </w:pPr>
            <w:r>
              <w:rPr>
                <w:bCs/>
                <w:b/>
              </w:rPr>
              <w:t xml:space="preserve">fits</w:t>
            </w:r>
            <w:r>
              <w:br/>
            </w:r>
            <w:r>
              <w:t xml:space="preserve">11 of 23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6"/>
    <w:bookmarkEnd w:id="47"/>
    <w:bookmarkStart w:id="48"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8"/>
    <w:bookmarkStart w:id="49"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9"/>
    <w:bookmarkStart w:id="50"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50"/>
    <w:bookmarkStart w:id="53"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1"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51"/>
    <w:bookmarkStart w:id="52"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2"/>
    <w:bookmarkEnd w:id="53"/>
    <w:bookmarkStart w:id="83" w:name="b-references"/>
    <w:p>
      <w:pPr>
        <w:pStyle w:val="Heading2"/>
      </w:pPr>
      <w:r>
        <w:t xml:space="preserve">B</w:t>
      </w:r>
      <w:r>
        <w:t xml:space="preserve"> </w:t>
      </w:r>
      <w:r>
        <w:t xml:space="preserve">References</w:t>
      </w:r>
    </w:p>
    <w:p>
      <w:pPr>
        <w:numPr>
          <w:ilvl w:val="0"/>
          <w:numId w:val="1003"/>
        </w:numPr>
        <w:pStyle w:val="Compact"/>
      </w:pPr>
      <w:bookmarkStart w:id="54"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4"/>
    </w:p>
    <w:p>
      <w:pPr>
        <w:numPr>
          <w:ilvl w:val="0"/>
          <w:numId w:val="1003"/>
        </w:numPr>
        <w:pStyle w:val="Compact"/>
      </w:pPr>
      <w:bookmarkStart w:id="55" w:name="r2"/>
      <w:r>
        <w:t xml:space="preserve">Baxter, W. H. &amp; Sagart, L. (2014).</w:t>
      </w:r>
      <w:r>
        <w:t xml:space="preserve"> </w:t>
      </w:r>
      <w:r>
        <w:rPr>
          <w:iCs/>
          <w:i/>
        </w:rPr>
        <w:t xml:space="preserve">Old Chinese: A New Reconstruction</w:t>
      </w:r>
      <w:r>
        <w:t xml:space="preserve">. Oxford University Press.</w:t>
      </w:r>
      <w:bookmarkEnd w:id="55"/>
    </w:p>
    <w:p>
      <w:pPr>
        <w:numPr>
          <w:ilvl w:val="0"/>
          <w:numId w:val="1003"/>
        </w:numPr>
        <w:pStyle w:val="Compact"/>
      </w:pPr>
      <w:bookmarkStart w:id="56"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6"/>
    </w:p>
    <w:p>
      <w:pPr>
        <w:numPr>
          <w:ilvl w:val="0"/>
          <w:numId w:val="1003"/>
        </w:numPr>
        <w:pStyle w:val="Compact"/>
      </w:pPr>
      <w:bookmarkStart w:id="57" w:name="r4"/>
      <w:r>
        <w:t xml:space="preserve">Clauson, G. (1972).</w:t>
      </w:r>
      <w:r>
        <w:t xml:space="preserve"> </w:t>
      </w:r>
      <w:r>
        <w:rPr>
          <w:iCs/>
          <w:i/>
        </w:rPr>
        <w:t xml:space="preserve">An Etymological Dictionary of Pre-Thirteenth-Century Turkish</w:t>
      </w:r>
      <w:r>
        <w:t xml:space="preserve">. Oxford: Clarendon Press.</w:t>
      </w:r>
      <w:bookmarkEnd w:id="57"/>
    </w:p>
    <w:p>
      <w:pPr>
        <w:numPr>
          <w:ilvl w:val="0"/>
          <w:numId w:val="1003"/>
        </w:numPr>
        <w:pStyle w:val="Compact"/>
      </w:pPr>
      <w:bookmarkStart w:id="58"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8"/>
    </w:p>
    <w:p>
      <w:pPr>
        <w:numPr>
          <w:ilvl w:val="0"/>
          <w:numId w:val="1003"/>
        </w:numPr>
        <w:pStyle w:val="Compact"/>
      </w:pPr>
      <w:bookmarkStart w:id="59" w:name="r6"/>
      <w:r>
        <w:t xml:space="preserve">Doerfer, G. (1973). Zur Sprache der Hunnen.</w:t>
      </w:r>
      <w:r>
        <w:t xml:space="preserve"> </w:t>
      </w:r>
      <w:r>
        <w:rPr>
          <w:iCs/>
          <w:i/>
        </w:rPr>
        <w:t xml:space="preserve">Central Asiatic Journal</w:t>
      </w:r>
      <w:r>
        <w:t xml:space="preserve"> </w:t>
      </w:r>
      <w:r>
        <w:t xml:space="preserve">17: 1–50.</w:t>
      </w:r>
      <w:bookmarkEnd w:id="59"/>
    </w:p>
    <w:p>
      <w:pPr>
        <w:numPr>
          <w:ilvl w:val="0"/>
          <w:numId w:val="1003"/>
        </w:numPr>
        <w:pStyle w:val="Compact"/>
      </w:pPr>
      <w:bookmarkStart w:id="60" w:name="r7"/>
      <w:r>
        <w:t xml:space="preserve">Erdal, M. (2004).</w:t>
      </w:r>
      <w:r>
        <w:t xml:space="preserve"> </w:t>
      </w:r>
      <w:r>
        <w:rPr>
          <w:iCs/>
          <w:i/>
        </w:rPr>
        <w:t xml:space="preserve">A Grammar of Old Turkic</w:t>
      </w:r>
      <w:r>
        <w:t xml:space="preserve">. Leiden: Brill.</w:t>
      </w:r>
      <w:bookmarkEnd w:id="60"/>
    </w:p>
    <w:p>
      <w:pPr>
        <w:numPr>
          <w:ilvl w:val="0"/>
          <w:numId w:val="1003"/>
        </w:numPr>
        <w:pStyle w:val="Compact"/>
      </w:pPr>
      <w:bookmarkStart w:id="61"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1"/>
    </w:p>
    <w:p>
      <w:pPr>
        <w:numPr>
          <w:ilvl w:val="0"/>
          <w:numId w:val="1003"/>
        </w:numPr>
        <w:pStyle w:val="Compact"/>
      </w:pPr>
      <w:bookmarkStart w:id="62"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2"/>
    </w:p>
    <w:p>
      <w:pPr>
        <w:numPr>
          <w:ilvl w:val="0"/>
          <w:numId w:val="1003"/>
        </w:numPr>
        <w:pStyle w:val="Compact"/>
      </w:pPr>
      <w:bookmarkStart w:id="63" w:name="r10"/>
      <w:r>
        <w:t xml:space="preserve">Hú Zhènhuá &amp; Huáng Rùnhuá (1984). 《高昌舘杂字：明代汉文回鹘文分类词汇》. Běijīng: Mínzú chūbǎnshè.</w:t>
      </w:r>
      <w:bookmarkEnd w:id="63"/>
    </w:p>
    <w:p>
      <w:pPr>
        <w:numPr>
          <w:ilvl w:val="0"/>
          <w:numId w:val="1003"/>
        </w:numPr>
        <w:pStyle w:val="Compact"/>
      </w:pPr>
      <w:bookmarkStart w:id="64"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4"/>
    </w:p>
    <w:p>
      <w:pPr>
        <w:numPr>
          <w:ilvl w:val="0"/>
          <w:numId w:val="1003"/>
        </w:numPr>
        <w:pStyle w:val="Compact"/>
      </w:pPr>
      <w:bookmarkStart w:id="65"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 English translation used here: Dankoff, R. &amp; Kelly, J., ed. and tr. (1982–85),</w:t>
      </w:r>
      <w:r>
        <w:t xml:space="preserve"> </w:t>
      </w:r>
      <w:r>
        <w:rPr>
          <w:iCs/>
          <w:i/>
        </w:rPr>
        <w:t xml:space="preserve">Maḥmūd al-Kāšγarī: Compendium of the Turkic Dialects (Dīwān Luγāt at-Turk)</w:t>
      </w:r>
      <w:r>
        <w:t xml:space="preserve">, 3 vols., Sources of Oriental Languages and Literatures 7, Harvard University Printing Office.</w:t>
      </w:r>
      <w:bookmarkEnd w:id="65"/>
    </w:p>
    <w:p>
      <w:pPr>
        <w:numPr>
          <w:ilvl w:val="0"/>
          <w:numId w:val="1003"/>
        </w:numPr>
        <w:pStyle w:val="Compact"/>
      </w:pPr>
      <w:bookmarkStart w:id="66"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6"/>
    </w:p>
    <w:p>
      <w:pPr>
        <w:numPr>
          <w:ilvl w:val="0"/>
          <w:numId w:val="1003"/>
        </w:numPr>
        <w:pStyle w:val="Compact"/>
      </w:pPr>
      <w:bookmarkStart w:id="67"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7"/>
    </w:p>
    <w:p>
      <w:pPr>
        <w:numPr>
          <w:ilvl w:val="0"/>
          <w:numId w:val="1003"/>
        </w:numPr>
        <w:pStyle w:val="Compact"/>
      </w:pPr>
      <w:bookmarkStart w:id="68" w:name="r15"/>
      <w:r>
        <w:t xml:space="preserve">Altmann, G. (1974). Lautgesetz und Zufall [review of Doerfer 1973].</w:t>
      </w:r>
      <w:r>
        <w:t xml:space="preserve"> </w:t>
      </w:r>
      <w:r>
        <w:rPr>
          <w:iCs/>
          <w:i/>
        </w:rPr>
        <w:t xml:space="preserve">Anthropos</w:t>
      </w:r>
      <w:r>
        <w:t xml:space="preserve"> </w:t>
      </w:r>
      <w:r>
        <w:t xml:space="preserve">69: 263–271. JSTOR 40458521.</w:t>
      </w:r>
      <w:bookmarkEnd w:id="68"/>
    </w:p>
    <w:p>
      <w:pPr>
        <w:numPr>
          <w:ilvl w:val="0"/>
          <w:numId w:val="1003"/>
        </w:numPr>
        <w:pStyle w:val="Compact"/>
      </w:pPr>
      <w:bookmarkStart w:id="69"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9"/>
    </w:p>
    <w:p>
      <w:pPr>
        <w:numPr>
          <w:ilvl w:val="0"/>
          <w:numId w:val="1003"/>
        </w:numPr>
        <w:pStyle w:val="Compact"/>
      </w:pPr>
      <w:bookmarkStart w:id="70"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70"/>
    </w:p>
    <w:p>
      <w:pPr>
        <w:numPr>
          <w:ilvl w:val="0"/>
          <w:numId w:val="1003"/>
        </w:numPr>
        <w:pStyle w:val="Compact"/>
      </w:pPr>
      <w:bookmarkStart w:id="71"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1"/>
    </w:p>
    <w:p>
      <w:pPr>
        <w:numPr>
          <w:ilvl w:val="0"/>
          <w:numId w:val="1003"/>
        </w:numPr>
        <w:pStyle w:val="Compact"/>
      </w:pPr>
      <w:bookmarkStart w:id="72" w:name="r19"/>
      <w:r>
        <w:t xml:space="preserve">Pulleyblank, E. G. (1962). The consonantal system of Old Chinese.</w:t>
      </w:r>
      <w:r>
        <w:t xml:space="preserve"> </w:t>
      </w:r>
      <w:r>
        <w:rPr>
          <w:iCs/>
          <w:i/>
        </w:rPr>
        <w:t xml:space="preserve">Asia Major</w:t>
      </w:r>
      <w:r>
        <w:t xml:space="preserve"> </w:t>
      </w:r>
      <w:r>
        <w:t xml:space="preserve">9: 58–144, 206–265.</w:t>
      </w:r>
      <w:bookmarkEnd w:id="72"/>
    </w:p>
    <w:p>
      <w:pPr>
        <w:numPr>
          <w:ilvl w:val="0"/>
          <w:numId w:val="1003"/>
        </w:numPr>
        <w:pStyle w:val="Compact"/>
      </w:pPr>
      <w:bookmarkStart w:id="73"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3"/>
    </w:p>
    <w:p>
      <w:pPr>
        <w:numPr>
          <w:ilvl w:val="0"/>
          <w:numId w:val="1003"/>
        </w:numPr>
        <w:pStyle w:val="Compact"/>
      </w:pPr>
      <w:bookmarkStart w:id="74"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4"/>
    </w:p>
    <w:p>
      <w:pPr>
        <w:numPr>
          <w:ilvl w:val="0"/>
          <w:numId w:val="1003"/>
        </w:numPr>
        <w:pStyle w:val="Compact"/>
      </w:pPr>
      <w:bookmarkStart w:id="75"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5"/>
    </w:p>
    <w:p>
      <w:pPr>
        <w:numPr>
          <w:ilvl w:val="0"/>
          <w:numId w:val="1003"/>
        </w:numPr>
        <w:pStyle w:val="Compact"/>
      </w:pPr>
      <w:bookmarkStart w:id="76" w:name="r23"/>
      <w:r>
        <w:t xml:space="preserve">Speer, R. (2022).</w:t>
      </w:r>
      <w:r>
        <w:t xml:space="preserve"> </w:t>
      </w:r>
      <w:r>
        <w:rPr>
          <w:iCs/>
          <w:i/>
        </w:rPr>
        <w:t xml:space="preserve">wordfreq</w:t>
      </w:r>
      <w:r>
        <w:t xml:space="preserve">: word frequency data for 40+ languages, v3 [software]. Zenodo, doi:10.5281/zenodo.7199437</w:t>
      </w:r>
      <w:bookmarkEnd w:id="76"/>
    </w:p>
    <w:p>
      <w:pPr>
        <w:numPr>
          <w:ilvl w:val="0"/>
          <w:numId w:val="1003"/>
        </w:numPr>
        <w:pStyle w:val="Compact"/>
      </w:pPr>
      <w:bookmarkStart w:id="77"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7"/>
    </w:p>
    <w:p>
      <w:pPr>
        <w:numPr>
          <w:ilvl w:val="0"/>
          <w:numId w:val="1003"/>
        </w:numPr>
        <w:pStyle w:val="Compact"/>
      </w:pPr>
      <w:bookmarkStart w:id="78"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8"/>
    </w:p>
    <w:p>
      <w:pPr>
        <w:numPr>
          <w:ilvl w:val="0"/>
          <w:numId w:val="1003"/>
        </w:numPr>
        <w:pStyle w:val="Compact"/>
      </w:pPr>
      <w:bookmarkStart w:id="79"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9"/>
    </w:p>
    <w:p>
      <w:pPr>
        <w:numPr>
          <w:ilvl w:val="0"/>
          <w:numId w:val="1003"/>
        </w:numPr>
        <w:pStyle w:val="Compact"/>
      </w:pPr>
      <w:bookmarkStart w:id="80" w:name="r27"/>
      <w:r>
        <w:t xml:space="preserve">Vovin, A. (2000). Did the Xiong-nu speak a Yeniseian language?</w:t>
      </w:r>
      <w:r>
        <w:t xml:space="preserve"> </w:t>
      </w:r>
      <w:r>
        <w:rPr>
          <w:iCs/>
          <w:i/>
        </w:rPr>
        <w:t xml:space="preserve">Central Asiatic Journal</w:t>
      </w:r>
      <w:r>
        <w:t xml:space="preserve"> </w:t>
      </w:r>
      <w:r>
        <w:t xml:space="preserve">44(1): 87–104.</w:t>
      </w:r>
      <w:bookmarkEnd w:id="80"/>
    </w:p>
    <w:p>
      <w:pPr>
        <w:numPr>
          <w:ilvl w:val="0"/>
          <w:numId w:val="1003"/>
        </w:numPr>
        <w:pStyle w:val="Compact"/>
      </w:pPr>
      <w:bookmarkStart w:id="81"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1"/>
    </w:p>
    <w:p>
      <w:pPr>
        <w:numPr>
          <w:ilvl w:val="0"/>
          <w:numId w:val="1003"/>
        </w:numPr>
        <w:pStyle w:val="Compact"/>
      </w:pPr>
      <w:bookmarkStart w:id="82" w:name="r29"/>
      <w:r>
        <w:t xml:space="preserve">Wittek, A. et al. (2020). ASJP Database v19. Zenodo, doi:10.5281/zenodo.3843469</w:t>
      </w:r>
      <w:bookmarkEnd w:id="82"/>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2026-09-06T05:32:04Z</dcterms:created>
  <dcterms:modified xsi:type="dcterms:W3CDTF">2026-09-06T05:32:04Z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