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5"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1,110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Altmann, reviewing it,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Altmann, reviewing it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Altmann</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1,110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1,110</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Altmann's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Altmann's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Altmann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5"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39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(54%), used a</w:t>
      </w:r>
      <w:r>
        <w:t xml:space="preserve"> </w:t>
      </w:r>
      <w:r>
        <w:t xml:space="preserve">-t</w:t>
      </w:r>
      <w:r>
        <w:t xml:space="preserve"> </w:t>
      </w:r>
      <w:r>
        <w:t xml:space="preserve">coda</w:t>
      </w:r>
      <w:r>
        <w:t xml:space="preserve"> </w:t>
      </w:r>
      <w:r>
        <w:rPr>
          <w:bCs/>
          <w:b/>
        </w:rPr>
        <w:t xml:space="preserve">16</w:t>
      </w:r>
      <w:r>
        <w:t xml:space="preserve"> </w:t>
      </w:r>
      <w:r>
        <w:t xml:space="preserve">times (41%):</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1,110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Start w:id="43" w:name="Xb626db11d1faa38f7835a2118b6e3cd898a0040"/>
    <w:p>
      <w:pPr>
        <w:pStyle w:val="Heading3"/>
      </w:pPr>
      <w:r>
        <w:t xml:space="preserve">8.6  A control on what a correct reading costs</w:t>
      </w:r>
    </w:p>
    <w:p>
      <w:pPr>
        <w:pStyle w:val="FirstParagraph"/>
      </w:pPr>
      <w:r>
        <w:rPr>
          <w:bCs/>
          <w:b/>
        </w:rPr>
        <w:t xml:space="preserve">What a price is.</w:t>
      </w:r>
      <w:r>
        <w:t xml:space="preserve"> </w:t>
      </w:r>
      <w:r>
        <w:t xml:space="preserve">Every measurement in this section is a conditional rate:</w:t>
      </w:r>
      <w:r>
        <w:t xml:space="preserve"> </w:t>
      </w:r>
      <w:r>
        <w:t xml:space="preserve">given that the source had a particular sound, how often a scribe wrote it with a character of a</w:t>
      </w:r>
      <w:r>
        <w:t xml:space="preserve"> </w:t>
      </w:r>
      <w:r>
        <w:t xml:space="preserve">particular class. A reading of a whole name multiplies one such rate for each sound it asks the</w:t>
      </w:r>
      <w:r>
        <w:t xml:space="preserve"> </w:t>
      </w:r>
      <w:r>
        <w:t xml:space="preserve">scribe to have written, and we call the product that reading's</w:t>
      </w:r>
      <w:r>
        <w:t xml:space="preserve"> </w:t>
      </w:r>
      <w:r>
        <w:rPr>
          <w:bCs/>
          <w:b/>
        </w:rPr>
        <w:t xml:space="preserve">price</w:t>
      </w:r>
      <w:r>
        <w:t xml:space="preserve">: the</w:t>
      </w:r>
      <w:r>
        <w:t xml:space="preserve"> </w:t>
      </w:r>
      <w:r>
        <w:t xml:space="preserve">likelihood that a scribe writing that word would have produced the spelling the record actually</w:t>
      </w:r>
      <w:r>
        <w:t xml:space="preserve"> </w:t>
      </w:r>
      <w:r>
        <w:t xml:space="preserve">carries. We quote it as 1 in</w:t>
      </w:r>
      <w:r>
        <w:t xml:space="preserve"> </w:t>
      </w:r>
      <w:r>
        <w:rPr>
          <w:iCs/>
          <w:i/>
        </w:rPr>
        <w:t xml:space="preserve">N</w:t>
      </w:r>
      <w:r>
        <w:t xml:space="preserve">, so the larger</w:t>
      </w:r>
      <w:r>
        <w:t xml:space="preserve"> </w:t>
      </w:r>
      <w:r>
        <w:rPr>
          <w:iCs/>
          <w:i/>
        </w:rPr>
        <w:t xml:space="preserve">N</w:t>
      </w:r>
      <w:r>
        <w:t xml:space="preserve"> </w:t>
      </w:r>
      <w:r>
        <w:t xml:space="preserve">is the less likely the reading,</w:t>
      </w:r>
      <w:r>
        <w:t xml:space="preserve"> </w:t>
      </w:r>
      <w:r>
        <w:t xml:space="preserve">and a reading that needs a step the scribes rarely took</w:t>
      </w:r>
      <w:r>
        <w:t xml:space="preserve"> </w:t>
      </w:r>
      <w:r>
        <w:rPr>
          <w:bCs/>
          <w:b/>
        </w:rPr>
        <w:t xml:space="preserve">costs</w:t>
      </w:r>
      <w:r>
        <w:t xml:space="preserve"> </w:t>
      </w:r>
      <w:r>
        <w:t xml:space="preserve">more than one that</w:t>
      </w:r>
      <w:r>
        <w:t xml:space="preserve"> </w:t>
      </w:r>
      <w:r>
        <w:t xml:space="preserve">needs only steps they took often. It is a likelihood of the spelling given the reading and not a</w:t>
      </w:r>
      <w:r>
        <w:t xml:space="preserve"> </w:t>
      </w:r>
      <w:r>
        <w:t xml:space="preserve">probability that the reading is right: a costly reading is one the spelling argues against, while</w:t>
      </w:r>
      <w:r>
        <w:t xml:space="preserve"> </w:t>
      </w:r>
      <w:r>
        <w:t xml:space="preserve">a low-cost reading is only one the spelling does not argue against.</w:t>
      </w:r>
    </w:p>
    <w:p>
      <w:pPr>
        <w:pStyle w:val="BodyText"/>
      </w:pPr>
      <w:r>
        <w:t xml:space="preserve">The five measurements above are cell rates: how often one source sound was written one way. A</w:t>
      </w:r>
      <w:r>
        <w:t xml:space="preserve"> </w:t>
      </w:r>
      <w:r>
        <w:t xml:space="preserve">reading of a whole name is the product of six or nine such cells, so it falls with every extra</w:t>
      </w:r>
      <w:r>
        <w:t xml:space="preserve"> </w:t>
      </w:r>
      <w:r>
        <w:t xml:space="preserve">character and is a different quantity from any of them. The two must not be compared, and a</w:t>
      </w:r>
      <w:r>
        <w:t xml:space="preserve"> </w:t>
      </w:r>
      <w:r>
        <w:t xml:space="preserve">reader needs a scale for the second kind of figure. Long names are costly by construction, which</w:t>
      </w:r>
      <w:r>
        <w:t xml:space="preserve"> </w:t>
      </w:r>
      <w:r>
        <w:t xml:space="preserve">is why S1 gives a per-character figure beside each price.</w:t>
      </w:r>
    </w:p>
    <w:p>
      <w:pPr>
        <w:pStyle w:val="BodyText"/>
      </w:pPr>
      <w:r>
        <w:t xml:space="preserve">One item in the record supplies it.</w:t>
      </w:r>
      <w:r>
        <w:t xml:space="preserve"> </w:t>
      </w:r>
      <w:r>
        <w:t xml:space="preserve">撑犁</w:t>
      </w:r>
      <w:r>
        <w:t xml:space="preserve"> </w:t>
      </w:r>
      <w:r>
        <w:t xml:space="preserve">is the only two-character item</w:t>
      </w:r>
      <w:r>
        <w:t xml:space="preserve"> </w:t>
      </w:r>
      <w:r>
        <w:t xml:space="preserve">whose meaning the Chinese sources state outright, 匈奴謂天為撐犁, "the Xiongnu call heaven</w:t>
      </w:r>
      <w:r>
        <w:t xml:space="preserve"> </w:t>
      </w:r>
      <w:r>
        <w:rPr>
          <w:iCs/>
          <w:i/>
        </w:rPr>
        <w:t xml:space="preserve">chengli</w:t>
      </w:r>
      <w:r>
        <w:t xml:space="preserve">", and its identification with the Turkic word for heaven is not in dispute. Its</w:t>
      </w:r>
      <w:r>
        <w:t xml:space="preserve"> </w:t>
      </w:r>
      <w:r>
        <w:t xml:space="preserve">correct reading therefore measures the machinery rather than the reading. Priced on the rates in</w:t>
      </w:r>
      <w:r>
        <w:t xml:space="preserve"> </w:t>
      </w:r>
      <w:r>
        <w:t xml:space="preserve">this section it costs</w:t>
      </w:r>
      <w:r>
        <w:t xml:space="preserve"> </w:t>
      </w:r>
      <w:r>
        <w:rPr>
          <w:bCs/>
          <w:b/>
        </w:rPr>
        <w:t xml:space="preserve">1 in 152</w:t>
      </w:r>
      <w:r>
        <w:t xml:space="preserve">, about 8% per character. That is the scale: a</w:t>
      </w:r>
      <w:r>
        <w:t xml:space="preserve"> </w:t>
      </w:r>
      <w:r>
        <w:t xml:space="preserve">proposal costing 1 in 24 or 1 in 44 is not thereby expensive, and one costing 1 in 200,000 is.</w:t>
      </w:r>
    </w:p>
    <w:p>
      <w:pPr>
        <w:pStyle w:val="BodyText"/>
      </w:pPr>
      <w:r>
        <w:rPr>
          <w:bCs/>
          <w:b/>
        </w:rPr>
        <w:t xml:space="preserve">The same control tests the machinery a second time, on the vowel.</w:t>
      </w:r>
      <w:r>
        <w:t xml:space="preserve"> </w:t>
      </w:r>
      <w:r>
        <w:t xml:space="preserve">The word is</w:t>
      </w:r>
      <w:r>
        <w:t xml:space="preserve"> </w:t>
      </w:r>
      <w:r>
        <w:t xml:space="preserve">reconstructed in two ablaut variants, front</w:t>
      </w:r>
      <w:r>
        <w:t xml:space="preserve"> </w:t>
      </w:r>
      <w:r>
        <w:rPr>
          <w:iCs/>
          <w:i/>
        </w:rPr>
        <w:t xml:space="preserve">tengri</w:t>
      </w:r>
      <w:r>
        <w:t xml:space="preserve"> </w:t>
      </w:r>
      <w:r>
        <w:t xml:space="preserve">and back</w:t>
      </w:r>
      <w:r>
        <w:t xml:space="preserve"> </w:t>
      </w:r>
      <w:r>
        <w:rPr>
          <w:iCs/>
          <w:i/>
        </w:rPr>
        <w:t xml:space="preserve">tangrı</w:t>
      </w:r>
      <w:r>
        <w:t xml:space="preserve">. Both are</w:t>
      </w:r>
      <w:r>
        <w:t xml:space="preserve"> </w:t>
      </w:r>
      <w:r>
        <w:t xml:space="preserve">continued: the front one in Old Turkic, where harmony settles it,</w:t>
      </w:r>
      <w:r>
        <w:t xml:space="preserve"> </w:t>
      </w:r>
      <w:r>
        <w:rPr>
          <w:iCs/>
          <w:i/>
        </w:rPr>
        <w:t xml:space="preserve">tengriken</w:t>
      </w:r>
      <w:r>
        <w:t xml:space="preserve"> </w:t>
      </w:r>
      <w:r>
        <w:t xml:space="preserve">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taking</w:t>
      </w:r>
      <w:r>
        <w:t xml:space="preserve"> </w:t>
      </w:r>
      <w:r>
        <w:rPr>
          <w:iCs/>
          <w:i/>
        </w:rPr>
        <w:t xml:space="preserve">-dem</w:t>
      </w:r>
      <w:r>
        <w:t xml:space="preserve">, and in Kāşgarî; the back one in Oghuz</w:t>
      </w:r>
      <w:r>
        <w:t xml:space="preserve"> </w:t>
      </w:r>
      <w:r>
        <w:t xml:space="preserve">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w:t>
      </w:r>
      <w:r>
        <w:t xml:space="preserve"> </w:t>
      </w:r>
      <w:r>
        <w:t xml:space="preserve">撑</w:t>
      </w:r>
      <w:r>
        <w:t xml:space="preserve"> </w:t>
      </w:r>
      <w:r>
        <w:t xml:space="preserve">is an open-vowel character, and an open vowel writes a</w:t>
      </w:r>
      <w:r>
        <w:t xml:space="preserve"> </w:t>
      </w:r>
      <w:r>
        <w:t xml:space="preserve">source</w:t>
      </w:r>
      <w:r>
        <w:t xml:space="preserve"> </w:t>
      </w:r>
      <w:r>
        <w:rPr>
          <w:iCs/>
          <w:i/>
        </w:rPr>
        <w:t xml:space="preserve">a</w:t>
      </w:r>
      <w:r>
        <w:t xml:space="preserve"> </w:t>
      </w:r>
      <w:r>
        <w:t xml:space="preserve">1,127 times in 1,634 and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so</w:t>
      </w:r>
      <w:r>
        <w:t xml:space="preserve"> </w:t>
      </w:r>
      <w:r>
        <w:t xml:space="preserve">the channel prices</w:t>
      </w:r>
      <w:r>
        <w:t xml:space="preserve"> </w:t>
      </w:r>
      <w:r>
        <w:rPr>
          <w:iCs/>
          <w:i/>
        </w:rPr>
        <w:t xml:space="preserve">tangrı</w:t>
      </w:r>
      <w:r>
        <w:t xml:space="preserve"> </w:t>
      </w:r>
      <w:r>
        <w:t xml:space="preserve">at 1 in 152 and</w:t>
      </w:r>
      <w:r>
        <w:t xml:space="preserve"> </w:t>
      </w:r>
      <w:r>
        <w:rPr>
          <w:iCs/>
          <w:i/>
        </w:rPr>
        <w:t xml:space="preserve">tengri</w:t>
      </w:r>
      <w:r>
        <w:t xml:space="preserve"> </w:t>
      </w:r>
      <w:r>
        <w:t xml:space="preserve">at 1 in 1,579, the whole factor</w:t>
      </w:r>
      <w:r>
        <w:t xml:space="preserve"> </w:t>
      </w:r>
      <w:r>
        <w:t xml:space="preserve">of ten being that one cell. The scribe was not short of the alternative: the table holds 154</w:t>
      </w:r>
      <w:r>
        <w:t xml:space="preserve"> </w:t>
      </w:r>
      <w:r>
        <w:t xml:space="preserve">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w:t>
      </w:r>
    </w:p>
    <w:p>
      <w:pPr>
        <w:pStyle w:val="BodyText"/>
      </w:pPr>
      <w:r>
        <w:rPr>
          <w:bCs/>
          <w:b/>
        </w:rPr>
        <w:t xml:space="preserve">We claim nothing new from this, and that is what makes it useful.</w:t>
      </w:r>
      <w:r>
        <w:t xml:space="preserve"> </w:t>
      </w:r>
      <w:r>
        <w:t xml:space="preserve">The standard</w:t>
      </w:r>
      <w:r>
        <w:t xml:space="preserve"> </w:t>
      </w:r>
      <w:r>
        <w:t xml:space="preserve">reconstruction already cites this transcription as evidence for the back variant. So the channel</w:t>
      </w:r>
      <w:r>
        <w:t xml:space="preserve"> </w:t>
      </w:r>
      <w:r>
        <w:t xml:space="preserve">measured in this paper, given the characters and nothing else, returns the variant the comparative</w:t>
      </w:r>
      <w:r>
        <w:t xml:space="preserve"> </w:t>
      </w:r>
      <w:r>
        <w:t xml:space="preserve">method reached from the daughter languages. A method that recovers a known answer on the one item</w:t>
      </w:r>
      <w:r>
        <w:t xml:space="preserve"> </w:t>
      </w:r>
      <w:r>
        <w:t xml:space="preserve">where the answer is known is worth more here than a method that produces a new one. Two things</w:t>
      </w:r>
      <w:r>
        <w:t xml:space="preserve"> </w:t>
      </w:r>
      <w:r>
        <w:t xml:space="preserve">stay open: whether the word is Turkic at all, which §6.3 raises and Georg 2001 disputes, and Georg</w:t>
      </w:r>
      <w:r>
        <w:t xml:space="preserve"> </w:t>
      </w:r>
      <w:r>
        <w:t xml:space="preserve">2001 is among the works we have not obtained.</w:t>
      </w:r>
    </w:p>
    <w:bookmarkEnd w:id="43"/>
    <w:bookmarkStart w:id="44" w:name="the-three-readings-the-field-already-has"/>
    <w:p>
      <w:pPr>
        <w:pStyle w:val="Heading3"/>
      </w:pPr>
      <w:r>
        <w:t xml:space="preserve">8.7  The three readings the field already has</w:t>
      </w:r>
    </w:p>
    <w:p>
      <w:pPr>
        <w:pStyle w:val="FirstParagraph"/>
      </w:pPr>
      <w:r>
        <w:t xml:space="preserve">Three items in this record carry readings that are established outside it:</w:t>
      </w:r>
      <w:r>
        <w:t xml:space="preserve"> </w:t>
      </w:r>
      <w:r>
        <w:t xml:space="preserve">撑犁</w:t>
      </w:r>
      <w:r>
        <w:t xml:space="preserve"> </w:t>
      </w:r>
      <w:r>
        <w:t xml:space="preserve">as the Turkic word for heaven,</w:t>
      </w:r>
      <w:r>
        <w:t xml:space="preserve"> </w:t>
      </w:r>
      <w:r>
        <w:t xml:space="preserve">頭曼</w:t>
      </w:r>
      <w:r>
        <w:t xml:space="preserve"> </w:t>
      </w:r>
      <w:r>
        <w:t xml:space="preserve">as</w:t>
      </w:r>
      <w:r>
        <w:t xml:space="preserve"> </w:t>
      </w:r>
      <w:r>
        <w:rPr>
          <w:iCs/>
          <w:i/>
        </w:rPr>
        <w:t xml:space="preserve">tümen</w:t>
      </w:r>
      <w:r>
        <w:t xml:space="preserve"> </w:t>
      </w:r>
      <w:r>
        <w:t xml:space="preserve">"ten thousand", and</w:t>
      </w:r>
      <w:r>
        <w:t xml:space="preserve"> </w:t>
      </w:r>
      <w:r>
        <w:t xml:space="preserve">冒頓</w:t>
      </w:r>
      <w:r>
        <w:t xml:space="preserve"> </w:t>
      </w:r>
      <w:r>
        <w:t xml:space="preserve">as</w:t>
      </w:r>
      <w:r>
        <w:t xml:space="preserve"> </w:t>
      </w:r>
      <w:r>
        <w:rPr>
          <w:iCs/>
          <w:i/>
        </w:rPr>
        <w:t xml:space="preserve">Baγatur</w:t>
      </w:r>
      <w:r>
        <w:t xml:space="preserve">, which Clauson held was by origin a Xiongnu</w:t>
      </w:r>
      <w:r>
        <w:t xml:space="preserve"> </w:t>
      </w:r>
      <w:r>
        <w:t xml:space="preserve">proper name transcribed with a Chinese</w:t>
      </w:r>
      <w:r>
        <w:t xml:space="preserve"> </w:t>
      </w:r>
      <w:r>
        <w:t xml:space="preserve">-n</w:t>
      </w:r>
      <w:r>
        <w:t xml:space="preserve"> </w:t>
      </w:r>
      <w:r>
        <w:t xml:space="preserve">for a foreign</w:t>
      </w:r>
      <w:r>
        <w:t xml:space="preserve"> </w:t>
      </w:r>
      <w:r>
        <w:t xml:space="preserve">-r</w:t>
      </w:r>
      <w:r>
        <w:t xml:space="preserve">. A method that made all three unlikely would be describing itself</w:t>
      </w:r>
      <w:r>
        <w:t xml:space="preserve"> </w:t>
      </w:r>
      <w:r>
        <w:t xml:space="preserve">rather than the record. Priced against the control of §8.6 they do not behave alike, and the</w:t>
      </w:r>
      <w:r>
        <w:t xml:space="preserve"> </w:t>
      </w:r>
      <w:r>
        <w:t xml:space="preserve">differences are the useful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Reading</w:t>
            </w:r>
          </w:p>
        </w:tc>
        <w:tc>
          <w:tcPr/>
          <w:p>
            <w:pPr>
              <w:pStyle w:val="Compact"/>
              <w:jc w:val="left"/>
            </w:pPr>
            <w:r>
              <w:t xml:space="preserve">Price</w:t>
            </w:r>
          </w:p>
        </w:tc>
        <w:tc>
          <w:tcPr/>
          <w:p>
            <w:pPr>
              <w:pStyle w:val="Compact"/>
              <w:jc w:val="left"/>
            </w:pPr>
            <w:r>
              <w:t xml:space="preserve">Against the control, 1 in 152</w:t>
            </w:r>
          </w:p>
        </w:tc>
      </w:tr>
      <w:tr>
        <w:tc>
          <w:tcPr/>
          <w:p>
            <w:pPr>
              <w:pStyle w:val="Compact"/>
              <w:jc w:val="left"/>
            </w:pPr>
            <w:r>
              <w:t xml:space="preserve">撑犁</w:t>
            </w:r>
          </w:p>
        </w:tc>
        <w:tc>
          <w:tcPr/>
          <w:p>
            <w:pPr>
              <w:pStyle w:val="Compact"/>
              <w:jc w:val="left"/>
            </w:pPr>
            <w:r>
              <w:rPr>
                <w:iCs/>
                <w:i/>
              </w:rPr>
              <w:t xml:space="preserve">tangrı</w:t>
            </w:r>
            <w:r>
              <w:t xml:space="preserve">, the back variant</w:t>
            </w:r>
          </w:p>
        </w:tc>
        <w:tc>
          <w:tcPr/>
          <w:p>
            <w:pPr>
              <w:pStyle w:val="Compact"/>
              <w:jc w:val="left"/>
            </w:pPr>
            <w:r>
              <w:t xml:space="preserve">1 in 152</w:t>
            </w:r>
          </w:p>
        </w:tc>
        <w:tc>
          <w:tcPr/>
          <w:p>
            <w:pPr>
              <w:pStyle w:val="Compact"/>
              <w:jc w:val="left"/>
            </w:pPr>
            <w:r>
              <w:t xml:space="preserve">at the control</w:t>
            </w:r>
          </w:p>
        </w:tc>
      </w:tr>
      <w:tr>
        <w:tc>
          <w:tcPr/>
          <w:p>
            <w:pPr>
              <w:pStyle w:val="Compact"/>
            </w:pPr>
          </w:p>
        </w:tc>
        <w:tc>
          <w:tcPr/>
          <w:p>
            <w:pPr>
              <w:pStyle w:val="Compact"/>
              <w:jc w:val="left"/>
            </w:pPr>
            <w:r>
              <w:rPr>
                <w:iCs/>
                <w:i/>
              </w:rPr>
              <w:t xml:space="preserve">tengri</w:t>
            </w:r>
            <w:r>
              <w:t xml:space="preserve">, the front variant</w:t>
            </w:r>
          </w:p>
        </w:tc>
        <w:tc>
          <w:tcPr/>
          <w:p>
            <w:pPr>
              <w:pStyle w:val="Compact"/>
              <w:jc w:val="left"/>
            </w:pPr>
            <w:r>
              <w:t xml:space="preserve">1 in 1,579</w:t>
            </w:r>
          </w:p>
        </w:tc>
        <w:tc>
          <w:tcPr/>
          <w:p>
            <w:pPr>
              <w:pStyle w:val="Compact"/>
              <w:jc w:val="left"/>
            </w:pPr>
            <w:r>
              <w:t xml:space="preserve">ten times less likely</w:t>
            </w:r>
          </w:p>
        </w:tc>
      </w:tr>
      <w:tr>
        <w:tc>
          <w:tcPr/>
          <w:p>
            <w:pPr>
              <w:pStyle w:val="Compact"/>
              <w:jc w:val="left"/>
            </w:pPr>
            <w:r>
              <w:t xml:space="preserve">頭曼</w:t>
            </w:r>
          </w:p>
        </w:tc>
        <w:tc>
          <w:tcPr/>
          <w:p>
            <w:pPr>
              <w:pStyle w:val="Compact"/>
              <w:jc w:val="left"/>
            </w:pPr>
            <w:r>
              <w:rPr>
                <w:iCs/>
                <w:i/>
              </w:rPr>
              <w:t xml:space="preserve">tümen</w:t>
            </w:r>
            <w:r>
              <w:t xml:space="preserve"> </w:t>
            </w:r>
            <w:r>
              <w:t xml:space="preserve">"ten thousand"</w:t>
            </w:r>
          </w:p>
        </w:tc>
        <w:tc>
          <w:tcPr/>
          <w:p>
            <w:pPr>
              <w:pStyle w:val="Compact"/>
              <w:jc w:val="left"/>
            </w:pPr>
            <w:r>
              <w:t xml:space="preserve">1 in 107</w:t>
            </w:r>
          </w:p>
        </w:tc>
        <w:tc>
          <w:tcPr/>
          <w:p>
            <w:pPr>
              <w:pStyle w:val="Compact"/>
              <w:jc w:val="left"/>
            </w:pPr>
            <w:r>
              <w:t xml:space="preserve">slightly more likely than the control</w:t>
            </w:r>
          </w:p>
        </w:tc>
      </w:tr>
      <w:tr>
        <w:tc>
          <w:tcPr/>
          <w:p>
            <w:pPr>
              <w:pStyle w:val="Compact"/>
            </w:pPr>
          </w:p>
        </w:tc>
        <w:tc>
          <w:tcPr/>
          <w:p>
            <w:pPr>
              <w:pStyle w:val="Compact"/>
              <w:jc w:val="left"/>
            </w:pPr>
            <w:r>
              <w:rPr>
                <w:iCs/>
                <w:i/>
              </w:rPr>
              <w:t xml:space="preserve">tuman / duman</w:t>
            </w:r>
            <w:r>
              <w:t xml:space="preserve"> </w:t>
            </w:r>
            <w:r>
              <w:t xml:space="preserve">"mist"</w:t>
            </w:r>
          </w:p>
        </w:tc>
        <w:tc>
          <w:tcPr/>
          <w:p>
            <w:pPr>
              <w:pStyle w:val="Compact"/>
              <w:jc w:val="left"/>
            </w:pPr>
            <w:r>
              <w:t xml:space="preserve">1 in 15 / 1 in 3</w:t>
            </w:r>
          </w:p>
        </w:tc>
        <w:tc>
          <w:tcPr/>
          <w:p>
            <w:pPr>
              <w:pStyle w:val="Compact"/>
              <w:jc w:val="left"/>
            </w:pPr>
            <w:r>
              <w:t xml:space="preserve">more likely still</w:t>
            </w:r>
          </w:p>
        </w:tc>
      </w:tr>
      <w:tr>
        <w:tc>
          <w:tcPr/>
          <w:p>
            <w:pPr>
              <w:pStyle w:val="Compact"/>
              <w:jc w:val="left"/>
            </w:pPr>
            <w:r>
              <w:t xml:space="preserve">冒頓</w:t>
            </w:r>
          </w:p>
        </w:tc>
        <w:tc>
          <w:tcPr/>
          <w:p>
            <w:pPr>
              <w:pStyle w:val="Compact"/>
              <w:jc w:val="left"/>
            </w:pPr>
            <w:r>
              <w:rPr>
                <w:iCs/>
                <w:i/>
              </w:rPr>
              <w:t xml:space="preserve">Baγatur</w:t>
            </w:r>
          </w:p>
        </w:tc>
        <w:tc>
          <w:tcPr/>
          <w:p>
            <w:pPr>
              <w:pStyle w:val="Compact"/>
              <w:jc w:val="left"/>
            </w:pPr>
            <w:r>
              <w:t xml:space="preserve">1 in 99,141</w:t>
            </w:r>
          </w:p>
        </w:tc>
        <w:tc>
          <w:tcPr/>
          <w:p>
            <w:pPr>
              <w:pStyle w:val="Compact"/>
              <w:jc w:val="left"/>
            </w:pPr>
            <w:r>
              <w:t xml:space="preserve">650 times less likely</w:t>
            </w:r>
          </w:p>
        </w:tc>
      </w:tr>
      <w:tr>
        <w:tc>
          <w:tcPr/>
          <w:p>
            <w:pPr>
              <w:pStyle w:val="Compact"/>
            </w:pPr>
          </w:p>
        </w:tc>
        <w:tc>
          <w:tcPr/>
          <w:p>
            <w:pPr>
              <w:pStyle w:val="Compact"/>
              <w:jc w:val="left"/>
            </w:pPr>
            <w:r>
              <w:rPr>
                <w:iCs/>
                <w:i/>
              </w:rPr>
              <w:t xml:space="preserve">Mete</w:t>
            </w:r>
            <w:r>
              <w:t xml:space="preserve">, the form used in Turkish</w:t>
            </w:r>
          </w:p>
        </w:tc>
        <w:tc>
          <w:tcPr/>
          <w:p>
            <w:pPr>
              <w:pStyle w:val="Compact"/>
              <w:jc w:val="left"/>
            </w:pPr>
            <w:r>
              <w:t xml:space="preserve">1 in 272,642</w:t>
            </w:r>
          </w:p>
        </w:tc>
        <w:tc>
          <w:tcPr/>
          <w:p>
            <w:pPr>
              <w:pStyle w:val="Compact"/>
              <w:jc w:val="left"/>
            </w:pPr>
            <w:r>
              <w:t xml:space="preserve">1,800 times less likely</w:t>
            </w:r>
          </w:p>
        </w:tc>
      </w:tr>
      <w:tr>
        <w:tc>
          <w:tcPr/>
          <w:p>
            <w:pPr>
              <w:pStyle w:val="Compact"/>
            </w:pPr>
          </w:p>
        </w:tc>
        <w:tc>
          <w:tcPr/>
          <w:p>
            <w:pPr>
              <w:pStyle w:val="Compact"/>
              <w:jc w:val="left"/>
            </w:pPr>
            <w:r>
              <w:rPr>
                <w:iCs/>
                <w:i/>
              </w:rPr>
              <w:t xml:space="preserve">Modun</w:t>
            </w:r>
            <w:r>
              <w:t xml:space="preserve">, the characters unetymologised</w:t>
            </w:r>
          </w:p>
        </w:tc>
        <w:tc>
          <w:tcPr/>
          <w:p>
            <w:pPr>
              <w:pStyle w:val="Compact"/>
              <w:jc w:val="left"/>
            </w:pPr>
            <w:r>
              <w:t xml:space="preserve">1 in 277</w:t>
            </w:r>
          </w:p>
        </w:tc>
        <w:tc>
          <w:tcPr/>
          <w:p>
            <w:pPr>
              <w:pStyle w:val="Compact"/>
              <w:jc w:val="left"/>
            </w:pPr>
            <w:r>
              <w:t xml:space="preserve">within a factor of two of the control</w:t>
            </w:r>
          </w:p>
        </w:tc>
      </w:tr>
    </w:tbl>
    <w:p>
      <w:pPr>
        <w:pStyle w:val="BodyText"/>
      </w:pPr>
      <w:r>
        <w:rPr>
          <w:bCs/>
          <w:b/>
        </w:rPr>
        <w:t xml:space="preserve">One is agreement.</w:t>
      </w:r>
      <w:r>
        <w:t xml:space="preserve"> </w:t>
      </w:r>
      <w:r>
        <w:t xml:space="preserve">The two forms at</w:t>
      </w:r>
      <w:r>
        <w:t xml:space="preserve"> </w:t>
      </w:r>
      <w:r>
        <w:t xml:space="preserve">撑犁</w:t>
      </w:r>
      <w:r>
        <w:t xml:space="preserve"> </w:t>
      </w:r>
      <w:r>
        <w:t xml:space="preserve">are one word in</w:t>
      </w:r>
      <w:r>
        <w:t xml:space="preserve"> </w:t>
      </w:r>
      <w:r>
        <w:t xml:space="preserve">its two reconstructed ablaut variants, and the spelling picks the back one, which is the variant</w:t>
      </w:r>
      <w:r>
        <w:t xml:space="preserve"> </w:t>
      </w:r>
      <w:r>
        <w:t xml:space="preserve">the standard reconstruction already assigns to this very transcription. Nothing is overturned</w:t>
      </w:r>
      <w:r>
        <w:t xml:space="preserve"> </w:t>
      </w:r>
      <w:r>
        <w:t xml:space="preserve">there; the identification stands and the channel confirms it.</w:t>
      </w:r>
    </w:p>
    <w:p>
      <w:pPr>
        <w:pStyle w:val="BodyText"/>
      </w:pPr>
      <w:r>
        <w:rPr>
          <w:bCs/>
          <w:b/>
        </w:rPr>
        <w:t xml:space="preserve">One is not a result at all.</w:t>
      </w:r>
      <w:r>
        <w:t xml:space="preserve"> </w:t>
      </w:r>
      <w:r>
        <w:t xml:space="preserve">At</w:t>
      </w:r>
      <w:r>
        <w:t xml:space="preserve"> </w:t>
      </w:r>
      <w:r>
        <w:t xml:space="preserve">頭曼</w:t>
      </w:r>
      <w:r>
        <w:t xml:space="preserve">,</w:t>
      </w:r>
      <w:r>
        <w:t xml:space="preserve"> </w:t>
      </w:r>
      <w:r>
        <w:rPr>
          <w:iCs/>
          <w:i/>
        </w:rPr>
        <w:t xml:space="preserve">tümen</w:t>
      </w:r>
      <w:r>
        <w:t xml:space="preserve"> </w:t>
      </w:r>
      <w:r>
        <w:t xml:space="preserve">is more likely than a reading we know to be correct, so it is well inside the range on our own</w:t>
      </w:r>
      <w:r>
        <w:t xml:space="preserve"> </w:t>
      </w:r>
      <w:r>
        <w:t xml:space="preserve">scale and we are in no position to retire it. The spelling prefers</w:t>
      </w:r>
      <w:r>
        <w:t xml:space="preserve"> </w:t>
      </w:r>
      <w:r>
        <w:rPr>
          <w:iCs/>
          <w:i/>
        </w:rPr>
        <w:t xml:space="preserve">tuman / duman</w:t>
      </w:r>
      <w:r>
        <w:t xml:space="preserve">, the difference is</w:t>
      </w:r>
      <w:r>
        <w:t xml:space="preserve"> </w:t>
      </w:r>
      <w:r>
        <w:t xml:space="preserve">one vowel, and §7 puts vowel recovery at 50%. §6.3 records the alternative because it has not</w:t>
      </w:r>
      <w:r>
        <w:t xml:space="preserve"> </w:t>
      </w:r>
      <w:r>
        <w:t xml:space="preserve">been raised before, not because the accepted etymology fails.</w:t>
      </w:r>
    </w:p>
    <w:p>
      <w:pPr>
        <w:pStyle w:val="BodyText"/>
      </w:pPr>
      <w:r>
        <w:rPr>
          <w:bCs/>
          <w:b/>
        </w:rPr>
        <w:t xml:space="preserve">One is a contradiction, and it is not ours.</w:t>
      </w:r>
      <w:r>
        <w:t xml:space="preserve"> </w:t>
      </w:r>
      <w:r>
        <w:t xml:space="preserve">At</w:t>
      </w:r>
      <w:r>
        <w:t xml:space="preserve"> </w:t>
      </w:r>
      <w:r>
        <w:t xml:space="preserve">冒頓</w:t>
      </w:r>
      <w:r>
        <w:t xml:space="preserve"> </w:t>
      </w:r>
      <w:r>
        <w:t xml:space="preserve">the two Turkic etymologies come out two and a half and nearly three</w:t>
      </w:r>
      <w:r>
        <w:t xml:space="preserve"> </w:t>
      </w:r>
      <w:r>
        <w:t xml:space="preserve">orders of magnitude less likely than the control, while the plain reading of the two characters sits beside</w:t>
      </w:r>
      <w:r>
        <w:t xml:space="preserve"> </w:t>
      </w:r>
      <w:r>
        <w:t xml:space="preserve">it. So the result is not that this name resists reading. It is that the etymologies proposed for</w:t>
      </w:r>
      <w:r>
        <w:t xml:space="preserve"> </w:t>
      </w:r>
      <w:r>
        <w:t xml:space="preserve">it are improbable on this spelling and the unetymologised reading is not.</w:t>
      </w:r>
      <w:r>
        <w:t xml:space="preserve"> </w:t>
      </w:r>
      <w:r>
        <w:rPr>
          <w:bCs/>
          <w:b/>
        </w:rPr>
        <w:t xml:space="preserve">We have no</w:t>
      </w:r>
      <w:r>
        <w:rPr>
          <w:bCs/>
          <w:b/>
        </w:rPr>
        <w:t xml:space="preserve"> </w:t>
      </w:r>
      <w:r>
        <w:rPr>
          <w:bCs/>
          <w:b/>
        </w:rPr>
        <w:t xml:space="preserve">better replacement.</w:t>
      </w:r>
      <w:r>
        <w:t xml:space="preserve"> </w:t>
      </w:r>
      <w:r>
        <w:t xml:space="preserve">The reading offered for it in S1 is blocked by a measured zero and cannot be priced at all, which</w:t>
      </w:r>
      <w:r>
        <w:t xml:space="preserve"> </w:t>
      </w:r>
      <w:r>
        <w:t xml:space="preserve">is stated there. Retiring a reading and having a better one are different things, and this paper</w:t>
      </w:r>
      <w:r>
        <w:t xml:space="preserve"> </w:t>
      </w:r>
      <w:r>
        <w:t xml:space="preserve">does only the first.</w:t>
      </w:r>
    </w:p>
    <w:p>
      <w:pPr>
        <w:pStyle w:val="BodyText"/>
      </w:pPr>
      <w:r>
        <w:t xml:space="preserve">One agreement, one non-result and one contradiction, from a procedure with no way to know in</w:t>
      </w:r>
      <w:r>
        <w:t xml:space="preserve"> </w:t>
      </w:r>
      <w:r>
        <w:t xml:space="preserve">advance which would be which, is the distribution a measurement should produce. Three overturnings</w:t>
      </w:r>
      <w:r>
        <w:t xml:space="preserve"> </w:t>
      </w:r>
      <w:r>
        <w:t xml:space="preserve">would have been the warning sign.</w:t>
      </w:r>
    </w:p>
    <w:bookmarkEnd w:id="44"/>
    <w:bookmarkEnd w:id="45"/>
    <w:bookmarkStart w:id="48"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numPr>
          <w:ilvl w:val="0"/>
          <w:numId w:val="1001"/>
        </w:numPr>
        <w:pStyle w:val="Compact"/>
      </w:pPr>
      <w:r>
        <w:rPr>
          <w:bCs/>
          <w:b/>
        </w:rPr>
        <w:t xml:space="preserve">The unwritten vowel is the condition the onset requires.</w:t>
      </w:r>
      <w:r>
        <w:t xml:space="preserve"> </w:t>
      </w:r>
      <w:r>
        <w:t xml:space="preserve">若</w:t>
      </w:r>
      <w:r>
        <w:t xml:space="preserve"> </w:t>
      </w:r>
      <w:r>
        <w:t xml:space="preserve">is</w:t>
      </w:r>
      <w:r>
        <w:t xml:space="preserve"> </w:t>
      </w:r>
      <w:r>
        <w:t xml:space="preserve">ńɑk</w:t>
      </w:r>
      <w:r>
        <w:t xml:space="preserve">, and its onset is a palatal</w:t>
      </w:r>
      <w:r>
        <w:t xml:space="preserve"> </w:t>
      </w:r>
      <w:r>
        <w:t xml:space="preserve">nasal. Turkic has no palatal nasal: its nasals are the dental</w:t>
      </w:r>
      <w:r>
        <w:t xml:space="preserve"> </w:t>
      </w:r>
      <w:r>
        <w:t xml:space="preserve">n</w:t>
      </w:r>
      <w:r>
        <w:t xml:space="preserve"> </w:t>
      </w:r>
      <w:r>
        <w:t xml:space="preserve">and the velar</w:t>
      </w:r>
      <w:r>
        <w:t xml:space="preserve"> </w:t>
      </w:r>
      <w:r>
        <w:t xml:space="preserve">ŋ</w:t>
      </w:r>
      <w:r>
        <w:t xml:space="preserve">, the sound written</w:t>
      </w:r>
      <w:r>
        <w:t xml:space="preserve"> </w:t>
      </w:r>
      <w:r>
        <w:rPr>
          <w:iCs/>
          <w:i/>
        </w:rPr>
        <w:t xml:space="preserve">ñ</w:t>
      </w:r>
      <w:r>
        <w:t xml:space="preserve"> </w:t>
      </w:r>
      <w:r>
        <w:t xml:space="preserve">or</w:t>
      </w:r>
      <w:r>
        <w:t xml:space="preserve"> </w:t>
      </w:r>
      <w:r>
        <w:rPr>
          <w:iCs/>
          <w:i/>
        </w:rPr>
        <w:t xml:space="preserve">ng</w:t>
      </w:r>
      <w:r>
        <w:t xml:space="preserve">.</w:t>
      </w:r>
      <w:r>
        <w:t xml:space="preserve"> </w:t>
      </w:r>
      <w:r>
        <w:t xml:space="preserve">The corpus shows the character class taking palatal sources and nothing else: a source</w:t>
      </w:r>
      <w:r>
        <w:t xml:space="preserve"> </w:t>
      </w:r>
      <w:r>
        <w:t xml:space="preserve">ñ</w:t>
      </w:r>
      <w:r>
        <w:t xml:space="preserve"> </w:t>
      </w:r>
      <w:r>
        <w:t xml:space="preserve">6 of 8, a source</w:t>
      </w:r>
      <w:r>
        <w:t xml:space="preserve"> </w:t>
      </w:r>
      <w:r>
        <w:t xml:space="preserve">j</w:t>
      </w:r>
      <w:r>
        <w:t xml:space="preserve"> </w:t>
      </w:r>
      <w:r>
        <w:t xml:space="preserve">4 of 31, a source</w:t>
      </w:r>
      <w:r>
        <w:t xml:space="preserve"> </w:t>
      </w:r>
      <w:r>
        <w:t xml:space="preserve">y</w:t>
      </w:r>
      <w:r>
        <w:t xml:space="preserve"> </w:t>
      </w:r>
      <w:r>
        <w:t xml:space="preserve">2 of 98, against a velar nasal 0 of 7 and a dental</w:t>
      </w:r>
      <w:r>
        <w:t xml:space="preserve"> </w:t>
      </w:r>
      <w:r>
        <w:t xml:space="preserve">n</w:t>
      </w:r>
      <w:r>
        <w:t xml:space="preserve"> </w:t>
      </w:r>
      <w:r>
        <w:t xml:space="preserve">0 of 126. A Turkic</w:t>
      </w:r>
      <w:r>
        <w:t xml:space="preserve"> </w:t>
      </w:r>
      <w:r>
        <w:rPr>
          <w:iCs/>
          <w:i/>
        </w:rPr>
        <w:t xml:space="preserve">n</w:t>
      </w:r>
      <w:r>
        <w:t xml:space="preserve"> </w:t>
      </w:r>
      <w:r>
        <w:t xml:space="preserve">can therefore be heard as this</w:t>
      </w:r>
      <w:r>
        <w:t xml:space="preserve"> </w:t>
      </w:r>
      <w:r>
        <w:t xml:space="preserve">onset only where something fronts it, and a preceding front vowel is such an environment.</w:t>
      </w:r>
      <w:r>
        <w:t xml:space="preserve"> </w:t>
      </w:r>
      <w:r>
        <w:t xml:space="preserve">The</w:t>
      </w:r>
      <w:r>
        <w:t xml:space="preserve"> </w:t>
      </w:r>
      <w:r>
        <w:rPr>
          <w:iCs/>
          <w:i/>
        </w:rPr>
        <w:t xml:space="preserve">i-</w:t>
      </w:r>
      <w:r>
        <w:t xml:space="preserve"> </w:t>
      </w:r>
      <w:r>
        <w:t xml:space="preserve">that the spelling does not write is what makes the palatal onset</w:t>
      </w:r>
      <w:r>
        <w:t xml:space="preserve"> </w:t>
      </w:r>
      <w:r>
        <w:t xml:space="preserve">intelligible, so the gap in the previous item is one the reading predicts rather than one</w:t>
      </w:r>
      <w:r>
        <w:t xml:space="preserve"> </w:t>
      </w:r>
      <w:r>
        <w:t xml:space="preserve">it must explain away.</w:t>
      </w:r>
      <w:r>
        <w:t xml:space="preserve"> </w:t>
      </w:r>
      <w:r>
        <w:rPr>
          <w:bCs/>
          <w:b/>
        </w:rPr>
        <w:t xml:space="preserve">This also decides which attested form is the relevant one.</w:t>
      </w:r>
      <w:r>
        <w:t xml:space="preserve"> </w:t>
      </w:r>
      <w:r>
        <w:t xml:space="preserve">Old Turkic</w:t>
      </w:r>
      <w:r>
        <w:t xml:space="preserve"> </w:t>
      </w:r>
      <w:r>
        <w:rPr>
          <w:iCs/>
          <w:i/>
        </w:rPr>
        <w:t xml:space="preserve">ınaq</w:t>
      </w:r>
      <w:r>
        <w:t xml:space="preserve"> </w:t>
      </w:r>
      <w:r>
        <w:t xml:space="preserve">is back-vocalic and its</w:t>
      </w:r>
      <w:r>
        <w:t xml:space="preserve"> </w:t>
      </w:r>
      <w:r>
        <w:rPr>
          <w:iCs/>
          <w:i/>
        </w:rPr>
        <w:t xml:space="preserve">ı-</w:t>
      </w:r>
      <w:r>
        <w:t xml:space="preserve"> </w:t>
      </w:r>
      <w:r>
        <w:t xml:space="preserve">would not front a following</w:t>
      </w:r>
      <w:r>
        <w:t xml:space="preserve"> </w:t>
      </w:r>
      <w:r>
        <w:t xml:space="preserve">nasal; the Codex Cumanicus</w:t>
      </w:r>
      <w:r>
        <w:t xml:space="preserve"> </w:t>
      </w:r>
      <w:r>
        <w:rPr>
          <w:iCs/>
          <w:i/>
        </w:rPr>
        <w:t xml:space="preserve">Inak</w:t>
      </w:r>
      <w:r>
        <w:t xml:space="preserve"> </w:t>
      </w:r>
      <w:r>
        <w:t xml:space="preserve">is front, and it is the form the sense was taken</w:t>
      </w:r>
      <w:r>
        <w:t xml:space="preserve"> </w:t>
      </w:r>
      <w:r>
        <w:t xml:space="preserve">from in the first item.</w:t>
      </w:r>
      <w:r>
        <w:t xml:space="preserve"> </w:t>
      </w:r>
      <w:r>
        <w:rPr>
          <w:bCs/>
          <w:b/>
        </w:rPr>
        <w:t xml:space="preserve">The limit.</w:t>
      </w:r>
      <w:r>
        <w:t xml:space="preserve"> </w:t>
      </w:r>
      <w:r>
        <w:t xml:space="preserve">The 0 of 126 is not evidence against a</w:t>
      </w:r>
      <w:r>
        <w:t xml:space="preserve"> </w:t>
      </w:r>
      <w:r>
        <w:t xml:space="preserve">Turkic</w:t>
      </w:r>
      <w:r>
        <w:t xml:space="preserve"> </w:t>
      </w:r>
      <w:r>
        <w:rPr>
          <w:iCs/>
          <w:i/>
        </w:rPr>
        <w:t xml:space="preserve">n</w:t>
      </w:r>
      <w:r>
        <w:t xml:space="preserve"> </w:t>
      </w:r>
      <w:r>
        <w:t xml:space="preserve">here. Sanskrit distinguishes a dental</w:t>
      </w:r>
      <w:r>
        <w:t xml:space="preserve"> </w:t>
      </w:r>
      <w:r>
        <w:t xml:space="preserve">n</w:t>
      </w:r>
      <w:r>
        <w:t xml:space="preserve"> </w:t>
      </w:r>
      <w:r>
        <w:t xml:space="preserve">from a</w:t>
      </w:r>
      <w:r>
        <w:t xml:space="preserve"> </w:t>
      </w:r>
      <w:r>
        <w:t xml:space="preserve">palatal</w:t>
      </w:r>
      <w:r>
        <w:t xml:space="preserve"> </w:t>
      </w:r>
      <w:r>
        <w:t xml:space="preserve">ñ</w:t>
      </w:r>
      <w:r>
        <w:t xml:space="preserve"> </w:t>
      </w:r>
      <w:r>
        <w:t xml:space="preserve">and always had a plain</w:t>
      </w:r>
      <w:r>
        <w:t xml:space="preserve"> </w:t>
      </w:r>
      <w:r>
        <w:t xml:space="preserve">n-</w:t>
      </w:r>
      <w:r>
        <w:t xml:space="preserve"> </w:t>
      </w:r>
      <w:r>
        <w:t xml:space="preserve">character available, so it never had occasion to send an</w:t>
      </w:r>
      <w:r>
        <w:t xml:space="preserve"> </w:t>
      </w:r>
      <w:r>
        <w:t xml:space="preserve">n</w:t>
      </w:r>
      <w:r>
        <w:t xml:space="preserve"> </w:t>
      </w:r>
      <w:r>
        <w:t xml:space="preserve">to a</w:t>
      </w:r>
      <w:r>
        <w:t xml:space="preserve"> </w:t>
      </w:r>
      <w:r>
        <w:t xml:space="preserve">palatal one. The zero records an absence of need, not a prohibition, and the corpus cannot</w:t>
      </w:r>
      <w:r>
        <w:t xml:space="preserve"> </w:t>
      </w:r>
      <w:r>
        <w:t xml:space="preserve">price this correspondence in either direction.</w:t>
      </w:r>
    </w:p>
    <w:p>
      <w:pPr>
        <w:pStyle w:val="FirstParagraph"/>
      </w:pPr>
      <w:r>
        <w:t xml:space="preserve">Four of five hold, with the one gap named and then accounted for.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6"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rPr>
          <w:bCs/>
          <w:b/>
        </w:rPr>
        <w:t xml:space="preserve">The manuscript carries both orders of the word.</w:t>
      </w:r>
      <w:r>
        <w:t xml:space="preserve"> </w:t>
      </w: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kırŋa:k</w:t>
      </w:r>
      <w:r>
        <w:t xml:space="preserve"> </w:t>
      </w:r>
      <w:r>
        <w:t xml:space="preserve">and is corrected in the margin to</w:t>
      </w:r>
      <w:r>
        <w:t xml:space="preserve"> </w:t>
      </w:r>
      <w:r>
        <w:rPr>
          <w:iCs/>
          <w:i/>
        </w:rPr>
        <w:t xml:space="preserve">kıŋra:k</w:t>
      </w:r>
      <w:r>
        <w:t xml:space="preserve">, so the form used here rests on a marginal emendation rather than on the text as</w:t>
      </w:r>
      <w:r>
        <w:t xml:space="preserve"> </w:t>
      </w:r>
      <w:r>
        <w:t xml:space="preserve">written. Dankoff and Kelly print the text form and gloss it "a broad knife (</w:t>
      </w:r>
      <w:r>
        <w:rPr>
          <w:iCs/>
          <w:i/>
        </w:rPr>
        <w:t xml:space="preserve">ṣafra</w:t>
      </w:r>
      <w:r>
        <w:t xml:space="preserve">) like a</w:t>
      </w:r>
      <w:r>
        <w:t xml:space="preserve"> </w:t>
      </w:r>
      <w:r>
        <w:t xml:space="preserve">cleaver (</w:t>
      </w:r>
      <w:r>
        <w:rPr>
          <w:iCs/>
          <w:i/>
        </w:rPr>
        <w:t xml:space="preserve">sāṭūr</w:t>
      </w:r>
      <w:r>
        <w:t xml:space="preserve">) used to cut meat or dough", which is the same object Clauson describes.</w:t>
      </w:r>
      <w:r>
        <w:t xml:space="preserve"> </w:t>
      </w:r>
      <w:r>
        <w:rPr>
          <w:bCs/>
          <w:b/>
        </w:rPr>
        <w:t xml:space="preserve">The two editions therefore agree on what the word means and differ only on the order of the</w:t>
      </w:r>
      <w:r>
        <w:rPr>
          <w:bCs/>
          <w:b/>
        </w:rPr>
        <w:t xml:space="preserve"> </w:t>
      </w:r>
      <w:r>
        <w:rPr>
          <w:bCs/>
          <w:b/>
        </w:rPr>
        <w:t xml:space="preserve">r</w:t>
      </w:r>
      <w:r>
        <w:rPr>
          <w:bCs/>
          <w:b/>
        </w:rPr>
        <w:t xml:space="preserve"> </w:t>
      </w:r>
      <w:r>
        <w:rPr>
          <w:bCs/>
          <w:b/>
        </w:rPr>
        <w:t xml:space="preserve">and the</w:t>
      </w:r>
      <w:r>
        <w:rPr>
          <w:bCs/>
          <w:b/>
        </w:rPr>
        <w:t xml:space="preserve"> </w:t>
      </w:r>
      <w:r>
        <w:rPr>
          <w:bCs/>
          <w:b/>
        </w:rPr>
        <w:t xml:space="preserve">ŋ</w:t>
      </w:r>
      <w:r>
        <w:rPr>
          <w:bCs/>
          <w:b/>
        </w:rPr>
        <w:t xml:space="preserve">.</w:t>
      </w:r>
      <w:r>
        <w:t xml:space="preserve"> </w:t>
      </w:r>
      <w:r>
        <w:t xml:space="preserve">That is not a disagreement</w:t>
      </w:r>
      <w:r>
        <w:t xml:space="preserve"> </w:t>
      </w:r>
      <w:r>
        <w:t xml:space="preserve">about which word is on the page. It is the ordinary Turkic transposition of a liquid across a</w:t>
      </w:r>
      <w:r>
        <w:t xml:space="preserve"> </w:t>
      </w:r>
      <w:r>
        <w:t xml:space="preserve">following consonant, the alternation that gives standard</w:t>
      </w:r>
      <w:r>
        <w:t xml:space="preserve"> </w:t>
      </w:r>
      <w:r>
        <w:rPr>
          <w:iCs/>
          <w:i/>
        </w:rPr>
        <w:t xml:space="preserve">toprak</w:t>
      </w:r>
      <w:r>
        <w:t xml:space="preserve"> </w:t>
      </w:r>
      <w:r>
        <w:t xml:space="preserve">beside dialect</w:t>
      </w:r>
      <w:r>
        <w:t xml:space="preserve"> </w:t>
      </w:r>
      <w:r>
        <w:rPr>
          <w:iCs/>
          <w:i/>
        </w:rPr>
        <w:t xml:space="preserve">torpak</w:t>
      </w:r>
      <w:r>
        <w:t xml:space="preserve">,</w:t>
      </w:r>
      <w:r>
        <w:t xml:space="preserve"> </w:t>
      </w:r>
      <w:r>
        <w:rPr>
          <w:iCs/>
          <w:i/>
        </w:rPr>
        <w:t xml:space="preserve">yaprak</w:t>
      </w:r>
      <w:r>
        <w:t xml:space="preserve"> </w:t>
      </w:r>
      <w:r>
        <w:t xml:space="preserve">beside</w:t>
      </w:r>
      <w:r>
        <w:t xml:space="preserve"> </w:t>
      </w:r>
      <w:r>
        <w:rPr>
          <w:iCs/>
          <w:i/>
        </w:rPr>
        <w:t xml:space="preserve">yarpak</w:t>
      </w:r>
      <w:r>
        <w:t xml:space="preserve">,</w:t>
      </w:r>
      <w:r>
        <w:t xml:space="preserve"> </w:t>
      </w:r>
      <w:r>
        <w:rPr>
          <w:iCs/>
          <w:i/>
        </w:rPr>
        <w:t xml:space="preserve">kirpik</w:t>
      </w:r>
      <w:r>
        <w:t xml:space="preserve"> </w:t>
      </w:r>
      <w:r>
        <w:t xml:space="preserve">beside</w:t>
      </w:r>
      <w:r>
        <w:t xml:space="preserve"> </w:t>
      </w:r>
      <w:r>
        <w:rPr>
          <w:iCs/>
          <w:i/>
        </w:rPr>
        <w:t xml:space="preserve">kiprik</w:t>
      </w:r>
      <w:r>
        <w:t xml:space="preserve"> </w:t>
      </w:r>
      <w:r>
        <w:t xml:space="preserve">and</w:t>
      </w:r>
      <w:r>
        <w:t xml:space="preserve"> </w:t>
      </w:r>
      <w:r>
        <w:rPr>
          <w:iCs/>
          <w:i/>
        </w:rPr>
        <w:t xml:space="preserve">köprü</w:t>
      </w:r>
      <w:r>
        <w:t xml:space="preserve"> </w:t>
      </w:r>
      <w:r>
        <w:t xml:space="preserve">beside</w:t>
      </w:r>
      <w:r>
        <w:t xml:space="preserve"> </w:t>
      </w:r>
      <w:r>
        <w:rPr>
          <w:iCs/>
          <w:i/>
        </w:rPr>
        <w:t xml:space="preserve">körpü</w:t>
      </w:r>
      <w:r>
        <w:t xml:space="preserve">, and that carried Old Turkic</w:t>
      </w:r>
      <w:r>
        <w:t xml:space="preserve"> </w:t>
      </w:r>
      <w:r>
        <w:rPr>
          <w:iCs/>
          <w:i/>
        </w:rPr>
        <w:t xml:space="preserve">kaşru</w:t>
      </w:r>
      <w:r>
        <w:t xml:space="preserve"> </w:t>
      </w:r>
      <w:r>
        <w:t xml:space="preserve">into modern</w:t>
      </w:r>
      <w:r>
        <w:t xml:space="preserve"> </w:t>
      </w:r>
      <w:r>
        <w:rPr>
          <w:iCs/>
          <w:i/>
        </w:rPr>
        <w:t xml:space="preserve">karşı</w:t>
      </w:r>
      <w:r>
        <w:t xml:space="preserve">.</w:t>
      </w:r>
      <w:r>
        <w:t xml:space="preserve"> </w:t>
      </w:r>
      <w:r>
        <w:rPr>
          <w:iCs/>
          <w:i/>
        </w:rPr>
        <w:t xml:space="preserve">Kırŋak</w:t>
      </w:r>
      <w:r>
        <w:t xml:space="preserve"> </w:t>
      </w:r>
      <w:r>
        <w:t xml:space="preserve">and</w:t>
      </w:r>
      <w:r>
        <w:t xml:space="preserve"> </w:t>
      </w:r>
      <w:r>
        <w:rPr>
          <w:iCs/>
          <w:i/>
        </w:rPr>
        <w:t xml:space="preserve">kıŋrak</w:t>
      </w:r>
      <w:r>
        <w:t xml:space="preserve"> </w:t>
      </w:r>
      <w:r>
        <w:t xml:space="preserve">are two orders of one word.</w:t>
      </w:r>
    </w:p>
    <w:p>
      <w:pPr>
        <w:pStyle w:val="BodyText"/>
      </w:pPr>
      <w:r>
        <w:rPr>
          <w:bCs/>
          <w:b/>
        </w:rPr>
        <w:t xml:space="preserve">What that costs and what it does not.</w:t>
      </w:r>
      <w:r>
        <w:t xml:space="preserve"> </w:t>
      </w:r>
      <w:r>
        <w:t xml:space="preserve">It costs the transcription its vote. Of the</w:t>
      </w:r>
      <w:r>
        <w:t xml:space="preserve"> </w:t>
      </w:r>
      <w:r>
        <w:t xml:space="preserve">two orders only</w:t>
      </w:r>
      <w:r>
        <w:t xml:space="preserve"> </w:t>
      </w:r>
      <w:r>
        <w:rPr>
          <w:iCs/>
          <w:i/>
        </w:rPr>
        <w:t xml:space="preserve">kıŋrak</w:t>
      </w:r>
      <w:r>
        <w:t xml:space="preserve"> </w:t>
      </w:r>
      <w:r>
        <w:t xml:space="preserve">can be written with these characters: 徑 carries a velar onset and a</w:t>
      </w:r>
      <w:r>
        <w:t xml:space="preserve"> </w:t>
      </w:r>
      <w:r>
        <w:t xml:space="preserve">written</w:t>
      </w:r>
      <w:r>
        <w:t xml:space="preserve"> </w:t>
      </w:r>
      <w:r>
        <w:t xml:space="preserve">-ŋ</w:t>
      </w:r>
      <w:r>
        <w:t xml:space="preserve"> </w:t>
      </w:r>
      <w:r>
        <w:t xml:space="preserve">coda and 路 a Chinese</w:t>
      </w:r>
      <w:r>
        <w:t xml:space="preserve"> </w:t>
      </w:r>
      <w:r>
        <w:t xml:space="preserve">l-</w:t>
      </w:r>
      <w:r>
        <w:t xml:space="preserve">, so the</w:t>
      </w:r>
      <w:r>
        <w:t xml:space="preserve"> </w:t>
      </w:r>
      <w:r>
        <w:t xml:space="preserve">spelling prices</w:t>
      </w:r>
      <w:r>
        <w:t xml:space="preserve"> </w:t>
      </w:r>
      <w:r>
        <w:rPr>
          <w:iCs/>
          <w:i/>
        </w:rPr>
        <w:t xml:space="preserve">kıŋrak</w:t>
      </w:r>
      <w:r>
        <w:t xml:space="preserve"> </w:t>
      </w:r>
      <w:r>
        <w:t xml:space="preserve">at 1 in 7, two characters for two syllables in order, and</w:t>
      </w:r>
      <w:r>
        <w:t xml:space="preserve"> </w:t>
      </w:r>
      <w:r>
        <w:rPr>
          <w:iCs/>
          <w:i/>
        </w:rPr>
        <w:t xml:space="preserve">kırŋak</w:t>
      </w:r>
      <w:r>
        <w:t xml:space="preserve"> </w:t>
      </w:r>
      <w:r>
        <w:t xml:space="preserve">at 1 in 123, the latter only by compressing two syllables onto 徑 and leaving 路</w:t>
      </w:r>
      <w:r>
        <w:t xml:space="preserve"> </w:t>
      </w:r>
      <w:r>
        <w:t xml:space="preserve">idle, since no Chinese</w:t>
      </w:r>
      <w:r>
        <w:t xml:space="preserve"> </w:t>
      </w:r>
      <w:r>
        <w:t xml:space="preserve">l-</w:t>
      </w:r>
      <w:r>
        <w:t xml:space="preserve"> </w:t>
      </w:r>
      <w:r>
        <w:t xml:space="preserve">character in the corpus writes a source velar</w:t>
      </w:r>
      <w:r>
        <w:t xml:space="preserve"> </w:t>
      </w:r>
      <w:r>
        <w:t xml:space="preserve">nasal. We record that</w:t>
      </w:r>
      <w:r>
        <w:t xml:space="preserve"> </w:t>
      </w:r>
      <w:r>
        <w:t xml:space="preserve">and do not lean on it: the reading is what is under test here, so the Chinese side cannot also be</w:t>
      </w:r>
      <w:r>
        <w:t xml:space="preserve"> </w:t>
      </w:r>
      <w:r>
        <w:t xml:space="preserve">the evidence that picks the Turkic form. What it does not cost is the identification, because the</w:t>
      </w:r>
      <w:r>
        <w:t xml:space="preserve"> </w:t>
      </w:r>
      <w:r>
        <w:t xml:space="preserve">order is settled inside Turkic without reference to Chinese. The margin corrects toward</w:t>
      </w:r>
      <w:r>
        <w:t xml:space="preserve"> </w:t>
      </w:r>
      <w:r>
        <w:rPr>
          <w:iCs/>
          <w:i/>
        </w:rPr>
        <w:t xml:space="preserve">kıŋrak</w:t>
      </w:r>
      <w:r>
        <w:t xml:space="preserve">; Clauson derives that order from</w:t>
      </w:r>
      <w:r>
        <w:t xml:space="preserve"> </w:t>
      </w:r>
      <w:r>
        <w:rPr>
          <w:iCs/>
          <w:i/>
        </w:rPr>
        <w:t xml:space="preserve">kıŋır</w:t>
      </w:r>
      <w:r>
        <w:t xml:space="preserve"> </w:t>
      </w:r>
      <w:r>
        <w:t xml:space="preserve">"crooked", where the text order has</w:t>
      </w:r>
      <w:r>
        <w:t xml:space="preserve"> </w:t>
      </w:r>
      <w:r>
        <w:t xml:space="preserve">no etymology at all; and every modern survival keeps it, Teleut</w:t>
      </w:r>
      <w:r>
        <w:t xml:space="preserve"> </w:t>
      </w:r>
      <w:r>
        <w:rPr>
          <w:iCs/>
          <w:i/>
        </w:rPr>
        <w:t xml:space="preserve">kıŋırak</w:t>
      </w:r>
      <w:r>
        <w:t xml:space="preserve"> </w:t>
      </w:r>
      <w:r>
        <w:t xml:space="preserve">and Kirghiz</w:t>
      </w:r>
      <w:r>
        <w:t xml:space="preserve"> </w:t>
      </w:r>
      <w:r>
        <w:rPr>
          <w:iCs/>
          <w:i/>
        </w:rPr>
        <w:t xml:space="preserve">kıŋarak / kıŋırak</w:t>
      </w:r>
      <w:r>
        <w:t xml:space="preserve">. Hirth, who made the comparison in 1908, took the word from living</w:t>
      </w:r>
      <w:r>
        <w:t xml:space="preserve"> </w:t>
      </w:r>
      <w:r>
        <w:t xml:space="preserve">Turki dialects and not from this manuscript.</w:t>
      </w:r>
    </w:p>
    <w:p>
      <w:pPr>
        <w:pStyle w:val="BodyText"/>
      </w:pPr>
      <w:r>
        <w:rPr>
          <w:bCs/>
          <w:b/>
        </w:rPr>
        <w:t xml:space="preserve">What remains against the reading.</w:t>
      </w:r>
      <w:r>
        <w:t xml:space="preserve"> </w:t>
      </w:r>
      <w:r>
        <w:rPr>
          <w:iCs/>
          <w:i/>
        </w:rPr>
        <w:t xml:space="preserve">Kıñır</w:t>
      </w:r>
      <w:r>
        <w:t xml:space="preserve"> </w:t>
      </w:r>
      <w:r>
        <w:t xml:space="preserve">fits the transcription with</w:t>
      </w:r>
      <w:r>
        <w:t xml:space="preserve"> </w:t>
      </w:r>
      <w:r>
        <w:t xml:space="preserve">nothing supplied, at three consonants, and it means "crooked" rather than "blade";</w:t>
      </w:r>
      <w:r>
        <w:t xml:space="preserve"> </w:t>
      </w:r>
      <w:r>
        <w:rPr>
          <w:iCs/>
          <w:i/>
        </w:rPr>
        <w:t xml:space="preserve">kıñrak</w:t>
      </w:r>
      <w:r>
        <w:t xml:space="preserve">,</w:t>
      </w:r>
      <w:r>
        <w:t xml:space="preserve"> </w:t>
      </w:r>
      <w:r>
        <w:t xml:space="preserve">which means a knife, needs the unwritten final</w:t>
      </w:r>
      <w:r>
        <w:t xml:space="preserve"> </w:t>
      </w:r>
      <w:r>
        <w:t xml:space="preserve">-k</w:t>
      </w:r>
      <w:r>
        <w:t xml:space="preserve"> </w:t>
      </w:r>
      <w:r>
        <w:t xml:space="preserve">that Table 7 licenses at</w:t>
      </w:r>
      <w:r>
        <w:t xml:space="preserve"> </w:t>
      </w:r>
      <w:r>
        <w:t xml:space="preserve">9 of 23, 39%. The form that fits best does not mean "blade", and the form that means "blade" does</w:t>
      </w:r>
      <w:r>
        <w:t xml:space="preserve"> </w:t>
      </w:r>
      <w:r>
        <w:t xml:space="preserve">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6"/>
    <w:bookmarkStart w:id="47"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1,110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94 of 111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111</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111</w:t>
            </w:r>
          </w:p>
        </w:tc>
        <w:tc>
          <w:tcPr/>
          <w:p>
            <w:pPr>
              <w:pStyle w:val="Compact"/>
              <w:jc w:val="left"/>
            </w:pPr>
            <w:r>
              <w:rPr>
                <w:bCs/>
                <w:b/>
              </w:rPr>
              <w:t xml:space="preserve">fits</w:t>
            </w:r>
            <w:r>
              <w:br/>
            </w:r>
            <w:r>
              <w:t xml:space="preserve">11 of 23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7"/>
    <w:bookmarkEnd w:id="48"/>
    <w:bookmarkStart w:id="49"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9"/>
    <w:bookmarkStart w:id="50"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50"/>
    <w:bookmarkStart w:id="51"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51"/>
    <w:bookmarkStart w:id="54"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2"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Huduershi, which is where the</w:t>
      </w:r>
      <w:r>
        <w:t xml:space="preserve"> </w:t>
      </w:r>
      <w:r>
        <w:rPr>
          <w:iCs/>
          <w:i/>
        </w:rPr>
        <w:t xml:space="preserve">Hanshu</w:t>
      </w:r>
      <w:r>
        <w:t xml:space="preserve">'s account ends, plus both forms of the ruling clan name:</w:t>
      </w:r>
      <w:r>
        <w:t xml:space="preserve"> </w:t>
      </w:r>
      <w:r>
        <w:t xml:space="preserve">虛連題</w:t>
      </w:r>
      <w:r>
        <w:t xml:space="preserve"> </w:t>
      </w:r>
      <w:r>
        <w:t xml:space="preserve">in the</w:t>
      </w:r>
      <w:r>
        <w:t xml:space="preserve"> </w:t>
      </w:r>
      <w:r>
        <w:rPr>
          <w:iCs/>
          <w:i/>
        </w:rPr>
        <w:t xml:space="preserve">Hou Hanshu</w:t>
      </w:r>
      <w:r>
        <w:t xml:space="preserve"> </w:t>
      </w:r>
      <w:r>
        <w:t xml:space="preserve">and</w:t>
      </w:r>
      <w:r>
        <w:t xml:space="preserve"> </w:t>
      </w:r>
      <w:r>
        <w:t xml:space="preserve">攣鞮</w:t>
      </w:r>
      <w:r>
        <w:t xml:space="preserve"> </w:t>
      </w:r>
      <w:r>
        <w:t xml:space="preserve">in the</w:t>
      </w:r>
      <w:r>
        <w:t xml:space="preserve"> </w:t>
      </w:r>
      <w:r>
        <w:rPr>
          <w:iCs/>
          <w:i/>
        </w:rPr>
        <w:t xml:space="preserve">Hanshu</w:t>
      </w:r>
      <w:r>
        <w:t xml:space="preserve">. The</w:t>
      </w:r>
      <w:r>
        <w:t xml:space="preserve"> </w:t>
      </w:r>
      <w:r>
        <w:rPr>
          <w:iCs/>
          <w:i/>
        </w:rPr>
        <w:t xml:space="preserve">Shiji</w:t>
      </w:r>
      <w:r>
        <w:t xml:space="preserve"> </w:t>
      </w:r>
      <w:r>
        <w:t xml:space="preserve">gives neither: its account of Xiongnu custom says they have</w:t>
      </w:r>
      <w:r>
        <w:t xml:space="preserve"> </w:t>
      </w:r>
      <w:r>
        <w:t xml:space="preserve">personal names and no surname, and</w:t>
      </w:r>
      <w:r>
        <w:t xml:space="preserve"> </w:t>
      </w:r>
      <w:r>
        <w:t xml:space="preserve">攣鞮</w:t>
      </w:r>
      <w:r>
        <w:t xml:space="preserve"> </w:t>
      </w:r>
      <w:r>
        <w:t xml:space="preserve">enters that text only through a</w:t>
      </w:r>
      <w:r>
        <w:t xml:space="preserve"> </w:t>
      </w:r>
      <w:r>
        <w:t xml:space="preserve">later commentary quoting the</w:t>
      </w:r>
      <w:r>
        <w:t xml:space="preserve"> </w:t>
      </w:r>
      <w:r>
        <w:rPr>
          <w:iCs/>
          <w:i/>
        </w:rPr>
        <w:t xml:space="preserve">Hanshu</w:t>
      </w:r>
      <w:r>
        <w:t xml:space="preserve">.</w:t>
      </w:r>
    </w:p>
    <w:bookmarkEnd w:id="52"/>
    <w:bookmarkStart w:id="53"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 though not all of them in the same place:</w:t>
      </w:r>
      <w:r>
        <w:t xml:space="preserve"> </w:t>
      </w:r>
      <w:r>
        <w:t xml:space="preserve">服匿</w:t>
      </w:r>
      <w:r>
        <w:t xml:space="preserve"> </w:t>
      </w:r>
      <w:r>
        <w:t xml:space="preserve">is absent from the</w:t>
      </w:r>
      <w:r>
        <w:t xml:space="preserve"> </w:t>
      </w:r>
      <w:r>
        <w:t xml:space="preserve">three Xiongnu chapters and is glossed in</w:t>
      </w:r>
      <w:r>
        <w:t xml:space="preserve"> </w:t>
      </w:r>
      <w:r>
        <w:rPr>
          <w:iCs/>
          <w:i/>
        </w:rPr>
        <w:t xml:space="preserve">Hanshu</w:t>
      </w:r>
      <w:r>
        <w:t xml:space="preserve"> </w:t>
      </w:r>
      <w:r>
        <w:t xml:space="preserve">54, the life of Su Wu.</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3"/>
    <w:bookmarkEnd w:id="54"/>
    <w:bookmarkStart w:id="84" w:name="b-references"/>
    <w:p>
      <w:pPr>
        <w:pStyle w:val="Heading2"/>
      </w:pPr>
      <w:r>
        <w:t xml:space="preserve">B</w:t>
      </w:r>
      <w:r>
        <w:t xml:space="preserve"> </w:t>
      </w:r>
      <w:r>
        <w:t xml:space="preserve">References</w:t>
      </w:r>
    </w:p>
    <w:p>
      <w:pPr>
        <w:numPr>
          <w:ilvl w:val="0"/>
          <w:numId w:val="1003"/>
        </w:numPr>
        <w:pStyle w:val="Compact"/>
      </w:pPr>
      <w:bookmarkStart w:id="55"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5"/>
    </w:p>
    <w:p>
      <w:pPr>
        <w:numPr>
          <w:ilvl w:val="0"/>
          <w:numId w:val="1003"/>
        </w:numPr>
        <w:pStyle w:val="Compact"/>
      </w:pPr>
      <w:bookmarkStart w:id="56" w:name="r2"/>
      <w:r>
        <w:t xml:space="preserve">Baxter, W. H. &amp; Sagart, L. (2014).</w:t>
      </w:r>
      <w:r>
        <w:t xml:space="preserve"> </w:t>
      </w:r>
      <w:r>
        <w:rPr>
          <w:iCs/>
          <w:i/>
        </w:rPr>
        <w:t xml:space="preserve">Old Chinese: A New Reconstruction</w:t>
      </w:r>
      <w:r>
        <w:t xml:space="preserve">. Oxford University Press.</w:t>
      </w:r>
      <w:bookmarkEnd w:id="56"/>
    </w:p>
    <w:p>
      <w:pPr>
        <w:numPr>
          <w:ilvl w:val="0"/>
          <w:numId w:val="1003"/>
        </w:numPr>
        <w:pStyle w:val="Compact"/>
      </w:pPr>
      <w:bookmarkStart w:id="57"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7"/>
    </w:p>
    <w:p>
      <w:pPr>
        <w:numPr>
          <w:ilvl w:val="0"/>
          <w:numId w:val="1003"/>
        </w:numPr>
        <w:pStyle w:val="Compact"/>
      </w:pPr>
      <w:bookmarkStart w:id="58" w:name="r4"/>
      <w:r>
        <w:t xml:space="preserve">Clauson, G. (1972).</w:t>
      </w:r>
      <w:r>
        <w:t xml:space="preserve"> </w:t>
      </w:r>
      <w:r>
        <w:rPr>
          <w:iCs/>
          <w:i/>
        </w:rPr>
        <w:t xml:space="preserve">An Etymological Dictionary of Pre-Thirteenth-Century Turkish</w:t>
      </w:r>
      <w:r>
        <w:t xml:space="preserve">. Oxford: Clarendon Press.</w:t>
      </w:r>
      <w:bookmarkEnd w:id="58"/>
    </w:p>
    <w:p>
      <w:pPr>
        <w:numPr>
          <w:ilvl w:val="0"/>
          <w:numId w:val="1003"/>
        </w:numPr>
        <w:pStyle w:val="Compact"/>
      </w:pPr>
      <w:bookmarkStart w:id="59"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9"/>
    </w:p>
    <w:p>
      <w:pPr>
        <w:numPr>
          <w:ilvl w:val="0"/>
          <w:numId w:val="1003"/>
        </w:numPr>
        <w:pStyle w:val="Compact"/>
      </w:pPr>
      <w:bookmarkStart w:id="60" w:name="r6"/>
      <w:r>
        <w:t xml:space="preserve">Doerfer, G. (1973). Zur Sprache der Hunnen.</w:t>
      </w:r>
      <w:r>
        <w:t xml:space="preserve"> </w:t>
      </w:r>
      <w:r>
        <w:rPr>
          <w:iCs/>
          <w:i/>
        </w:rPr>
        <w:t xml:space="preserve">Central Asiatic Journal</w:t>
      </w:r>
      <w:r>
        <w:t xml:space="preserve"> </w:t>
      </w:r>
      <w:r>
        <w:t xml:space="preserve">17: 1–50.</w:t>
      </w:r>
      <w:bookmarkEnd w:id="60"/>
    </w:p>
    <w:p>
      <w:pPr>
        <w:numPr>
          <w:ilvl w:val="0"/>
          <w:numId w:val="1003"/>
        </w:numPr>
        <w:pStyle w:val="Compact"/>
      </w:pPr>
      <w:bookmarkStart w:id="61" w:name="r7"/>
      <w:r>
        <w:t xml:space="preserve">Erdal, M. (2004).</w:t>
      </w:r>
      <w:r>
        <w:t xml:space="preserve"> </w:t>
      </w:r>
      <w:r>
        <w:rPr>
          <w:iCs/>
          <w:i/>
        </w:rPr>
        <w:t xml:space="preserve">A Grammar of Old Turkic</w:t>
      </w:r>
      <w:r>
        <w:t xml:space="preserve">. Leiden: Brill.</w:t>
      </w:r>
      <w:bookmarkEnd w:id="61"/>
    </w:p>
    <w:p>
      <w:pPr>
        <w:numPr>
          <w:ilvl w:val="0"/>
          <w:numId w:val="1003"/>
        </w:numPr>
        <w:pStyle w:val="Compact"/>
      </w:pPr>
      <w:bookmarkStart w:id="62"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2"/>
    </w:p>
    <w:p>
      <w:pPr>
        <w:numPr>
          <w:ilvl w:val="0"/>
          <w:numId w:val="1003"/>
        </w:numPr>
        <w:pStyle w:val="Compact"/>
      </w:pPr>
      <w:bookmarkStart w:id="63"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3"/>
    </w:p>
    <w:p>
      <w:pPr>
        <w:numPr>
          <w:ilvl w:val="0"/>
          <w:numId w:val="1003"/>
        </w:numPr>
        <w:pStyle w:val="Compact"/>
      </w:pPr>
      <w:bookmarkStart w:id="64" w:name="r10"/>
      <w:r>
        <w:t xml:space="preserve">Hú Zhènhuá &amp; Huáng Rùnhuá (1984). 《高昌舘杂字：明代汉文回鹘文分类词汇》. Běijīng: Mínzú chūbǎnshè.</w:t>
      </w:r>
      <w:bookmarkEnd w:id="64"/>
    </w:p>
    <w:p>
      <w:pPr>
        <w:numPr>
          <w:ilvl w:val="0"/>
          <w:numId w:val="1003"/>
        </w:numPr>
        <w:pStyle w:val="Compact"/>
      </w:pPr>
      <w:bookmarkStart w:id="65"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5"/>
    </w:p>
    <w:p>
      <w:pPr>
        <w:numPr>
          <w:ilvl w:val="0"/>
          <w:numId w:val="1003"/>
        </w:numPr>
        <w:pStyle w:val="Compact"/>
      </w:pPr>
      <w:bookmarkStart w:id="66"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 English translation used here: Dankoff, R. &amp; Kelly, J., ed. and tr. (1982–85),</w:t>
      </w:r>
      <w:r>
        <w:t xml:space="preserve"> </w:t>
      </w:r>
      <w:r>
        <w:rPr>
          <w:iCs/>
          <w:i/>
        </w:rPr>
        <w:t xml:space="preserve">Maḥmūd al-Kāšγarī: Compendium of the Turkic Dialects (Dīwān Luγāt at-Turk)</w:t>
      </w:r>
      <w:r>
        <w:t xml:space="preserve">, 3 vols., Sources of Oriental Languages and Literatures 7, Harvard University Printing Office.</w:t>
      </w:r>
      <w:bookmarkEnd w:id="66"/>
    </w:p>
    <w:p>
      <w:pPr>
        <w:numPr>
          <w:ilvl w:val="0"/>
          <w:numId w:val="1003"/>
        </w:numPr>
        <w:pStyle w:val="Compact"/>
      </w:pPr>
      <w:bookmarkStart w:id="67"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7"/>
    </w:p>
    <w:p>
      <w:pPr>
        <w:numPr>
          <w:ilvl w:val="0"/>
          <w:numId w:val="1003"/>
        </w:numPr>
        <w:pStyle w:val="Compact"/>
      </w:pPr>
      <w:bookmarkStart w:id="68"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8"/>
    </w:p>
    <w:p>
      <w:pPr>
        <w:numPr>
          <w:ilvl w:val="0"/>
          <w:numId w:val="1003"/>
        </w:numPr>
        <w:pStyle w:val="Compact"/>
      </w:pPr>
      <w:bookmarkStart w:id="69" w:name="r15"/>
      <w:r>
        <w:t xml:space="preserve">Altmann, G. (1974). Lautgesetz und Zufall [review of Doerfer 1973].</w:t>
      </w:r>
      <w:r>
        <w:t xml:space="preserve"> </w:t>
      </w:r>
      <w:r>
        <w:rPr>
          <w:iCs/>
          <w:i/>
        </w:rPr>
        <w:t xml:space="preserve">Anthropos</w:t>
      </w:r>
      <w:r>
        <w:t xml:space="preserve"> </w:t>
      </w:r>
      <w:r>
        <w:t xml:space="preserve">69: 263–271. JSTOR 40458521.</w:t>
      </w:r>
      <w:bookmarkEnd w:id="69"/>
    </w:p>
    <w:p>
      <w:pPr>
        <w:numPr>
          <w:ilvl w:val="0"/>
          <w:numId w:val="1003"/>
        </w:numPr>
        <w:pStyle w:val="Compact"/>
      </w:pPr>
      <w:bookmarkStart w:id="70"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70"/>
    </w:p>
    <w:p>
      <w:pPr>
        <w:numPr>
          <w:ilvl w:val="0"/>
          <w:numId w:val="1003"/>
        </w:numPr>
        <w:pStyle w:val="Compact"/>
      </w:pPr>
      <w:bookmarkStart w:id="71"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71"/>
    </w:p>
    <w:p>
      <w:pPr>
        <w:numPr>
          <w:ilvl w:val="0"/>
          <w:numId w:val="1003"/>
        </w:numPr>
        <w:pStyle w:val="Compact"/>
      </w:pPr>
      <w:bookmarkStart w:id="72"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2"/>
    </w:p>
    <w:p>
      <w:pPr>
        <w:numPr>
          <w:ilvl w:val="0"/>
          <w:numId w:val="1003"/>
        </w:numPr>
        <w:pStyle w:val="Compact"/>
      </w:pPr>
      <w:bookmarkStart w:id="73" w:name="r19"/>
      <w:r>
        <w:t xml:space="preserve">Pulleyblank, E. G. (1962). The consonantal system of Old Chinese.</w:t>
      </w:r>
      <w:r>
        <w:t xml:space="preserve"> </w:t>
      </w:r>
      <w:r>
        <w:rPr>
          <w:iCs/>
          <w:i/>
        </w:rPr>
        <w:t xml:space="preserve">Asia Major</w:t>
      </w:r>
      <w:r>
        <w:t xml:space="preserve"> </w:t>
      </w:r>
      <w:r>
        <w:t xml:space="preserve">9: 58–144, 206–265.</w:t>
      </w:r>
      <w:bookmarkEnd w:id="73"/>
    </w:p>
    <w:p>
      <w:pPr>
        <w:numPr>
          <w:ilvl w:val="0"/>
          <w:numId w:val="1003"/>
        </w:numPr>
        <w:pStyle w:val="Compact"/>
      </w:pPr>
      <w:bookmarkStart w:id="74"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4"/>
    </w:p>
    <w:p>
      <w:pPr>
        <w:numPr>
          <w:ilvl w:val="0"/>
          <w:numId w:val="1003"/>
        </w:numPr>
        <w:pStyle w:val="Compact"/>
      </w:pPr>
      <w:bookmarkStart w:id="75"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5"/>
    </w:p>
    <w:p>
      <w:pPr>
        <w:numPr>
          <w:ilvl w:val="0"/>
          <w:numId w:val="1003"/>
        </w:numPr>
        <w:pStyle w:val="Compact"/>
      </w:pPr>
      <w:bookmarkStart w:id="76"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6"/>
    </w:p>
    <w:p>
      <w:pPr>
        <w:numPr>
          <w:ilvl w:val="0"/>
          <w:numId w:val="1003"/>
        </w:numPr>
        <w:pStyle w:val="Compact"/>
      </w:pPr>
      <w:bookmarkStart w:id="77" w:name="r23"/>
      <w:r>
        <w:t xml:space="preserve">Speer, R. (2022).</w:t>
      </w:r>
      <w:r>
        <w:t xml:space="preserve"> </w:t>
      </w:r>
      <w:r>
        <w:rPr>
          <w:iCs/>
          <w:i/>
        </w:rPr>
        <w:t xml:space="preserve">wordfreq</w:t>
      </w:r>
      <w:r>
        <w:t xml:space="preserve">: word frequency data for 40+ languages, v3 [software]. Zenodo, doi:10.5281/zenodo.7199437</w:t>
      </w:r>
      <w:bookmarkEnd w:id="77"/>
    </w:p>
    <w:p>
      <w:pPr>
        <w:numPr>
          <w:ilvl w:val="0"/>
          <w:numId w:val="1003"/>
        </w:numPr>
        <w:pStyle w:val="Compact"/>
      </w:pPr>
      <w:bookmarkStart w:id="78"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8"/>
    </w:p>
    <w:p>
      <w:pPr>
        <w:numPr>
          <w:ilvl w:val="0"/>
          <w:numId w:val="1003"/>
        </w:numPr>
        <w:pStyle w:val="Compact"/>
      </w:pPr>
      <w:bookmarkStart w:id="79"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9"/>
    </w:p>
    <w:p>
      <w:pPr>
        <w:numPr>
          <w:ilvl w:val="0"/>
          <w:numId w:val="1003"/>
        </w:numPr>
        <w:pStyle w:val="Compact"/>
      </w:pPr>
      <w:bookmarkStart w:id="80"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80"/>
    </w:p>
    <w:p>
      <w:pPr>
        <w:numPr>
          <w:ilvl w:val="0"/>
          <w:numId w:val="1003"/>
        </w:numPr>
        <w:pStyle w:val="Compact"/>
      </w:pPr>
      <w:bookmarkStart w:id="81" w:name="r27"/>
      <w:r>
        <w:t xml:space="preserve">Vovin, A. (2000). Did the Xiong-nu speak a Yeniseian language?</w:t>
      </w:r>
      <w:r>
        <w:t xml:space="preserve"> </w:t>
      </w:r>
      <w:r>
        <w:rPr>
          <w:iCs/>
          <w:i/>
        </w:rPr>
        <w:t xml:space="preserve">Central Asiatic Journal</w:t>
      </w:r>
      <w:r>
        <w:t xml:space="preserve"> </w:t>
      </w:r>
      <w:r>
        <w:t xml:space="preserve">44(1): 87–104.</w:t>
      </w:r>
      <w:bookmarkEnd w:id="81"/>
    </w:p>
    <w:p>
      <w:pPr>
        <w:numPr>
          <w:ilvl w:val="0"/>
          <w:numId w:val="1003"/>
        </w:numPr>
        <w:pStyle w:val="Compact"/>
      </w:pPr>
      <w:bookmarkStart w:id="82"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2"/>
    </w:p>
    <w:p>
      <w:pPr>
        <w:numPr>
          <w:ilvl w:val="0"/>
          <w:numId w:val="1003"/>
        </w:numPr>
        <w:pStyle w:val="Compact"/>
      </w:pPr>
      <w:bookmarkStart w:id="83" w:name="r29"/>
      <w:r>
        <w:t xml:space="preserve">Wittek, A. et al. (2020). ASJP Database v19. Zenodo, doi:10.5281/zenodo.3843469</w:t>
      </w:r>
      <w:bookmarkEnd w:id="83"/>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2026-09-06T10:36:01Z</dcterms:created>
  <dcterms:modified xsi:type="dcterms:W3CDTF">2026-09-06T10:36:01Z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