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3"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build and release</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1,017 verified Chinese–Sanskrit pairs separated out of a Buddhist dictionary that</w:t>
      </w:r>
      <w:r>
        <w:t xml:space="preserve"> </w:t>
      </w:r>
      <w:r>
        <w:t xml:space="preserve">mixes phonetic spellings with translations; and</w:t>
      </w:r>
      <w:r>
        <w:t xml:space="preserve"> </w:t>
      </w:r>
      <w:r>
        <w:rPr>
          <w:bCs/>
          <w:b/>
        </w:rPr>
        <w:t xml:space="preserve">two medieval Turkic lexicons</w:t>
      </w:r>
      <w:r>
        <w:t xml:space="preserve"> </w:t>
      </w:r>
      <w:r>
        <w:t xml:space="preserve">in</w:t>
      </w:r>
      <w:r>
        <w:t xml:space="preserve"> </w:t>
      </w:r>
      <w:r>
        <w:t xml:space="preserve">machine-readable form, for which we found no downloadable dataset (§3). On held-out data the</w:t>
      </w:r>
      <w:r>
        <w:t xml:space="preserve"> </w:t>
      </w:r>
      <w:r>
        <w:t xml:space="preserve">channel reconstructs 31% of Turkic words exactly and 84% within two segments (§5).</w:t>
      </w:r>
    </w:p>
    <w:p>
      <w:pPr>
        <w:pStyle w:val="BodyText"/>
      </w:pPr>
      <w:r>
        <w:t xml:space="preserve">Three results follow.</w:t>
      </w:r>
      <w:r>
        <w:t xml:space="preserve"> </w:t>
      </w:r>
      <w:r>
        <w:rPr>
          <w:bCs/>
          <w:b/>
        </w:rPr>
        <w:t xml:space="preserve">One positive reading</w:t>
      </w:r>
      <w:r>
        <w:t xml:space="preserve"> </w:t>
      </w:r>
      <w:r>
        <w:t xml:space="preserve">survives every test we can apply:</w:t>
      </w:r>
      <w:r>
        <w:t xml:space="preserve"> </w:t>
      </w:r>
      <w:r>
        <w:t xml:space="preserve">若鞮</w:t>
      </w:r>
      <w:r>
        <w:t xml:space="preserve">, the element closing the formal names of six later chanyu, reads</w:t>
      </w:r>
      <w:r>
        <w:t xml:space="preserve"> </w:t>
      </w:r>
      <w:r>
        <w:t xml:space="preserve">as</w:t>
      </w:r>
      <w:r>
        <w:t xml:space="preserve"> </w:t>
      </w:r>
      <w:r>
        <w:rPr>
          <w:iCs/>
          <w:i/>
        </w:rPr>
        <w:t xml:space="preserve">İnakt</w:t>
      </w:r>
      <w:r>
        <w:t xml:space="preserve"> </w:t>
      </w:r>
      <w:r>
        <w:t xml:space="preserve">"the faithful ones" (§9).</w:t>
      </w:r>
      <w:r>
        <w:t xml:space="preserve"> </w:t>
      </w:r>
      <w:r>
        <w:rPr>
          <w:bCs/>
          <w:b/>
        </w:rPr>
        <w:t xml:space="preserve">One century-old disagreement is</w:t>
      </w:r>
      <w:r>
        <w:rPr>
          <w:bCs/>
          <w:b/>
        </w:rPr>
        <w:t xml:space="preserve"> </w:t>
      </w:r>
      <w:r>
        <w:rPr>
          <w:bCs/>
          <w:b/>
        </w:rPr>
        <w:t xml:space="preserve">relocated</w:t>
      </w:r>
      <w:r>
        <w:t xml:space="preserve">: the dispute over</w:t>
      </w:r>
      <w:r>
        <w:t xml:space="preserve"> </w:t>
      </w:r>
      <w:r>
        <w:t xml:space="preserve">冒頓</w:t>
      </w:r>
      <w:r>
        <w:t xml:space="preserve"> </w:t>
      </w:r>
      <w:r>
        <w:t xml:space="preserve">turns on which value is</w:t>
      </w:r>
      <w:r>
        <w:t xml:space="preserve"> </w:t>
      </w:r>
      <w:r>
        <w:t xml:space="preserve">taken for a single character, which carries two Later Han readings and a third from a commentary. We</w:t>
      </w:r>
      <w:r>
        <w:t xml:space="preserve"> </w:t>
      </w:r>
      <w:r>
        <w:t xml:space="preserve">price each branch, and no published reading of this name states the choice it is making</w:t>
      </w:r>
      <w:r>
        <w:t xml:space="preserve"> </w:t>
      </w:r>
      <w:r>
        <w:t xml:space="preserve">(§9.2). And</w:t>
      </w:r>
      <w:r>
        <w:t xml:space="preserve"> </w:t>
      </w:r>
      <w:r>
        <w:rPr>
          <w:bCs/>
          <w:b/>
        </w:rPr>
        <w:t xml:space="preserve">a set of measured negative results</w:t>
      </w:r>
      <w:r>
        <w:t xml:space="preserve">, one of them demonstrated on an</w:t>
      </w:r>
      <w:r>
        <w:t xml:space="preserve"> </w:t>
      </w:r>
      <w:r>
        <w:t xml:space="preserve">item chosen by the Yeniseian hypothesis rather than by us. Language attribution from transcription</w:t>
      </w:r>
      <w:r>
        <w:t xml:space="preserve"> </w:t>
      </w:r>
      <w:r>
        <w:t xml:space="preserve">evidence is not supportable on available reference data: at</w:t>
      </w:r>
      <w:r>
        <w:t xml:space="preserve"> </w:t>
      </w:r>
      <w:r>
        <w:t xml:space="preserve">閼氏</w:t>
      </w:r>
      <w:r>
        <w:t xml:space="preserve">, the chanyu's consort title, the same spelling writes a well formed</w:t>
      </w:r>
      <w:r>
        <w:t xml:space="preserve"> </w:t>
      </w:r>
      <w:r>
        <w:t xml:space="preserve">Yeniseian</w:t>
      </w:r>
      <w:r>
        <w:t xml:space="preserve"> </w:t>
      </w:r>
      <w:r>
        <w:rPr>
          <w:iCs/>
          <w:i/>
        </w:rPr>
        <w:t xml:space="preserve">elte</w:t>
      </w:r>
      <w:r>
        <w:t xml:space="preserve"> </w:t>
      </w:r>
      <w:r>
        <w:t xml:space="preserve">"wife" and a Turkic</w:t>
      </w:r>
      <w:r>
        <w:t xml:space="preserve"> </w:t>
      </w:r>
      <w:r>
        <w:rPr>
          <w:iCs/>
          <w:i/>
        </w:rPr>
        <w:t xml:space="preserve">elti</w:t>
      </w:r>
      <w:r>
        <w:t xml:space="preserve"> </w:t>
      </w:r>
      <w:r>
        <w:t xml:space="preserve">"lady" by exactly the same steps, so it</w:t>
      </w:r>
      <w:r>
        <w:t xml:space="preserve"> </w:t>
      </w:r>
      <w:r>
        <w:t xml:space="preserve">licenses both and selects neither. Nor is full reconstruction supportable at the density of evidence</w:t>
      </w:r>
      <w:r>
        <w:t xml:space="preserve"> </w:t>
      </w:r>
      <w:r>
        <w:t xml:space="preserve">that survives: 1.4 observations per character, against the 60 that made the same method work on</w:t>
      </w:r>
      <w:r>
        <w:t xml:space="preserve"> </w:t>
      </w:r>
      <w:r>
        <w:t xml:space="preserve">Mongolian (§6, §9.1).</w:t>
      </w:r>
    </w:p>
    <w:p>
      <w:pPr>
        <w:pStyle w:val="BodyText"/>
      </w:pPr>
      <w:r>
        <w:t xml:space="preserve">Section 7 answers the question the field has carried unresolved since 1973. Doerfer argued that</w:t>
      </w:r>
      <w:r>
        <w:t xml:space="preserve"> </w:t>
      </w:r>
      <w:r>
        <w:t xml:space="preserve">chance resemblance is pervasive in long-range comparison; his reviewer sharpened it into a threshold</w:t>
      </w:r>
      <w:r>
        <w:t xml:space="preserve"> </w:t>
      </w:r>
      <w:r>
        <w:t xml:space="preserve">problem:</w:t>
      </w:r>
      <w:r>
        <w:t xml:space="preserve"> </w:t>
      </w:r>
      <w:r>
        <w:rPr>
          <w:iCs/>
          <w:i/>
        </w:rPr>
        <w:t xml:space="preserve">is it a sound law if 49% of cases show one correspondence and 51% another?</w:t>
      </w:r>
      <w:r>
        <w:t xml:space="preserve"> </w:t>
      </w:r>
      <w:r>
        <w:t xml:space="preserve">We apply</w:t>
      </w:r>
      <w:r>
        <w:t xml:space="preserve"> </w:t>
      </w:r>
      <w:r>
        <w:t xml:space="preserve">Doerfer's three classes with confidence intervals, and find that the threshold cannot be a constant:</w:t>
      </w:r>
      <w:r>
        <w:t xml:space="preserve"> </w:t>
      </w:r>
      <w:r>
        <w:t xml:space="preserve">it is the baseline of the component being measured, and it moves with how many outcomes that</w:t>
      </w:r>
      <w:r>
        <w:t xml:space="preserve"> </w:t>
      </w:r>
      <w:r>
        <w:t xml:space="preserve">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The question is given a period reading, can the original 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 review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the reviewer</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 datasets as the needed resources: three of transcription pairs, and two lexicons of Turkic itself. We release or make reproducible all of them (see §12).</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1,017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 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 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1,017</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the ~60 of the Mongolian corpus, which is the density at which the same method reconstructs 36.9% of words exactly (Table 1).</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Yeniseian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known answers (</w:t>
      </w:r>
      <w:r>
        <w:rPr>
          <w:iCs/>
          <w:i/>
        </w:rPr>
        <w:t xml:space="preserve">tümen</w:t>
      </w:r>
      <w:r>
        <w:t xml:space="preserve">,</w:t>
      </w:r>
      <w:r>
        <w:t xml:space="preserve"> </w:t>
      </w:r>
      <w:r>
        <w:rPr>
          <w:iCs/>
          <w:i/>
        </w:rPr>
        <w:t xml:space="preserve">tengri</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the reviewer's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the reviewer's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rPr>
          <w:bCs/>
          <w:b/>
        </w:rPr>
        <w:t xml:space="preserve">What this changes about the question.</w:t>
      </w:r>
      <w:r>
        <w:t xml:space="preserve"> </w:t>
      </w:r>
      <w:r>
        <w:t xml:space="preserve">The reviewer asked for one number: the</w:t>
      </w:r>
      <w:r>
        <w:t xml:space="preserve"> </w:t>
      </w:r>
      <w:r>
        <w:t xml:space="preserve">percentage above which a correspondence counts as a sound law. The four components show that no</w:t>
      </w:r>
      <w:r>
        <w:t xml:space="preserve"> </w:t>
      </w:r>
      <w:r>
        <w:t xml:space="preserve">single number can serve, because the same percentage means different things in different places.</w:t>
      </w:r>
      <w:r>
        <w:t xml:space="preserve"> </w:t>
      </w:r>
      <w:r>
        <w:t xml:space="preserve">A vowel correspondence at 50% and a coin landing heads at 50% are not the same result. The coin</w:t>
      </w:r>
      <w:r>
        <w:t xml:space="preserve"> </w:t>
      </w:r>
      <w:r>
        <w:t xml:space="preserve">has two outcomes, so 50% is exactly what ignorance gives you and the correspondence carries no</w:t>
      </w:r>
      <w:r>
        <w:t xml:space="preserve"> </w:t>
      </w:r>
      <w:r>
        <w:t xml:space="preserve">information at all. The vowel has many outcomes, and ignorance gives you 15.2%, so the same 50%</w:t>
      </w:r>
      <w:r>
        <w:t xml:space="preserve"> </w:t>
      </w:r>
      <w:r>
        <w:t xml:space="preserve">is more than three times the rate you would get by knowing nothing, and it carries a great deal.</w:t>
      </w:r>
      <w:r>
        <w:t xml:space="preserve"> </w:t>
      </w:r>
      <w:r>
        <w:t xml:space="preserve">The threshold that separates a law from chance is therefore not a constant to be agreed on once</w:t>
      </w:r>
      <w:r>
        <w:t xml:space="preserve"> </w:t>
      </w:r>
      <w:r>
        <w:t xml:space="preserve">and applied everywhere. It is the baseline of the component being measured, it is set by how many</w:t>
      </w:r>
      <w:r>
        <w:t xml:space="preserve"> </w:t>
      </w:r>
      <w:r>
        <w:t xml:space="preserve">outcomes that component has, and it has to be computed for that component before any percentage</w:t>
      </w:r>
      <w:r>
        <w:t xml:space="preserve"> </w:t>
      </w:r>
      <w:r>
        <w:t xml:space="preserve">can be read at all. That is why the question could stay open for fifty years without either side</w:t>
      </w:r>
      <w:r>
        <w:t xml:space="preserve"> </w:t>
      </w:r>
      <w:r>
        <w:t xml:space="preserve">being wrong: it was posed as a question about percentages, and it is a question about baselines.</w:t>
      </w:r>
    </w:p>
    <w:bookmarkEnd w:id="37"/>
    <w:bookmarkStart w:id="43" w:name="five-measurements-of-scribal-practice"/>
    <w:p>
      <w:pPr>
        <w:pStyle w:val="Heading2"/>
      </w:pPr>
      <w:r>
        <w:t xml:space="preserve">8</w:t>
      </w:r>
      <w:r>
        <w:t xml:space="preserve"> </w:t>
      </w:r>
      <w:r>
        <w:t xml:space="preserve">Five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 a Turkic reading the whole etymology rests on that substitution being something a Han scribe would do.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37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(57%), used a</w:t>
      </w:r>
      <w:r>
        <w:t xml:space="preserve"> </w:t>
      </w:r>
      <w:r>
        <w:t xml:space="preserve">-t</w:t>
      </w:r>
      <w:r>
        <w:t xml:space="preserve"> </w:t>
      </w:r>
      <w:r>
        <w:t xml:space="preserve">coda</w:t>
      </w:r>
      <w:r>
        <w:t xml:space="preserve"> </w:t>
      </w:r>
      <w:r>
        <w:rPr>
          <w:bCs/>
          <w:b/>
        </w:rPr>
        <w:t xml:space="preserve">14</w:t>
      </w:r>
      <w:r>
        <w:t xml:space="preserve"> </w:t>
      </w:r>
      <w:r>
        <w:t xml:space="preserve">times (38%):</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1,017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 kept in view: the result rests on three transcriptions, and had those three gone the other way the rate would be zero. The interval, 4.7% to 33.3%, is correspondingly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Start w:id="41" w:name="Xc83c8c2c22241f54bcb4de20d5d8a7102efe378"/>
    <w:p>
      <w:pPr>
        <w:pStyle w:val="Heading3"/>
      </w:pPr>
      <w:r>
        <w:t xml:space="preserve">8.4  Which source vowel does a written vowel claim?</w:t>
      </w:r>
    </w:p>
    <w:p>
      <w:pPr>
        <w:pStyle w:val="FirstParagraph"/>
      </w:pPr>
      <w:r>
        <w:t xml:space="preserve">The three measurements above concern consonants. A reading proposal also stands or falls on the</w:t>
      </w:r>
      <w:r>
        <w:t xml:space="preserve"> </w:t>
      </w:r>
      <w:r>
        <w:t xml:space="preserve">vowel, and where a character carries more than one Later Han reading it is often the vowel that separates the readings.</w:t>
      </w:r>
      <w:r>
        <w:t xml:space="preserve"> </w:t>
      </w:r>
      <w:r>
        <w:t xml:space="preserve">冒</w:t>
      </w:r>
      <w:r>
        <w:t xml:space="preserve">, the first character of the name §9.2 turns on, is</w:t>
      </w:r>
      <w:r>
        <w:t xml:space="preserve"> </w:t>
      </w:r>
      <w:r>
        <w:t xml:space="preserve">such a character:</w:t>
      </w:r>
      <w:r>
        <w:t xml:space="preserve"> </w:t>
      </w:r>
      <w:r>
        <w:t xml:space="preserve">mək</w:t>
      </w:r>
      <w:r>
        <w:t xml:space="preserve"> </w:t>
      </w:r>
      <w:r>
        <w:t xml:space="preserve">with a central vowel in one reading,</w:t>
      </w:r>
      <w:r>
        <w:t xml:space="preserve"> </w:t>
      </w:r>
      <w:r>
        <w:t xml:space="preserve">mouᶜ</w:t>
      </w:r>
      <w:r>
        <w:t xml:space="preserve"> </w:t>
      </w:r>
      <w:r>
        <w:t xml:space="preserve">with a rounded one in the other. So we put the same question to the</w:t>
      </w:r>
      <w:r>
        <w:t xml:space="preserve"> </w:t>
      </w:r>
      <w:r>
        <w:t xml:space="preserve">vowels that §8.2 put to the codas, on the same 770 aligned pairs. Each character is paired with</w:t>
      </w:r>
      <w:r>
        <w:t xml:space="preserve"> </w:t>
      </w:r>
      <w:r>
        <w:t xml:space="preserve">the source vowel in its own position, and the source vowels are grouped into the three classes</w:t>
      </w:r>
      <w:r>
        <w:t xml:space="preserve"> </w:t>
      </w:r>
      <w:r>
        <w:t xml:space="preserve">Later Han shares with Sanskrit, plus the vocalic</w:t>
      </w:r>
      <w:r>
        <w:t xml:space="preserve"> </w:t>
      </w:r>
      <w:r>
        <w:t xml:space="preserve">ṛ</w:t>
      </w:r>
      <w:r>
        <w:t xml:space="preserve">, which it does</w:t>
      </w:r>
      <w:r>
        <w:t xml:space="preserve"> </w:t>
      </w:r>
      <w:r>
        <w:t xml:space="preserve">not have.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 vowel</w:t>
            </w:r>
          </w:p>
        </w:tc>
        <w:tc>
          <w:tcPr/>
          <w:p>
            <w:pPr>
              <w:pStyle w:val="Compact"/>
              <w:jc w:val="left"/>
            </w:pPr>
            <w:r>
              <w:t xml:space="preserve">n</w:t>
            </w:r>
          </w:p>
        </w:tc>
        <w:tc>
          <w:tcPr/>
          <w:p>
            <w:pPr>
              <w:pStyle w:val="Compact"/>
              <w:jc w:val="left"/>
            </w:pPr>
            <w:r>
              <w:t xml:space="preserve">Written open</w:t>
            </w:r>
            <w:r>
              <w:br/>
            </w:r>
            <w:r>
              <w:t xml:space="preserve">a ɑ</w:t>
            </w:r>
          </w:p>
        </w:tc>
        <w:tc>
          <w:tcPr/>
          <w:p>
            <w:pPr>
              <w:pStyle w:val="Compact"/>
              <w:jc w:val="left"/>
            </w:pPr>
            <w:r>
              <w:t xml:space="preserve">Written central</w:t>
            </w:r>
            <w:r>
              <w:br/>
            </w:r>
            <w:r>
              <w:t xml:space="preserve">ə ɨ</w:t>
            </w:r>
          </w:p>
        </w:tc>
        <w:tc>
          <w:tcPr/>
          <w:p>
            <w:pPr>
              <w:pStyle w:val="Compact"/>
              <w:jc w:val="left"/>
            </w:pPr>
            <w:r>
              <w:t xml:space="preserve">Written front</w:t>
            </w:r>
            <w:r>
              <w:br/>
            </w:r>
            <w:r>
              <w:t xml:space="preserve">i e</w:t>
            </w:r>
          </w:p>
        </w:tc>
        <w:tc>
          <w:tcPr/>
          <w:p>
            <w:pPr>
              <w:pStyle w:val="Compact"/>
              <w:jc w:val="left"/>
            </w:pPr>
            <w:r>
              <w:t xml:space="preserve">Written rounded</w:t>
            </w:r>
            <w:r>
              <w:br/>
            </w:r>
            <w:r>
              <w:t xml:space="preserve">u o ɔ</w:t>
            </w:r>
          </w:p>
        </w:tc>
      </w:tr>
      <w:tr>
        <w:tc>
          <w:tcPr/>
          <w:p>
            <w:pPr>
              <w:pStyle w:val="Compact"/>
              <w:jc w:val="left"/>
            </w:pPr>
            <w:r>
              <w:t xml:space="preserve">open</w:t>
            </w:r>
            <w:r>
              <w:t xml:space="preserve"> </w:t>
            </w:r>
            <w:r>
              <w:rPr>
                <w:iCs/>
                <w:i/>
              </w:rPr>
              <w:t xml:space="preserve">a ā</w:t>
            </w:r>
          </w:p>
        </w:tc>
        <w:tc>
          <w:tcPr/>
          <w:p>
            <w:pPr>
              <w:pStyle w:val="Compact"/>
              <w:jc w:val="left"/>
            </w:pPr>
            <w:r>
              <w:t xml:space="preserve">1509</w:t>
            </w:r>
          </w:p>
        </w:tc>
        <w:tc>
          <w:tcPr/>
          <w:p>
            <w:pPr>
              <w:pStyle w:val="Compact"/>
              <w:jc w:val="left"/>
            </w:pPr>
            <w:r>
              <w:t xml:space="preserve">1194  (79%)</w:t>
            </w:r>
          </w:p>
        </w:tc>
        <w:tc>
          <w:tcPr/>
          <w:p>
            <w:pPr>
              <w:pStyle w:val="Compact"/>
              <w:jc w:val="left"/>
            </w:pPr>
            <w:r>
              <w:t xml:space="preserve">105  (7%)</w:t>
            </w:r>
          </w:p>
        </w:tc>
        <w:tc>
          <w:tcPr/>
          <w:p>
            <w:pPr>
              <w:pStyle w:val="Compact"/>
              <w:jc w:val="left"/>
            </w:pPr>
            <w:r>
              <w:t xml:space="preserve">142  (9%)</w:t>
            </w:r>
          </w:p>
        </w:tc>
        <w:tc>
          <w:tcPr/>
          <w:p>
            <w:pPr>
              <w:pStyle w:val="Compact"/>
              <w:jc w:val="left"/>
            </w:pPr>
            <w:r>
              <w:t xml:space="preserve">65  (4%)</w:t>
            </w:r>
          </w:p>
        </w:tc>
      </w:tr>
      <w:tr>
        <w:tc>
          <w:tcPr/>
          <w:p>
            <w:pPr>
              <w:pStyle w:val="Compact"/>
              <w:jc w:val="left"/>
            </w:pPr>
            <w:r>
              <w:t xml:space="preserve">front</w:t>
            </w:r>
            <w:r>
              <w:t xml:space="preserve"> </w:t>
            </w:r>
            <w:r>
              <w:rPr>
                <w:iCs/>
                <w:i/>
              </w:rPr>
              <w:t xml:space="preserve">i ī e ai</w:t>
            </w:r>
          </w:p>
        </w:tc>
        <w:tc>
          <w:tcPr/>
          <w:p>
            <w:pPr>
              <w:pStyle w:val="Compact"/>
              <w:jc w:val="left"/>
            </w:pPr>
            <w:r>
              <w:t xml:space="preserve">387</w:t>
            </w:r>
          </w:p>
        </w:tc>
        <w:tc>
          <w:tcPr/>
          <w:p>
            <w:pPr>
              <w:pStyle w:val="Compact"/>
              <w:jc w:val="left"/>
            </w:pPr>
            <w:r>
              <w:t xml:space="preserve">23  (6%)</w:t>
            </w:r>
          </w:p>
        </w:tc>
        <w:tc>
          <w:tcPr/>
          <w:p>
            <w:pPr>
              <w:pStyle w:val="Compact"/>
              <w:jc w:val="left"/>
            </w:pPr>
            <w:r>
              <w:t xml:space="preserve">19  (5%)</w:t>
            </w:r>
          </w:p>
        </w:tc>
        <w:tc>
          <w:tcPr/>
          <w:p>
            <w:pPr>
              <w:pStyle w:val="Compact"/>
              <w:jc w:val="left"/>
            </w:pPr>
            <w:r>
              <w:t xml:space="preserve">322  (83%)</w:t>
            </w:r>
          </w:p>
        </w:tc>
        <w:tc>
          <w:tcPr/>
          <w:p>
            <w:pPr>
              <w:pStyle w:val="Compact"/>
              <w:jc w:val="left"/>
            </w:pPr>
            <w:r>
              <w:t xml:space="preserve">22  (6%)</w:t>
            </w:r>
          </w:p>
        </w:tc>
      </w:tr>
      <w:tr>
        <w:tc>
          <w:tcPr/>
          <w:p>
            <w:pPr>
              <w:pStyle w:val="Compact"/>
              <w:jc w:val="left"/>
            </w:pPr>
            <w:r>
              <w:t xml:space="preserve">rounded</w:t>
            </w:r>
            <w:r>
              <w:t xml:space="preserve"> </w:t>
            </w:r>
            <w:r>
              <w:rPr>
                <w:iCs/>
                <w:i/>
              </w:rPr>
              <w:t xml:space="preserve">u ū o au</w:t>
            </w:r>
          </w:p>
        </w:tc>
        <w:tc>
          <w:tcPr/>
          <w:p>
            <w:pPr>
              <w:pStyle w:val="Compact"/>
              <w:jc w:val="left"/>
            </w:pPr>
            <w:r>
              <w:t xml:space="preserve">294</w:t>
            </w:r>
          </w:p>
        </w:tc>
        <w:tc>
          <w:tcPr/>
          <w:p>
            <w:pPr>
              <w:pStyle w:val="Compact"/>
              <w:jc w:val="left"/>
            </w:pPr>
            <w:r>
              <w:t xml:space="preserve">80  (27%)</w:t>
            </w:r>
          </w:p>
        </w:tc>
        <w:tc>
          <w:tcPr/>
          <w:p>
            <w:pPr>
              <w:pStyle w:val="Compact"/>
              <w:jc w:val="left"/>
            </w:pPr>
            <w:r>
              <w:t xml:space="preserve">10  (3%)</w:t>
            </w:r>
          </w:p>
        </w:tc>
        <w:tc>
          <w:tcPr/>
          <w:p>
            <w:pPr>
              <w:pStyle w:val="Compact"/>
              <w:jc w:val="left"/>
            </w:pPr>
            <w:r>
              <w:t xml:space="preserve">31  (11%)</w:t>
            </w:r>
          </w:p>
        </w:tc>
        <w:tc>
          <w:tcPr/>
          <w:p>
            <w:pPr>
              <w:pStyle w:val="Compact"/>
              <w:jc w:val="left"/>
            </w:pPr>
            <w:r>
              <w:t xml:space="preserve">173  (59%)</w:t>
            </w:r>
          </w:p>
        </w:tc>
      </w:tr>
      <w:tr>
        <w:tc>
          <w:tcPr/>
          <w:p>
            <w:pPr>
              <w:pStyle w:val="Compact"/>
              <w:jc w:val="left"/>
            </w:pPr>
            <w:r>
              <w:t xml:space="preserve">vocalic</w:t>
            </w:r>
            <w:r>
              <w:t xml:space="preserve"> </w:t>
            </w:r>
            <w:r>
              <w:t xml:space="preserve">ṛ</w:t>
            </w:r>
          </w:p>
        </w:tc>
        <w:tc>
          <w:tcPr/>
          <w:p>
            <w:pPr>
              <w:pStyle w:val="Compact"/>
              <w:jc w:val="left"/>
            </w:pPr>
            <w:r>
              <w:t xml:space="preserve">15</w:t>
            </w:r>
          </w:p>
        </w:tc>
        <w:tc>
          <w:tcPr/>
          <w:p>
            <w:pPr>
              <w:pStyle w:val="Compact"/>
              <w:jc w:val="left"/>
            </w:pPr>
            <w:r>
              <w:t xml:space="preserve">3  (20%)</w:t>
            </w:r>
          </w:p>
        </w:tc>
        <w:tc>
          <w:tcPr/>
          <w:p>
            <w:pPr>
              <w:pStyle w:val="Compact"/>
              <w:jc w:val="left"/>
            </w:pPr>
            <w:r>
              <w:t xml:space="preserve">4  (27%)</w:t>
            </w:r>
          </w:p>
        </w:tc>
        <w:tc>
          <w:tcPr/>
          <w:p>
            <w:pPr>
              <w:pStyle w:val="Compact"/>
              <w:jc w:val="left"/>
            </w:pPr>
            <w:r>
              <w:t xml:space="preserve">5  (33%)</w:t>
            </w:r>
          </w:p>
        </w:tc>
        <w:tc>
          <w:tcPr/>
          <w:p>
            <w:pPr>
              <w:pStyle w:val="Compact"/>
              <w:jc w:val="left"/>
            </w:pPr>
            <w:r>
              <w:t xml:space="preserve">3  (20%)</w:t>
            </w:r>
          </w:p>
        </w:tc>
      </w:tr>
    </w:tbl>
    <w:p>
      <w:pPr>
        <w:pStyle w:val="BodyText"/>
      </w:pPr>
      <w:r>
        <w:t xml:space="preserve">Table 9</w:t>
      </w:r>
      <w:r>
        <w:t xml:space="preserve">The diagonal holds for the three classes the two</w:t>
      </w:r>
      <w:r>
        <w:t xml:space="preserve"> </w:t>
      </w:r>
      <w:r>
        <w:t xml:space="preserve">languages share. The interest is off the diagonal, and it is asymmetric. A written rounded vowel</w:t>
      </w:r>
      <w:r>
        <w:t xml:space="preserve"> </w:t>
      </w:r>
      <w:r>
        <w:t xml:space="preserve">is the reflex of a source rounded vowel in 59% of cases and of a source open vowel in 4%, about</w:t>
      </w:r>
      <w:r>
        <w:t xml:space="preserve"> </w:t>
      </w:r>
      <w:r>
        <w:t xml:space="preserve">fourteen to one, so a rounded spelling carries real information about the source. A written central</w:t>
      </w:r>
      <w:r>
        <w:t xml:space="preserve"> </w:t>
      </w:r>
      <w:r>
        <w:t xml:space="preserve">vowel is the reflex of a source open vowel in 7% of cases and of a source rounded vowel in 3%, so a</w:t>
      </w:r>
      <w:r>
        <w:t xml:space="preserve"> </w:t>
      </w:r>
      <w:r>
        <w:t xml:space="preserve">central spelling carries very little, and the gap between those two figures is not one a reading</w:t>
      </w:r>
      <w:r>
        <w:t xml:space="preserve"> </w:t>
      </w:r>
      <w:r>
        <w:t xml:space="preserve">should be asked to rest on. The last row is the control for a source vowel the writing system has no</w:t>
      </w:r>
      <w:r>
        <w:t xml:space="preserve"> </w:t>
      </w:r>
      <w:r>
        <w:t xml:space="preserve">counterpart for: it scatters across all four classes with no majority, on fifteen cases. Neither</w:t>
      </w:r>
      <w:r>
        <w:t xml:space="preserve"> </w:t>
      </w:r>
      <w:r>
        <w:t xml:space="preserve">language in this corpus has a front rounded vowel, so the substitution §9.2 needs cannot be priced</w:t>
      </w:r>
      <w:r>
        <w:t xml:space="preserve"> </w:t>
      </w:r>
      <w:r>
        <w:t xml:space="preserve">in period. Out of period it can: in Ligeti's Ming glossary a source</w:t>
      </w:r>
      <w:r>
        <w:t xml:space="preserve"> </w:t>
      </w:r>
      <w:r>
        <w:rPr>
          <w:iCs/>
          <w:i/>
        </w:rPr>
        <w:t xml:space="preserve">ö</w:t>
      </w:r>
      <w:r>
        <w:t xml:space="preserve"> </w:t>
      </w:r>
      <w:r>
        <w:t xml:space="preserve">or</w:t>
      </w:r>
      <w:r>
        <w:t xml:space="preserve"> </w:t>
      </w:r>
      <w:r>
        <w:rPr>
          <w:iCs/>
          <w:i/>
        </w:rPr>
        <w:t xml:space="preserve">ü</w:t>
      </w:r>
      <w:r>
        <w:t xml:space="preserve"> </w:t>
      </w:r>
      <w:r>
        <w:t xml:space="preserve">is</w:t>
      </w:r>
      <w:r>
        <w:t xml:space="preserve"> </w:t>
      </w:r>
      <w:r>
        <w:t xml:space="preserve">written with a rounded Chinese syllable 58 of 60 times, 97%, and with a central one once. We use</w:t>
      </w:r>
      <w:r>
        <w:t xml:space="preserve"> </w:t>
      </w:r>
      <w:r>
        <w:t xml:space="preserve">that as a cross-period bound and not as a Han measurement.</w:t>
      </w:r>
    </w:p>
    <w:bookmarkEnd w:id="41"/>
    <w:bookmarkStart w:id="42" w:name="Xd995263ace90ba992e2d6d0e4ed905df91830c3"/>
    <w:p>
      <w:pPr>
        <w:pStyle w:val="Heading3"/>
      </w:pPr>
      <w:r>
        <w:t xml:space="preserve">8.5  Did the scribes hear the difference between Turkic</w:t>
      </w:r>
      <w:r>
        <w:t xml:space="preserve"> </w:t>
      </w:r>
      <w:r>
        <w:rPr>
          <w:iCs/>
          <w:i/>
        </w:rPr>
        <w:t xml:space="preserve">q</w:t>
      </w:r>
      <w:r>
        <w:t xml:space="preserve"> </w:t>
      </w:r>
      <w:r>
        <w:t xml:space="preserve">and</w:t>
      </w:r>
      <w:r>
        <w:t xml:space="preserve"> </w:t>
      </w:r>
      <w:r>
        <w:rPr>
          <w:iCs/>
          <w:i/>
        </w:rPr>
        <w:t xml:space="preserve">k</w:t>
      </w:r>
      <w:r>
        <w:t xml:space="preserve">?</w:t>
      </w:r>
    </w:p>
    <w:p>
      <w:pPr>
        <w:pStyle w:val="FirstParagraph"/>
      </w:pPr>
      <w:r>
        <w:t xml:space="preserve">Turkic has two velar stops in complementary distribution with the vowel: a back</w:t>
      </w:r>
      <w:r>
        <w:t xml:space="preserve"> </w:t>
      </w:r>
      <w:r>
        <w:t xml:space="preserve">q</w:t>
      </w:r>
      <w:r>
        <w:t xml:space="preserve"> </w:t>
      </w:r>
      <w:r>
        <w:t xml:space="preserve">before</w:t>
      </w:r>
      <w:r>
        <w:t xml:space="preserve"> </w:t>
      </w:r>
      <w:r>
        <w:rPr>
          <w:iCs/>
          <w:i/>
        </w:rPr>
        <w:t xml:space="preserve">a, ı, o, u</w:t>
      </w:r>
      <w:r>
        <w:t xml:space="preserve"> </w:t>
      </w:r>
      <w:r>
        <w:t xml:space="preserve">and a front</w:t>
      </w:r>
      <w:r>
        <w:t xml:space="preserve"> </w:t>
      </w:r>
      <w:r>
        <w:t xml:space="preserve">k</w:t>
      </w:r>
      <w:r>
        <w:t xml:space="preserve"> </w:t>
      </w:r>
      <w:r>
        <w:t xml:space="preserve">before</w:t>
      </w:r>
      <w:r>
        <w:t xml:space="preserve"> </w:t>
      </w:r>
      <w:r>
        <w:rPr>
          <w:iCs/>
          <w:i/>
        </w:rPr>
        <w:t xml:space="preserve">e, i, ö, ü</w:t>
      </w:r>
      <w:r>
        <w:t xml:space="preserve">. Chinese had no such rule, but it did have a plain and an aspirated</w:t>
      </w:r>
      <w:r>
        <w:t xml:space="preserve"> </w:t>
      </w:r>
      <w:r>
        <w:t xml:space="preserve">velar, and a fricative</w:t>
      </w:r>
      <w:r>
        <w:t xml:space="preserve"> </w:t>
      </w:r>
      <w:r>
        <w:t xml:space="preserve">h-</w:t>
      </w:r>
      <w:r>
        <w:t xml:space="preserve">. Whether scribes used those to render the</w:t>
      </w:r>
      <w:r>
        <w:t xml:space="preserve"> </w:t>
      </w:r>
      <w:r>
        <w:t xml:space="preserve">Turkic distinction has not, so far as we have found, been counted. It cannot be counted on the</w:t>
      </w:r>
      <w:r>
        <w:t xml:space="preserve"> </w:t>
      </w:r>
      <w:r>
        <w:t xml:space="preserve">Later Han corpus, because Sanskrit has neither the distribution nor a uvular at all. It can be</w:t>
      </w:r>
      <w:r>
        <w:t xml:space="preserve"> </w:t>
      </w:r>
      <w:r>
        <w:t xml:space="preserve">counted on Ligeti's Ming glossary, where the source language is Turkic and the distinction is</w:t>
      </w:r>
      <w:r>
        <w:t xml:space="preserve"> </w:t>
      </w:r>
      <w:r>
        <w:t xml:space="preserve">present in every word.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Turkic word-initial velar</w:t>
            </w:r>
          </w:p>
        </w:tc>
        <w:tc>
          <w:tcPr/>
          <w:p>
            <w:pPr>
              <w:pStyle w:val="Compact"/>
              <w:jc w:val="left"/>
            </w:pPr>
            <w:r>
              <w:t xml:space="preserve">aspirated</w:t>
            </w:r>
            <w:r>
              <w:t xml:space="preserve"> </w:t>
            </w:r>
            <w:r>
              <w:t xml:space="preserve">kʰ-</w:t>
            </w:r>
          </w:p>
        </w:tc>
        <w:tc>
          <w:tcPr/>
          <w:p>
            <w:pPr>
              <w:pStyle w:val="Compact"/>
              <w:jc w:val="left"/>
            </w:pPr>
            <w:r>
              <w:t xml:space="preserve">h-</w:t>
            </w:r>
          </w:p>
        </w:tc>
        <w:tc>
          <w:tcPr/>
          <w:p>
            <w:pPr>
              <w:pStyle w:val="Compact"/>
              <w:jc w:val="left"/>
            </w:pPr>
            <w:r>
              <w:t xml:space="preserve">plain</w:t>
            </w:r>
            <w:r>
              <w:t xml:space="preserve"> </w:t>
            </w:r>
            <w:r>
              <w:t xml:space="preserve">k-</w:t>
            </w:r>
            <w:r>
              <w:t xml:space="preserve"> </w:t>
            </w:r>
            <w:r>
              <w:t xml:space="preserve">or</w:t>
            </w:r>
            <w:r>
              <w:t xml:space="preserve"> </w:t>
            </w:r>
            <w:r>
              <w:t xml:space="preserve">g-</w:t>
            </w:r>
          </w:p>
        </w:tc>
        <w:tc>
          <w:tcPr/>
          <w:p>
            <w:pPr>
              <w:pStyle w:val="Compact"/>
              <w:jc w:val="left"/>
            </w:pPr>
            <w:r>
              <w:t xml:space="preserve">other</w:t>
            </w:r>
          </w:p>
        </w:tc>
      </w:tr>
      <w:tr>
        <w:tc>
          <w:tcPr/>
          <w:p>
            <w:pPr>
              <w:pStyle w:val="Compact"/>
              <w:jc w:val="left"/>
            </w:pPr>
            <w:r>
              <w:t xml:space="preserve">back</w:t>
            </w:r>
            <w:r>
              <w:t xml:space="preserve"> </w:t>
            </w:r>
            <w:r>
              <w:t xml:space="preserve">q</w:t>
            </w:r>
            <w:r>
              <w:t xml:space="preserve"> </w:t>
            </w:r>
            <w:r>
              <w:t xml:space="preserve"> (n=66)</w:t>
            </w:r>
          </w:p>
        </w:tc>
        <w:tc>
          <w:tcPr/>
          <w:p>
            <w:pPr>
              <w:pStyle w:val="Compact"/>
              <w:jc w:val="left"/>
            </w:pPr>
            <w:r>
              <w:t xml:space="preserve">20  (30%)</w:t>
            </w:r>
          </w:p>
        </w:tc>
        <w:tc>
          <w:tcPr/>
          <w:p>
            <w:pPr>
              <w:pStyle w:val="Compact"/>
              <w:jc w:val="left"/>
            </w:pPr>
            <w:r>
              <w:t xml:space="preserve">43  (65%)</w:t>
            </w:r>
          </w:p>
        </w:tc>
        <w:tc>
          <w:tcPr/>
          <w:p>
            <w:pPr>
              <w:pStyle w:val="Compact"/>
              <w:jc w:val="left"/>
            </w:pPr>
            <w:r>
              <w:t xml:space="preserve">2  (3%)</w:t>
            </w:r>
          </w:p>
        </w:tc>
        <w:tc>
          <w:tcPr/>
          <w:p>
            <w:pPr>
              <w:pStyle w:val="Compact"/>
              <w:jc w:val="left"/>
            </w:pPr>
            <w:r>
              <w:t xml:space="preserve">1</w:t>
            </w:r>
          </w:p>
        </w:tc>
      </w:tr>
      <w:tr>
        <w:tc>
          <w:tcPr/>
          <w:p>
            <w:pPr>
              <w:pStyle w:val="Compact"/>
              <w:jc w:val="left"/>
            </w:pPr>
            <w:r>
              <w:t xml:space="preserve">front</w:t>
            </w:r>
            <w:r>
              <w:t xml:space="preserve"> </w:t>
            </w:r>
            <w:r>
              <w:t xml:space="preserve">k</w:t>
            </w:r>
            <w:r>
              <w:t xml:space="preserve"> </w:t>
            </w:r>
            <w:r>
              <w:t xml:space="preserve"> (n=35)</w:t>
            </w:r>
          </w:p>
        </w:tc>
        <w:tc>
          <w:tcPr/>
          <w:p>
            <w:pPr>
              <w:pStyle w:val="Compact"/>
              <w:jc w:val="left"/>
            </w:pPr>
            <w:r>
              <w:t xml:space="preserve">31  (89%)</w:t>
            </w:r>
          </w:p>
        </w:tc>
        <w:tc>
          <w:tcPr/>
          <w:p>
            <w:pPr>
              <w:pStyle w:val="Compact"/>
              <w:jc w:val="left"/>
            </w:pPr>
            <w:r>
              <w:t xml:space="preserve">2  (6%)</w:t>
            </w:r>
          </w:p>
        </w:tc>
        <w:tc>
          <w:tcPr/>
          <w:p>
            <w:pPr>
              <w:pStyle w:val="Compact"/>
              <w:jc w:val="left"/>
            </w:pPr>
            <w:r>
              <w:t xml:space="preserve">1  (3%)</w:t>
            </w:r>
          </w:p>
        </w:tc>
        <w:tc>
          <w:tcPr/>
          <w:p>
            <w:pPr>
              <w:pStyle w:val="Compact"/>
              <w:jc w:val="left"/>
            </w:pPr>
            <w:r>
              <w:t xml:space="preserve">1</w:t>
            </w:r>
          </w:p>
        </w:tc>
      </w:tr>
    </w:tbl>
    <w:p>
      <w:pPr>
        <w:pStyle w:val="BodyText"/>
      </w:pPr>
      <w:r>
        <w:t xml:space="preserve">Table 10</w:t>
      </w:r>
      <w:r>
        <w:t xml:space="preserve">The two are written differently, and the</w:t>
      </w:r>
      <w:r>
        <w:t xml:space="preserve"> </w:t>
      </w:r>
      <w:r>
        <w:t xml:space="preserve">majorities point in opposite directions: a back</w:t>
      </w:r>
      <w:r>
        <w:t xml:space="preserve"> </w:t>
      </w:r>
      <w:r>
        <w:t xml:space="preserve">q</w:t>
      </w:r>
      <w:r>
        <w:t xml:space="preserve"> </w:t>
      </w:r>
      <w:r>
        <w:t xml:space="preserve">takes an</w:t>
      </w:r>
      <w:r>
        <w:t xml:space="preserve"> </w:t>
      </w:r>
      <w:r>
        <w:t xml:space="preserve">h-</w:t>
      </w:r>
      <w:r>
        <w:t xml:space="preserve"> </w:t>
      </w:r>
      <w:r>
        <w:t xml:space="preserve">character about two times in three, a front</w:t>
      </w:r>
      <w:r>
        <w:t xml:space="preserve"> </w:t>
      </w:r>
      <w:r>
        <w:t xml:space="preserve">k</w:t>
      </w:r>
      <w:r>
        <w:t xml:space="preserve"> </w:t>
      </w:r>
      <w:r>
        <w:t xml:space="preserve">takes an aspirated one about nine times in ten. The scribes were not treating the Turkic velar as</w:t>
      </w:r>
      <w:r>
        <w:t xml:space="preserve"> </w:t>
      </w:r>
      <w:r>
        <w:t xml:space="preserve">one sound.</w:t>
      </w:r>
      <w:r>
        <w:t xml:space="preserve"> </w:t>
      </w:r>
      <w:r>
        <w:rPr>
          <w:bCs/>
          <w:b/>
        </w:rPr>
        <w:t xml:space="preserve">The caution §7 makes in general terms applies to this table in particular.</w:t>
      </w:r>
      <w:r>
        <w:t xml:space="preserve"> </w:t>
      </w:r>
      <w:r>
        <w:t xml:space="preserve">It is measured on a Ming glossary, not on Han material, and we use it as a cross-period bound in the</w:t>
      </w:r>
      <w:r>
        <w:t xml:space="preserve"> </w:t>
      </w:r>
      <w:r>
        <w:t xml:space="preserve">same way, and for the same reason, as the front rounded vowel in Table 9: the Han corpus contains no</w:t>
      </w:r>
      <w:r>
        <w:t xml:space="preserve"> </w:t>
      </w:r>
      <w:r>
        <w:t xml:space="preserve">instance of the sound to be priced. What it licenses is a statement about Turkic transcription</w:t>
      </w:r>
      <w:r>
        <w:t xml:space="preserve"> </w:t>
      </w:r>
      <w:r>
        <w:t xml:space="preserve">practice, not about the second century BCE. Its practical use is that it separates two readings of a</w:t>
      </w:r>
      <w:r>
        <w:t xml:space="preserve"> </w:t>
      </w:r>
      <w:r>
        <w:t xml:space="preserve">polyphonic character: where the table gives a character both an aspirated and an</w:t>
      </w:r>
      <w:r>
        <w:t xml:space="preserve"> </w:t>
      </w:r>
      <w:r>
        <w:t xml:space="preserve">h-</w:t>
      </w:r>
      <w:r>
        <w:t xml:space="preserve"> </w:t>
      </w:r>
      <w:r>
        <w:t xml:space="preserve">value, the choice between them is no longer arbitrary.</w:t>
      </w:r>
    </w:p>
    <w:bookmarkEnd w:id="42"/>
    <w:bookmarkEnd w:id="43"/>
    <w:bookmarkStart w:id="46"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pStyle w:val="FirstParagraph"/>
      </w:pPr>
      <w:r>
        <w:t xml:space="preserve">Three of four hold, with the fourth named.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name,</w:t>
      </w:r>
      <w:r>
        <w:t xml:space="preserve"> </w:t>
      </w:r>
      <w:r>
        <w:t xml:space="preserve">冒頓</w:t>
      </w:r>
      <w:r>
        <w:t xml:space="preserve">, is treated separately in §9.2, because</w:t>
      </w:r>
      <w:r>
        <w:t xml:space="preserve"> </w:t>
      </w:r>
      <w:r>
        <w:t xml:space="preserve">there the frame does not select a single reading and what the measurements yield is the price of</w:t>
      </w:r>
      <w:r>
        <w:t xml:space="preserve"> </w:t>
      </w:r>
      <w:r>
        <w:t xml:space="preserve">each branch rather than a proposal.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t xml:space="preserve">We supply S1 for the record, not for review. It has the status of a laboratory notebook</w:t>
      </w:r>
      <w:r>
        <w:t xml:space="preserve"> </w:t>
      </w:r>
      <w:r>
        <w:t xml:space="preserve">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4" w:name="two-cases-which-are-not-ours-to-propose"/>
    <w:p>
      <w:pPr>
        <w:pStyle w:val="Heading3"/>
      </w:pPr>
      <w:r>
        <w:t xml:space="preserve">9.1  Two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Two items in the record carry a reading from the literature, one of them with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kırpa:k</w:t>
      </w:r>
      <w:r>
        <w:t xml:space="preserve"> </w:t>
      </w:r>
      <w:r>
        <w:t xml:space="preserve">and is corrected in the margin to</w:t>
      </w:r>
      <w:r>
        <w:t xml:space="preserve"> </w:t>
      </w:r>
      <w:r>
        <w:rPr>
          <w:iCs/>
          <w:i/>
        </w:rPr>
        <w:t xml:space="preserve">kıŋra:k</w:t>
      </w:r>
      <w:r>
        <w:t xml:space="preserve">. So this form rests on a marginal emendation rather than the text as</w:t>
      </w:r>
      <w:r>
        <w:t xml:space="preserve"> </w:t>
      </w:r>
      <w:r>
        <w:t xml:space="preserve">written. The emendation is not the only support for it: Hirth took the word from living Turki</w:t>
      </w:r>
      <w:r>
        <w:t xml:space="preserve"> </w:t>
      </w:r>
      <w:r>
        <w:t xml:space="preserve">dialects in 1908, and the Teleut and Kirghiz survivals cited above are independent of the</w:t>
      </w:r>
      <w:r>
        <w:t xml:space="preserve"> </w:t>
      </w:r>
      <w:r>
        <w:t xml:space="preserve">Dīwān's manuscript altogether.</w:t>
      </w:r>
      <w:r>
        <w:t xml:space="preserve"> </w:t>
      </w:r>
      <w:r>
        <w:rPr>
          <w:iCs/>
          <w:i/>
        </w:rPr>
        <w:t xml:space="preserve">kıñır</w:t>
      </w:r>
      <w:r>
        <w:t xml:space="preserve">, on the other hand, fits the transcription exactly, at three</w:t>
      </w:r>
      <w:r>
        <w:t xml:space="preserve"> </w:t>
      </w:r>
      <w:r>
        <w:t xml:space="preserve">consonants with nothing supplied;</w:t>
      </w:r>
      <w:r>
        <w:t xml:space="preserve"> </w:t>
      </w:r>
      <w:r>
        <w:rPr>
          <w:iCs/>
          <w:i/>
        </w:rPr>
        <w:t xml:space="preserve">kıñrak</w:t>
      </w:r>
      <w:r>
        <w:t xml:space="preserve">, which means a knife, needs the</w:t>
      </w:r>
      <w:r>
        <w:t xml:space="preserve"> </w:t>
      </w:r>
      <w:r>
        <w:t xml:space="preserve">unwritten final</w:t>
      </w:r>
      <w:r>
        <w:t xml:space="preserve"> </w:t>
      </w:r>
      <w:r>
        <w:t xml:space="preserve">-k</w:t>
      </w:r>
      <w:r>
        <w:t xml:space="preserve"> </w:t>
      </w:r>
      <w:r>
        <w:t xml:space="preserve">that Table 7 licenses at 30%. The form that fits best</w:t>
      </w:r>
      <w:r>
        <w:t xml:space="preserve"> </w:t>
      </w:r>
      <w:r>
        <w:t xml:space="preserve">does not mean "blade", and the form that means "blade" does 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This is testable with the same machinery, and does not survive the test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rPr>
          <w:bCs/>
          <w:b/>
        </w:rPr>
        <w:t xml:space="preserve">We could not trace the Iranian derivation</w:t>
      </w:r>
      <w:r>
        <w:rPr>
          <w:bCs/>
          <w:b/>
        </w:rPr>
        <w:t xml:space="preserve"> </w:t>
      </w:r>
      <w:r>
        <w:rPr>
          <w:bCs/>
          <w:b/>
        </w:rPr>
        <w:t xml:space="preserve">to a source.</w:t>
      </w:r>
      <w:r>
        <w:t xml:space="preserve"> </w:t>
      </w:r>
      <w:r>
        <w:t xml:space="preserve">It circulates in the secondary literature on this word, but the works we</w:t>
      </w:r>
      <w:r>
        <w:t xml:space="preserve"> </w:t>
      </w:r>
      <w:r>
        <w:t xml:space="preserve">checked give no etymon, and Hirth, who is cited nearby for the Turkic comparison, does not</w:t>
      </w:r>
      <w:r>
        <w:t xml:space="preserve"> </w:t>
      </w:r>
      <w:r>
        <w:t xml:space="preserve">mention the Iranian account at all. The test above therefore applies to the</w:t>
      </w:r>
      <w:r>
        <w:t xml:space="preserve"> </w:t>
      </w:r>
      <w:r>
        <w:rPr>
          <w:iCs/>
          <w:i/>
        </w:rPr>
        <w:t xml:space="preserve">akinakes</w:t>
      </w:r>
      <w:r>
        <w:t xml:space="preserve"> </w:t>
      </w:r>
      <w:r>
        <w:t xml:space="preserve">family, which is the form the account is usually stated in, and not to a</w:t>
      </w:r>
      <w:r>
        <w:t xml:space="preserve"> </w:t>
      </w:r>
      <w:r>
        <w:t xml:space="preserve">specific etymon that someone has actually put forward. If a reader can supply the reference the</w:t>
      </w:r>
      <w:r>
        <w:t xml:space="preserve"> </w:t>
      </w:r>
      <w:r>
        <w:t xml:space="preserve">test can be rerun against it in an afternoon, since the machinery is in the repository. In any</w:t>
      </w:r>
      <w:r>
        <w:t xml:space="preserve"> </w:t>
      </w:r>
      <w:r>
        <w:t xml:space="preserve">case our channel establishes what a transcription</w:t>
      </w:r>
      <w:r>
        <w:t xml:space="preserve"> </w:t>
      </w:r>
      <w:r>
        <w:rPr>
          <w:iCs/>
          <w:i/>
        </w:rPr>
        <w:t xml:space="preserve">permits</w:t>
      </w:r>
      <w:r>
        <w:t xml:space="preserve">, never what it requires: a</w:t>
      </w:r>
      <w:r>
        <w:t xml:space="preserve"> </w:t>
      </w:r>
      <w:r>
        <w:t xml:space="preserve">Turkic reading surviving does not make a Turkic source the only one available. This is Doerfer's</w:t>
      </w:r>
      <w:r>
        <w:t xml:space="preserve"> </w:t>
      </w:r>
      <w:r>
        <w:t xml:space="preserve">objection in its sharpest form, and the third case below is what it looks like when the objection</w:t>
      </w:r>
      <w:r>
        <w:t xml:space="preserve"> </w:t>
      </w:r>
      <w:r>
        <w:t xml:space="preserve">bites. The honest report is that the Turkic candidate survives its test and the Iranian one, as</w:t>
      </w:r>
      <w:r>
        <w:t xml:space="preserve"> </w:t>
      </w:r>
      <w:r>
        <w:t xml:space="preserve">usually stated, does not.</w:t>
      </w:r>
    </w:p>
    <w:p>
      <w:pPr>
        <w:pStyle w:val="BodyText"/>
      </w:pPr>
      <w:r>
        <w:rPr>
          <w:bCs/>
          <w:b/>
        </w:rPr>
        <w:t xml:space="preserve">The second is</w:t>
      </w:r>
      <w:r>
        <w:rPr>
          <w:bCs/>
          <w:b/>
        </w:rPr>
        <w:t xml:space="preserve"> </w:t>
      </w:r>
      <w:r>
        <w:rPr>
          <w:bCs/>
          <w:b/>
        </w:rPr>
        <w:t xml:space="preserve">閼氏</w:t>
      </w:r>
      <w:r>
        <w:t xml:space="preserve"> </w:t>
      </w:r>
      <w:r>
        <w:t xml:space="preserve">ʔɑt dźeᴮ</w:t>
      </w:r>
      <w:r>
        <w:t xml:space="preserve">,</w:t>
      </w:r>
      <w:r>
        <w:t xml:space="preserve"> </w:t>
      </w:r>
      <w:r>
        <w:t xml:space="preserve">the title of the chanyu's principal consort, and it is the case where the channel returns a verdict</w:t>
      </w:r>
      <w:r>
        <w:t xml:space="preserve"> </w:t>
      </w:r>
      <w:r>
        <w:t xml:space="preserve">that does not favour the language this paper spends most of its pages on. Vovin, arguing that the</w:t>
      </w:r>
      <w:r>
        <w:t xml:space="preserve"> </w:t>
      </w:r>
      <w:r>
        <w:t xml:space="preserve">Xiongnu spoke a Yeniseian language, rejects Pulleyblank's identification of the title with Turkic</w:t>
      </w:r>
      <w:r>
        <w:t xml:space="preserve"> </w:t>
      </w:r>
      <w:r>
        <w:t xml:space="preserve">and Mongolian</w:t>
      </w:r>
      <w:r>
        <w:t xml:space="preserve"> </w:t>
      </w:r>
      <w:r>
        <w:rPr>
          <w:iCs/>
          <w:i/>
        </w:rPr>
        <w:t xml:space="preserve">qatun</w:t>
      </w:r>
      <w:r>
        <w:t xml:space="preserve"> </w:t>
      </w:r>
      <w:r>
        <w:t xml:space="preserve">on two grounds: that it rests on a single textual example in which the</w:t>
      </w:r>
      <w:r>
        <w:t xml:space="preserve"> </w:t>
      </w:r>
      <w:r>
        <w:t xml:space="preserve">first character is read with an initial</w:t>
      </w:r>
      <w:r>
        <w:t xml:space="preserve"> </w:t>
      </w:r>
      <w:r>
        <w:t xml:space="preserve">y-</w:t>
      </w:r>
      <w:r>
        <w:t xml:space="preserve"> </w:t>
      </w:r>
      <w:r>
        <w:t xml:space="preserve">rather than a glottal stop, and</w:t>
      </w:r>
      <w:r>
        <w:t xml:space="preserve"> </w:t>
      </w:r>
      <w:r>
        <w:t xml:space="preserve">that neither Turkic nor Mongolic</w:t>
      </w:r>
      <w:r>
        <w:t xml:space="preserve"> </w:t>
      </w:r>
      <w:r>
        <w:t xml:space="preserve">q-</w:t>
      </w:r>
      <w:r>
        <w:t xml:space="preserve"> </w:t>
      </w:r>
      <w:r>
        <w:t xml:space="preserve">was a voiced fricative at that</w:t>
      </w:r>
      <w:r>
        <w:t xml:space="preserve"> </w:t>
      </w:r>
      <w:r>
        <w:t xml:space="preserve">date.</w:t>
      </w:r>
      <w:hyperlink w:anchor="r19">
        <w:r>
          <w:rPr>
            <w:rStyle w:val="Hyperlink"/>
            <w:vertAlign w:val="superscript"/>
          </w:rPr>
          <w:t xml:space="preserve">19</w:t>
        </w:r>
      </w:hyperlink>
      <w:r>
        <w:rPr>
          <w:vertAlign w:val="superscript"/>
        </w:rPr>
        <w:t xml:space="preserve">,</w:t>
      </w:r>
      <w:hyperlink w:anchor="r28">
        <w:r>
          <w:rPr>
            <w:rStyle w:val="Hyperlink"/>
            <w:vertAlign w:val="superscript"/>
          </w:rPr>
          <w:t xml:space="preserve">28</w:t>
        </w:r>
      </w:hyperlink>
      <w:r>
        <w:t xml:space="preserve"> </w:t>
      </w:r>
      <w:r>
        <w:t xml:space="preserve">In its place he offers</w:t>
      </w:r>
      <w:r>
        <w:t xml:space="preserve"> </w:t>
      </w:r>
      <w:r>
        <w:t xml:space="preserve">Proto-Yeniseian</w:t>
      </w:r>
      <w:r>
        <w:t xml:space="preserve"> </w:t>
      </w:r>
      <w:r>
        <w:t xml:space="preserve">*ʔal(V)it-</w:t>
      </w:r>
      <w:r>
        <w:t xml:space="preserve"> </w:t>
      </w:r>
      <w:r>
        <w:t xml:space="preserve">"woman, wife", surviving as Kott</w:t>
      </w:r>
      <w:r>
        <w:t xml:space="preserve"> </w:t>
      </w:r>
      <w:r>
        <w:rPr>
          <w:iCs/>
          <w:i/>
        </w:rPr>
        <w:t xml:space="preserve">alit</w:t>
      </w:r>
      <w:r>
        <w:t xml:space="preserve">, Assan</w:t>
      </w:r>
      <w:r>
        <w:t xml:space="preserve"> </w:t>
      </w:r>
      <w:r>
        <w:rPr>
          <w:iCs/>
          <w:i/>
        </w:rPr>
        <w:t xml:space="preserve">alit</w:t>
      </w:r>
      <w:r>
        <w:t xml:space="preserve"> </w:t>
      </w:r>
      <w:r>
        <w:t xml:space="preserve">and Arin</w:t>
      </w:r>
      <w:r>
        <w:t xml:space="preserve"> </w:t>
      </w:r>
      <w:r>
        <w:rPr>
          <w:iCs/>
          <w:i/>
        </w:rPr>
        <w:t xml:space="preserve">biqam-alte</w:t>
      </w:r>
      <w:r>
        <w:t xml:space="preserve">, and a Xiongnu</w:t>
      </w:r>
      <w:r>
        <w:t xml:space="preserve"> </w:t>
      </w:r>
      <w:r>
        <w:rPr>
          <w:iCs/>
          <w:i/>
        </w:rPr>
        <w:t xml:space="preserve">alte</w:t>
      </w:r>
      <w:r>
        <w:t xml:space="preserve"> </w:t>
      </w:r>
      <w:r>
        <w:t xml:space="preserve">or</w:t>
      </w:r>
      <w:r>
        <w:t xml:space="preserve"> </w:t>
      </w:r>
      <w:r>
        <w:rPr>
          <w:iCs/>
          <w:i/>
        </w:rPr>
        <w:t xml:space="preserve">elte</w:t>
      </w:r>
      <w:r>
        <w:t xml:space="preserve"> </w:t>
      </w:r>
      <w:r>
        <w:t xml:space="preserve">which, he writes, could be transcribed in Chinese only as</w:t>
      </w:r>
      <w:r>
        <w:t xml:space="preserve"> </w:t>
      </w:r>
      <w:r>
        <w:t xml:space="preserve">*ʔat-tej</w:t>
      </w:r>
      <w:r>
        <w:t xml:space="preserve"> </w:t>
      </w:r>
      <w:r>
        <w:t xml:space="preserve">or</w:t>
      </w:r>
      <w:r>
        <w:t xml:space="preserve"> </w:t>
      </w:r>
      <w:r>
        <w:t xml:space="preserve">*ʔen-tej</w:t>
      </w:r>
      <w:r>
        <w:t xml:space="preserve">, since the Old Chinese</w:t>
      </w:r>
      <w:r>
        <w:t xml:space="preserve"> </w:t>
      </w:r>
      <w:r>
        <w:t xml:space="preserve">syllable-final</w:t>
      </w:r>
      <w:r>
        <w:t xml:space="preserve"> </w:t>
      </w:r>
      <w:r>
        <w:t xml:space="preserve">*-r</w:t>
      </w:r>
      <w:r>
        <w:t xml:space="preserve"> </w:t>
      </w:r>
      <w:r>
        <w:t xml:space="preserve">was no longer extant in Former Han times.</w:t>
      </w:r>
    </w:p>
    <w:p>
      <w:pPr>
        <w:pStyle w:val="BodyText"/>
      </w:pPr>
      <w:r>
        <w:rPr>
          <w:bCs/>
          <w:b/>
        </w:rPr>
        <w:t xml:space="preserve">The transcription argument is correct, and it is the one §8.2 measures.</w:t>
      </w:r>
      <w:r>
        <w:t xml:space="preserve"> </w:t>
      </w:r>
      <w:r>
        <w:t xml:space="preserve">Later</w:t>
      </w:r>
      <w:r>
        <w:t xml:space="preserve"> </w:t>
      </w:r>
      <w:r>
        <w:t xml:space="preserve">Han had no liquid coda, so a source syllable ending in one was written with a</w:t>
      </w:r>
      <w:r>
        <w:t xml:space="preserve"> </w:t>
      </w:r>
      <w:r>
        <w:t xml:space="preserve">-t</w:t>
      </w:r>
      <w:r>
        <w:t xml:space="preserve"> </w:t>
      </w:r>
      <w:r>
        <w:t xml:space="preserve">or left open: of 37 such syllables in the Sanskrit corpus, 21 were left</w:t>
      </w:r>
      <w:r>
        <w:t xml:space="preserve"> </w:t>
      </w:r>
      <w:r>
        <w:t xml:space="preserve">open and 14 took a</w:t>
      </w:r>
      <w:r>
        <w:t xml:space="preserve"> </w:t>
      </w:r>
      <w:r>
        <w:t xml:space="preserve">-t</w:t>
      </w:r>
      <w:r>
        <w:t xml:space="preserve">, 38%. Vovin's reading is well formed on that count.</w:t>
      </w:r>
      <w:r>
        <w:t xml:space="preserve"> </w:t>
      </w:r>
      <w:r>
        <w:t xml:space="preserve">It uses the written</w:t>
      </w:r>
      <w:r>
        <w:t xml:space="preserve"> </w:t>
      </w:r>
      <w:r>
        <w:t xml:space="preserve">-t</w:t>
      </w:r>
      <w:r>
        <w:t xml:space="preserve"> </w:t>
      </w:r>
      <w:r>
        <w:t xml:space="preserve">of</w:t>
      </w:r>
      <w:r>
        <w:t xml:space="preserve"> </w:t>
      </w:r>
      <w:r>
        <w:t xml:space="preserve">閼</w:t>
      </w:r>
      <w:r>
        <w:t xml:space="preserve"> </w:t>
      </w:r>
      <w:r>
        <w:t xml:space="preserve">rather than</w:t>
      </w:r>
      <w:r>
        <w:t xml:space="preserve"> </w:t>
      </w:r>
      <w:r>
        <w:t xml:space="preserve">discarding it, and the corpus licenses the step at an ordinary rate. His alternative</w:t>
      </w:r>
      <w:r>
        <w:t xml:space="preserve"> </w:t>
      </w:r>
      <w:r>
        <w:t xml:space="preserve">*ʔen-</w:t>
      </w:r>
      <w:r>
        <w:t xml:space="preserve"> </w:t>
      </w:r>
      <w:r>
        <w:t xml:space="preserve">is weaker: both reconstructions we can check give</w:t>
      </w:r>
      <w:r>
        <w:t xml:space="preserve"> </w:t>
      </w:r>
      <w:r>
        <w:t xml:space="preserve">閼</w:t>
      </w:r>
      <w:r>
        <w:t xml:space="preserve"> </w:t>
      </w:r>
      <w:r>
        <w:t xml:space="preserve">a single reading with a stop coda,</w:t>
      </w:r>
      <w:r>
        <w:t xml:space="preserve"> </w:t>
      </w:r>
      <w:r>
        <w:t xml:space="preserve">ʔɑt</w:t>
      </w:r>
      <w:r>
        <w:t xml:space="preserve"> </w:t>
      </w:r>
      <w:r>
        <w:t xml:space="preserve">in</w:t>
      </w:r>
      <w:r>
        <w:t xml:space="preserve"> </w:t>
      </w:r>
      <w:r>
        <w:t xml:space="preserve">Schuessler's table and Middle Chinese</w:t>
      </w:r>
      <w:r>
        <w:t xml:space="preserve"> </w:t>
      </w:r>
      <w:r>
        <w:t xml:space="preserve">ʔat</w:t>
      </w:r>
      <w:r>
        <w:t xml:space="preserve"> </w:t>
      </w:r>
      <w:r>
        <w:t xml:space="preserve">from Old Chinese</w:t>
      </w:r>
      <w:r>
        <w:t xml:space="preserve"> </w:t>
      </w:r>
      <w:r>
        <w:t xml:space="preserve">*qˤat</w:t>
      </w:r>
      <w:r>
        <w:t xml:space="preserve"> </w:t>
      </w:r>
      <w:r>
        <w:t xml:space="preserve">in Baxter and Sagart.</w:t>
      </w:r>
      <w:hyperlink w:anchor="r2">
        <w:r>
          <w:rPr>
            <w:rStyle w:val="Hyperlink"/>
            <w:vertAlign w:val="superscript"/>
          </w:rPr>
          <w:t xml:space="preserve">2</w:t>
        </w:r>
      </w:hyperlink>
      <w:r>
        <w:rPr>
          <w:vertAlign w:val="superscript"/>
        </w:rPr>
        <w:t xml:space="preserve">,</w:t>
      </w:r>
      <w:hyperlink w:anchor="r22">
        <w:r>
          <w:rPr>
            <w:rStyle w:val="Hyperlink"/>
            <w:vertAlign w:val="superscript"/>
          </w:rPr>
          <w:t xml:space="preserve">22</w:t>
        </w:r>
      </w:hyperlink>
      <w:r>
        <w:t xml:space="preserve"> </w:t>
      </w:r>
      <w:r>
        <w:t xml:space="preserve">The</w:t>
      </w:r>
      <w:r>
        <w:t xml:space="preserve"> </w:t>
      </w:r>
      <w:r>
        <w:t xml:space="preserve">-n</w:t>
      </w:r>
      <w:r>
        <w:t xml:space="preserve"> </w:t>
      </w:r>
      <w:r>
        <w:t xml:space="preserve">belongs to</w:t>
      </w:r>
      <w:r>
        <w:t xml:space="preserve"> </w:t>
      </w:r>
      <w:r>
        <w:t xml:space="preserve">焉</w:t>
      </w:r>
      <w:r>
        <w:t xml:space="preserve">, the different character used</w:t>
      </w:r>
      <w:r>
        <w:t xml:space="preserve"> </w:t>
      </w:r>
      <w:r>
        <w:t xml:space="preserve">in the parallel spelling</w:t>
      </w:r>
      <w:r>
        <w:t xml:space="preserve"> </w:t>
      </w:r>
      <w:r>
        <w:t xml:space="preserve">焉支</w:t>
      </w:r>
      <w:r>
        <w:t xml:space="preserve">, so the</w:t>
      </w:r>
      <w:r>
        <w:t xml:space="preserve"> </w:t>
      </w:r>
      <w:r>
        <w:t xml:space="preserve">*ʔen-</w:t>
      </w:r>
      <w:r>
        <w:t xml:space="preserve"> </w:t>
      </w:r>
      <w:r>
        <w:t xml:space="preserve">reading is an inference from an alternation in usage rather than a</w:t>
      </w:r>
      <w:r>
        <w:t xml:space="preserve"> </w:t>
      </w:r>
      <w:r>
        <w:t xml:space="preserve">value any reconstruction assigns to this character.</w:t>
      </w:r>
    </w:p>
    <w:p>
      <w:pPr>
        <w:pStyle w:val="BodyText"/>
      </w:pPr>
      <w:r>
        <w:rPr>
          <w:bCs/>
          <w:b/>
        </w:rPr>
        <w:t xml:space="preserve">What does not follow is the language.</w:t>
      </w:r>
      <w:r>
        <w:t xml:space="preserve"> </w:t>
      </w:r>
      <w:r>
        <w:t xml:space="preserve">The segments Vovin reconstructs are</w:t>
      </w:r>
      <w:r>
        <w:t xml:space="preserve"> </w:t>
      </w:r>
      <w:r>
        <w:t xml:space="preserve">also a Turkic word. Modern Turkish</w:t>
      </w:r>
      <w:r>
        <w:t xml:space="preserve"> </w:t>
      </w:r>
      <w:r>
        <w:rPr>
          <w:iCs/>
          <w:i/>
        </w:rPr>
        <w:t xml:space="preserve">elti</w:t>
      </w:r>
      <w:r>
        <w:t xml:space="preserve"> </w:t>
      </w:r>
      <w:r>
        <w:t xml:space="preserve">is what each of two brothers' wives calls the</w:t>
      </w:r>
      <w:r>
        <w:t xml:space="preserve"> </w:t>
      </w:r>
      <w:r>
        <w:t xml:space="preserve">other, and in dialect what two wives of one man call each other, and it has the same shape as his</w:t>
      </w:r>
      <w:r>
        <w:t xml:space="preserve"> </w:t>
      </w:r>
      <w:r>
        <w:rPr>
          <w:iCs/>
          <w:i/>
        </w:rPr>
        <w:t xml:space="preserve">elte</w:t>
      </w:r>
      <w:r>
        <w:t xml:space="preserve">: the same liquid that has to be written with the</w:t>
      </w:r>
      <w:r>
        <w:t xml:space="preserve"> </w:t>
      </w:r>
      <w:r>
        <w:t xml:space="preserve">-t</w:t>
      </w:r>
      <w:r>
        <w:t xml:space="preserve">, the</w:t>
      </w:r>
      <w:r>
        <w:t xml:space="preserve"> </w:t>
      </w:r>
      <w:r>
        <w:t xml:space="preserve">same dental in the second syllable, the same final vowel. A scribe writing</w:t>
      </w:r>
      <w:r>
        <w:t xml:space="preserve"> </w:t>
      </w:r>
      <w:r>
        <w:rPr>
          <w:iCs/>
          <w:i/>
        </w:rPr>
        <w:t xml:space="preserve">elti</w:t>
      </w:r>
      <w:r>
        <w:t xml:space="preserve"> </w:t>
      </w:r>
      <w:r>
        <w:t xml:space="preserve">would</w:t>
      </w:r>
      <w:r>
        <w:t xml:space="preserve"> </w:t>
      </w:r>
      <w:r>
        <w:t xml:space="preserve">have produced</w:t>
      </w:r>
      <w:r>
        <w:t xml:space="preserve"> </w:t>
      </w:r>
      <w:r>
        <w:t xml:space="preserve">閼氏</w:t>
      </w:r>
      <w:r>
        <w:t xml:space="preserve"> </w:t>
      </w:r>
      <w:r>
        <w:t xml:space="preserve">by exactly the steps Vovin sets out for</w:t>
      </w:r>
      <w:r>
        <w:t xml:space="preserve"> </w:t>
      </w:r>
      <w:r>
        <w:rPr>
          <w:iCs/>
          <w:i/>
        </w:rPr>
        <w:t xml:space="preserve">elte</w:t>
      </w:r>
      <w:r>
        <w:t xml:space="preserve">. His "only" is a claim about Chinese orthography and it is true; it is not a claim</w:t>
      </w:r>
      <w:r>
        <w:t xml:space="preserve"> </w:t>
      </w:r>
      <w:r>
        <w:t xml:space="preserve">about which language the source was, and the spelling does not make one.</w:t>
      </w:r>
    </w:p>
    <w:p>
      <w:pPr>
        <w:pStyle w:val="BodyText"/>
      </w:pPr>
      <w:r>
        <w:t xml:space="preserve">Nor are the two words as differently placed in time as their presentation suggests. Clauson</w:t>
      </w:r>
      <w:r>
        <w:t xml:space="preserve"> </w:t>
      </w:r>
      <w:r>
        <w:t xml:space="preserve">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w:t>
      </w:r>
      <w:r>
        <w:t xml:space="preserve"> </w:t>
      </w:r>
      <w:r>
        <w:t xml:space="preserve">fourteenth-century Arabic-Turkish glossary, so the Turkic word is attested medievally in the sense</w:t>
      </w:r>
      <w:r>
        <w:t xml:space="preserve"> </w:t>
      </w:r>
      <w:r>
        <w:t xml:space="preserve">a consort's title would want and not only in its modern kinship use.</w:t>
      </w:r>
      <w:hyperlink w:anchor="r4">
        <w:r>
          <w:rPr>
            <w:rStyle w:val="Hyperlink"/>
            <w:vertAlign w:val="superscript"/>
          </w:rPr>
          <w:t xml:space="preserve">4</w:t>
        </w:r>
      </w:hyperlink>
      <w:r>
        <w:t xml:space="preserve"> </w:t>
      </w:r>
      <w:r>
        <w:t xml:space="preserve">We did not find it in the Türk Dil Kurumu index to Kāşgarî or in the</w:t>
      </w:r>
      <w:r>
        <w:t xml:space="preserve"> </w:t>
      </w:r>
      <w:r>
        <w:rPr>
          <w:iCs/>
          <w:i/>
        </w:rPr>
        <w:t xml:space="preserve">Codex</w:t>
      </w:r>
      <w:r>
        <w:rPr>
          <w:iCs/>
          <w:i/>
        </w:rPr>
        <w:t xml:space="preserve"> </w:t>
      </w:r>
      <w:r>
        <w:rPr>
          <w:iCs/>
          <w:i/>
        </w:rPr>
        <w:t xml:space="preserve">Cumanicus</w:t>
      </w:r>
      <w:r>
        <w:t xml:space="preserve">.</w:t>
      </w:r>
      <w:hyperlink w:anchor="r12">
        <w:r>
          <w:rPr>
            <w:rStyle w:val="Hyperlink"/>
            <w:vertAlign w:val="superscript"/>
          </w:rPr>
          <w:t xml:space="preserve">12</w:t>
        </w:r>
      </w:hyperlink>
      <w:r>
        <w:rPr>
          <w:vertAlign w:val="superscript"/>
        </w:rPr>
        <w:t xml:space="preserve">,</w:t>
      </w:r>
      <w:hyperlink w:anchor="r14">
        <w:r>
          <w:rPr>
            <w:rStyle w:val="Hyperlink"/>
            <w:vertAlign w:val="superscript"/>
          </w:rPr>
          <w:t xml:space="preserve">14</w:t>
        </w:r>
      </w:hyperlink>
      <w:r>
        <w:t xml:space="preserve"> </w:t>
      </w:r>
      <w:r>
        <w:t xml:space="preserve">Vovin's side rests</w:t>
      </w:r>
      <w:r>
        <w:t xml:space="preserve"> </w:t>
      </w:r>
      <w:r>
        <w:t xml:space="preserve">on Kott, Assan and Arin forms recorded in the eighteenth century and later, from languages with no</w:t>
      </w:r>
      <w:r>
        <w:t xml:space="preserve"> </w:t>
      </w:r>
      <w:r>
        <w:t xml:space="preserve">early texts, carried back by reconstruction; he notes himself that the proto-meaning "woman" is</w:t>
      </w:r>
      <w:r>
        <w:t xml:space="preserve"> </w:t>
      </w:r>
      <w:r>
        <w:t xml:space="preserve">reconstructed for the sake of a North Caucasian comparison, and that "woman" occurs in Kott alone</w:t>
      </w:r>
      <w:r>
        <w:t xml:space="preserve"> </w:t>
      </w:r>
      <w:r>
        <w:t xml:space="preserve">while "wife" occurs in two languages. Neither word reaches the second century BCE by attestation.</w:t>
      </w:r>
      <w:r>
        <w:t xml:space="preserve"> </w:t>
      </w:r>
      <w:r>
        <w:t xml:space="preserve">What the channel can say is what the spelling permits, and it permits both.</w:t>
      </w:r>
    </w:p>
    <w:p>
      <w:pPr>
        <w:pStyle w:val="BodyText"/>
      </w:pPr>
      <w:r>
        <w:t xml:space="preserve">So, three comparisons from the literature have been tested rather than generated. Two</w:t>
      </w:r>
      <w:r>
        <w:t xml:space="preserve"> </w:t>
      </w:r>
      <w:r>
        <w:t xml:space="preserve">survive tests that 32 of our own readings fail; one of those two has a rival etymology our method</w:t>
      </w:r>
      <w:r>
        <w:t xml:space="preserve"> </w:t>
      </w:r>
      <w:r>
        <w:t xml:space="preserve">cannot rule out; and the third is well formed but does not identify a language, which is what §6.1</w:t>
      </w:r>
      <w:r>
        <w:t xml:space="preserve"> </w:t>
      </w:r>
      <w:r>
        <w:t xml:space="preserve">predicts. That spread is the point of this section. The channel cannot generate supported readings</w:t>
      </w:r>
      <w:r>
        <w:t xml:space="preserve"> </w:t>
      </w:r>
      <w:r>
        <w:t xml:space="preserve">at this data density, but it can judge ones already on the table, including ones advanced against</w:t>
      </w:r>
      <w:r>
        <w:t xml:space="preserve"> </w:t>
      </w:r>
      <w:r>
        <w:t xml:space="preserve">the hypothesis this paper spends most of its pages on, and deciding on other people's proposals is</w:t>
      </w:r>
      <w:r>
        <w:t xml:space="preserve"> </w:t>
      </w:r>
      <w:r>
        <w:t xml:space="preserve">a use of it that the accuracy figures actually license.</w:t>
      </w:r>
    </w:p>
    <w:bookmarkEnd w:id="44"/>
    <w:bookmarkStart w:id="45"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冒頓</w:t>
      </w:r>
      <w:r>
        <w:t xml:space="preserve"> </w:t>
      </w:r>
      <w:r>
        <w:t xml:space="preserve">is the most consequential name in the record, and the frame it</w:t>
      </w:r>
      <w:r>
        <w:t xml:space="preserve"> </w:t>
      </w:r>
      <w:r>
        <w:t xml:space="preserve">fixes looks unusually tight, because</w:t>
      </w:r>
      <w:r>
        <w:t xml:space="preserve"> </w:t>
      </w:r>
      <w:r>
        <w:rPr>
          <w:bCs/>
          <w:b/>
        </w:rPr>
        <w:t xml:space="preserve">both codas are written</w:t>
      </w:r>
      <w:r>
        <w:t xml:space="preserve">. What makes it hard is</w:t>
      </w:r>
      <w:r>
        <w:t xml:space="preserve"> </w:t>
      </w:r>
      <w:r>
        <w:t xml:space="preserve">that neither character has a single value. Schuessler's table gives</w:t>
      </w:r>
      <w:r>
        <w:t xml:space="preserve"> </w:t>
      </w:r>
      <w:r>
        <w:t xml:space="preserve">冒</w:t>
      </w:r>
      <w:r>
        <w:t xml:space="preserve"> </w:t>
      </w:r>
      <w:r>
        <w:t xml:space="preserve">two</w:t>
      </w:r>
      <w:r>
        <w:t xml:space="preserve"> </w:t>
      </w:r>
      <w:r>
        <w:t xml:space="preserve">Later Han readings,</w:t>
      </w:r>
      <w:r>
        <w:t xml:space="preserve"> </w:t>
      </w:r>
      <w:r>
        <w:t xml:space="preserve">mək</w:t>
      </w:r>
      <w:r>
        <w:t xml:space="preserve"> </w:t>
      </w:r>
      <w:r>
        <w:t xml:space="preserve">and</w:t>
      </w:r>
      <w:r>
        <w:t xml:space="preserve"> </w:t>
      </w:r>
      <w:r>
        <w:t xml:space="preserve">mouᶜ</w:t>
      </w:r>
      <w:r>
        <w:t xml:space="preserve">, and</w:t>
      </w:r>
      <w:r>
        <w:t xml:space="preserve"> </w:t>
      </w:r>
      <w:r>
        <w:t xml:space="preserve">頓</w:t>
      </w:r>
      <w:r>
        <w:t xml:space="preserve"> </w:t>
      </w:r>
      <w:r>
        <w:t xml:space="preserve">two,</w:t>
      </w:r>
      <w:r>
        <w:t xml:space="preserve"> </w:t>
      </w:r>
      <w:r>
        <w:t xml:space="preserve">tuənᶜ</w:t>
      </w:r>
      <w:r>
        <w:t xml:space="preserve"> </w:t>
      </w:r>
      <w:r>
        <w:t xml:space="preserve">and</w:t>
      </w:r>
      <w:r>
        <w:t xml:space="preserve"> </w:t>
      </w:r>
      <w:r>
        <w:t xml:space="preserve">tuət</w:t>
      </w:r>
      <w:r>
        <w:t xml:space="preserve">,</w:t>
      </w:r>
      <w:r>
        <w:t xml:space="preserve"> </w:t>
      </w:r>
      <w:r>
        <w:t xml:space="preserve">one ending in a nasal and one in a stop.</w:t>
      </w:r>
      <w:hyperlink w:anchor="r22">
        <w:r>
          <w:rPr>
            <w:rStyle w:val="Hyperlink"/>
            <w:vertAlign w:val="superscript"/>
          </w:rPr>
          <w:t xml:space="preserve">22</w:t>
        </w:r>
      </w:hyperlink>
      <w:r>
        <w:t xml:space="preserve"> </w:t>
      </w:r>
      <w:r>
        <w:t xml:space="preserve">A third value</w:t>
      </w:r>
      <w:r>
        <w:t xml:space="preserve"> </w:t>
      </w:r>
      <w:r>
        <w:t xml:space="preserve">for the second character also circulates. A commentator notes</w:t>
      </w:r>
      <w:r>
        <w:t xml:space="preserve"> </w:t>
      </w:r>
      <w:r>
        <w:t xml:space="preserve">頓音毒</w:t>
      </w:r>
      <w:r>
        <w:t xml:space="preserve">, "</w:t>
      </w:r>
      <w:r>
        <w:t xml:space="preserve">頓</w:t>
      </w:r>
      <w:r>
        <w:t xml:space="preserve"> </w:t>
      </w:r>
      <w:r>
        <w:t xml:space="preserve">is pronounced</w:t>
      </w:r>
      <w:r>
        <w:t xml:space="preserve"> </w:t>
      </w:r>
      <w:r>
        <w:t xml:space="preserve">毒</w:t>
      </w:r>
      <w:r>
        <w:t xml:space="preserve">", which Pulleyblank reports as Early Middle Chinese</w:t>
      </w:r>
      <w:r>
        <w:t xml:space="preserve"> </w:t>
      </w:r>
      <w:r>
        <w:t xml:space="preserve">dawk</w:t>
      </w:r>
      <w:r>
        <w:t xml:space="preserve">.</w:t>
      </w:r>
      <w:hyperlink w:anchor="r20">
        <w:r>
          <w:rPr>
            <w:rStyle w:val="Hyperlink"/>
            <w:vertAlign w:val="superscript"/>
          </w:rPr>
          <w:t xml:space="preserve">20</w:t>
        </w:r>
      </w:hyperlink>
      <w:r>
        <w:t xml:space="preserve"> </w:t>
      </w:r>
      <w:r>
        <w:t xml:space="preserve">That needs stating</w:t>
      </w:r>
      <w:r>
        <w:t xml:space="preserve"> </w:t>
      </w:r>
      <w:r>
        <w:t xml:space="preserve">precisely, because published readings of this name rest on it. In the Later Han table</w:t>
      </w:r>
      <w:r>
        <w:t xml:space="preserve"> </w:t>
      </w:r>
      <w:r>
        <w:t xml:space="preserve">毒</w:t>
      </w:r>
      <w:r>
        <w:t xml:space="preserve"> </w:t>
      </w:r>
      <w:r>
        <w:t xml:space="preserve">and</w:t>
      </w:r>
      <w:r>
        <w:t xml:space="preserve"> </w:t>
      </w:r>
      <w:r>
        <w:t xml:space="preserve">纛</w:t>
      </w:r>
      <w:r>
        <w:t xml:space="preserve"> </w:t>
      </w:r>
      <w:r>
        <w:t xml:space="preserve">are both</w:t>
      </w:r>
      <w:r>
        <w:t xml:space="preserve"> </w:t>
      </w:r>
      <w:r>
        <w:t xml:space="preserve">douk</w:t>
      </w:r>
      <w:r>
        <w:t xml:space="preserve"> </w:t>
      </w:r>
      <w:r>
        <w:t xml:space="preserve">while</w:t>
      </w:r>
      <w:r>
        <w:t xml:space="preserve"> </w:t>
      </w:r>
      <w:r>
        <w:t xml:space="preserve">頓</w:t>
      </w:r>
      <w:r>
        <w:t xml:space="preserve"> </w:t>
      </w:r>
      <w:r>
        <w:t xml:space="preserve">is</w:t>
      </w:r>
      <w:r>
        <w:t xml:space="preserve"> </w:t>
      </w:r>
      <w:r>
        <w:t xml:space="preserve">tuənᶜ</w:t>
      </w:r>
      <w:r>
        <w:t xml:space="preserve"> </w:t>
      </w:r>
      <w:r>
        <w:t xml:space="preserve">or</w:t>
      </w:r>
      <w:r>
        <w:t xml:space="preserve"> </w:t>
      </w:r>
      <w:r>
        <w:t xml:space="preserve">tuət</w:t>
      </w:r>
      <w:r>
        <w:t xml:space="preserve">. A velar stop coda is therefore not a row of</w:t>
      </w:r>
      <w:r>
        <w:t xml:space="preserve"> </w:t>
      </w:r>
      <w:r>
        <w:t xml:space="preserve">頓</w:t>
      </w:r>
      <w:r>
        <w:t xml:space="preserve"> </w:t>
      </w:r>
      <w:r>
        <w:t xml:space="preserve">at all; it is a substitution recorded by a commentator. We keep it in</w:t>
      </w:r>
      <w:r>
        <w:t xml:space="preserve"> </w:t>
      </w:r>
      <w:r>
        <w:t xml:space="preserve">view as a third value on offer, labeled for what it is, because the alternative is to let a</w:t>
      </w:r>
      <w:r>
        <w:t xml:space="preserve"> </w:t>
      </w:r>
      <w:r>
        <w:t xml:space="preserve">reading depend on it silently.</w:t>
      </w:r>
    </w:p>
    <w:p>
      <w:pPr>
        <w:pStyle w:val="BodyText"/>
      </w:pPr>
      <w:r>
        <w:rPr>
          <w:bCs/>
          <w:b/>
        </w:rPr>
        <w:t xml:space="preserve">The first character is not where the difficulty is.</w:t>
      </w:r>
      <w:r>
        <w:t xml:space="preserve"> </w:t>
      </w:r>
      <w:r>
        <w:t xml:space="preserve">In the Later Han table</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w:t>
      </w:r>
      <w:r>
        <w:t xml:space="preserve">啜</w:t>
      </w:r>
      <w:r>
        <w:t xml:space="preserve">, the</w:t>
      </w:r>
      <w:r>
        <w:t xml:space="preserve"> </w:t>
      </w:r>
      <w:r>
        <w:t xml:space="preserve">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 the</w:t>
      </w:r>
      <w:r>
        <w:t xml:space="preserve"> </w:t>
      </w:r>
      <w:r>
        <w:t xml:space="preserve">final vowel of</w:t>
      </w:r>
      <w:r>
        <w:t xml:space="preserve"> </w:t>
      </w:r>
      <w:r>
        <w:rPr>
          <w:iCs/>
          <w:i/>
        </w:rPr>
        <w:t xml:space="preserve">bögü</w:t>
      </w:r>
      <w:r>
        <w:t xml:space="preserve"> </w:t>
      </w:r>
      <w:r>
        <w:t xml:space="preserve">not written at all. The substitution is on record more than once in</w:t>
      </w:r>
      <w:r>
        <w:t xml:space="preserve"> </w:t>
      </w:r>
      <w:r>
        <w:t xml:space="preserve">Turkic onomastics, and the characters used 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 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 and the two fall either side of</w:t>
      </w:r>
      <w:r>
        <w:t xml:space="preserve"> </w:t>
      </w:r>
      <w:r>
        <w:t xml:space="preserve">冒</w:t>
      </w:r>
      <w:r>
        <w:t xml:space="preserve">'s own split:</w:t>
      </w:r>
      <w:r>
        <w:t xml:space="preserve"> </w:t>
      </w:r>
      <w:r>
        <w:t xml:space="preserve">默</w:t>
      </w:r>
      <w:r>
        <w:t xml:space="preserve"> </w:t>
      </w:r>
      <w:r>
        <w:t xml:space="preserve">matches its first reading</w:t>
      </w:r>
      <w:r>
        <w:t xml:space="preserve"> </w:t>
      </w:r>
      <w:r>
        <w:t xml:space="preserve">exactly, and</w:t>
      </w:r>
      <w:r>
        <w:t xml:space="preserve"> </w:t>
      </w:r>
      <w:r>
        <w:t xml:space="preserve">牟</w:t>
      </w:r>
      <w:r>
        <w:t xml:space="preserve"> </w:t>
      </w:r>
      <w:r>
        <w:t xml:space="preserve">is the nearer of the two to its second. Whichever reading of</w:t>
      </w:r>
      <w:r>
        <w:t xml:space="preserve"> </w:t>
      </w:r>
      <w:r>
        <w:t xml:space="preserve">冒</w:t>
      </w:r>
      <w:r>
        <w:t xml:space="preserve"> </w:t>
      </w:r>
      <w:r>
        <w:t xml:space="preserve">is taken, there is a Turkic precedent for that character writing</w:t>
      </w:r>
      <w:r>
        <w:t xml:space="preserve"> </w:t>
      </w:r>
      <w:r>
        <w:rPr>
          <w:iCs/>
          <w:i/>
        </w:rPr>
        <w:t xml:space="preserve">bögü</w:t>
      </w:r>
      <w:r>
        <w:t xml:space="preserve">. Both authorities in fact give this name the unrounded reading: Pulleyblank lists</w:t>
      </w:r>
      <w:r>
        <w:t xml:space="preserve"> </w:t>
      </w:r>
      <w:r>
        <w:t xml:space="preserve">the character at K1062a and glosses the entry "covet; Modun, founder of the Xiongnu</w:t>
      </w:r>
      <w:r>
        <w:t xml:space="preserve"> </w:t>
      </w:r>
      <w:r>
        <w:t xml:space="preserve">empire".</w:t>
      </w:r>
      <w:hyperlink w:anchor="r20">
        <w:r>
          <w:rPr>
            <w:rStyle w:val="Hyperlink"/>
            <w:vertAlign w:val="superscript"/>
          </w:rPr>
          <w:t xml:space="preserve">20</w:t>
        </w:r>
      </w:hyperlink>
    </w:p>
    <w:p>
      <w:pPr>
        <w:pStyle w:val="BodyText"/>
      </w:pPr>
      <w:r>
        <w:t xml:space="preserve">Table 9 prices the two readings against each other. A rounded source vowel is written with a rounded</w:t>
      </w:r>
      <w:r>
        <w:t xml:space="preserve"> </w:t>
      </w:r>
      <w:r>
        <w:t xml:space="preserve">Chinese vowel in 59% of cases and an open source vowel in 4%, so</w:t>
      </w:r>
      <w:r>
        <w:t xml:space="preserve"> </w:t>
      </w:r>
      <w:r>
        <w:t xml:space="preserve">the rounded reading of</w:t>
      </w:r>
      <w:r>
        <w:t xml:space="preserve"> </w:t>
      </w:r>
      <w:r>
        <w:t xml:space="preserve">冒</w:t>
      </w:r>
      <w:r>
        <w:t xml:space="preserve">,</w:t>
      </w:r>
      <w:r>
        <w:t xml:space="preserve"> </w:t>
      </w:r>
      <w:r>
        <w:t xml:space="preserve">mouᶜ</w:t>
      </w:r>
      <w:r>
        <w:t xml:space="preserve">, is where a rounded first</w:t>
      </w:r>
      <w:r>
        <w:t xml:space="preserve"> </w:t>
      </w:r>
      <w:r>
        <w:t xml:space="preserve">element is ordinary and an open one is not, by about fourteen to one. The unrounded reading,</w:t>
      </w:r>
      <w:r>
        <w:t xml:space="preserve"> </w:t>
      </w:r>
      <w:r>
        <w:t xml:space="preserve">mək</w:t>
      </w:r>
      <w:r>
        <w:t xml:space="preserve">, separates the two candidates far less: 7% against 3%, a gap too small</w:t>
      </w:r>
      <w:r>
        <w:t xml:space="preserve"> </w:t>
      </w:r>
      <w:r>
        <w:t xml:space="preserve">to carry a reading, and the one attested case of this syllable writing</w:t>
      </w:r>
      <w:r>
        <w:t xml:space="preserve"> </w:t>
      </w:r>
      <w:r>
        <w:rPr>
          <w:iCs/>
          <w:i/>
        </w:rPr>
        <w:t xml:space="preserve">bögü</w:t>
      </w:r>
      <w:r>
        <w:t xml:space="preserve"> </w:t>
      </w:r>
      <w:r>
        <w:t xml:space="preserve">sits on that</w:t>
      </w:r>
      <w:r>
        <w:t xml:space="preserve"> </w:t>
      </w:r>
      <w:r>
        <w:t xml:space="preserve">very reading. Each step of the first character is separately licensed. 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in 47 of the 1,017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each of its three values admits a different</w:t>
      </w:r>
      <w:r>
        <w:rPr>
          <w:bCs/>
          <w:b/>
        </w:rPr>
        <w:t xml:space="preserve"> </w:t>
      </w:r>
      <w:r>
        <w:rPr>
          <w:bCs/>
          <w:b/>
        </w:rPr>
        <w:t xml:space="preserve">shape of second element.</w:t>
      </w:r>
      <w:r>
        <w:t xml:space="preserve"> </w:t>
      </w:r>
      <w:r>
        <w:t xml:space="preserve">The corpora say how often a source coda of each class is written</w:t>
      </w:r>
      <w:r>
        <w:t xml:space="preserve"> </w:t>
      </w:r>
      <w:r>
        <w:t xml:space="preserve">with a coda of the class each value carries: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Value taken for</w:t>
            </w:r>
            <w:r>
              <w:t xml:space="preserve"> </w:t>
            </w:r>
            <w:r>
              <w:t xml:space="preserve">頓</w:t>
            </w:r>
          </w:p>
        </w:tc>
        <w:tc>
          <w:tcPr/>
          <w:p>
            <w:pPr>
              <w:pStyle w:val="Compact"/>
              <w:jc w:val="left"/>
            </w:pPr>
            <w:r>
              <w:t xml:space="preserve">What it is, and who assigns it</w:t>
            </w:r>
          </w:p>
        </w:tc>
        <w:tc>
          <w:tcPr/>
          <w:p>
            <w:pPr>
              <w:pStyle w:val="Compact"/>
              <w:jc w:val="left"/>
            </w:pPr>
            <w:r>
              <w:t xml:space="preserve">A nasal-final</w:t>
            </w:r>
            <w:r>
              <w:br/>
            </w:r>
            <w:r>
              <w:t xml:space="preserve">second element</w:t>
            </w:r>
          </w:p>
        </w:tc>
        <w:tc>
          <w:tcPr/>
          <w:p>
            <w:pPr>
              <w:pStyle w:val="Compact"/>
              <w:jc w:val="left"/>
            </w:pPr>
            <w:r>
              <w:t xml:space="preserve">A velar-final second</w:t>
            </w:r>
            <w:r>
              <w:br/>
            </w:r>
            <w:r>
              <w:t xml:space="preserve">element,</w:t>
            </w:r>
            <w:r>
              <w:t xml:space="preserve"> </w:t>
            </w:r>
            <w:r>
              <w:rPr>
                <w:iCs/>
                <w:i/>
              </w:rPr>
              <w:t xml:space="preserve">tuğ</w:t>
            </w:r>
          </w:p>
        </w:tc>
        <w:tc>
          <w:tcPr/>
          <w:p>
            <w:pPr>
              <w:pStyle w:val="Compact"/>
              <w:jc w:val="left"/>
            </w:pPr>
            <w:r>
              <w:rPr>
                <w:iCs/>
                <w:i/>
              </w:rPr>
              <w:t xml:space="preserve">Baγatur</w:t>
            </w:r>
          </w:p>
        </w:tc>
      </w:tr>
      <w:tr>
        <w:tc>
          <w:tcPr/>
          <w:p>
            <w:pPr>
              <w:pStyle w:val="Compact"/>
              <w:jc w:val="left"/>
            </w:pPr>
            <w:r>
              <w:t xml:space="preserve">tuənᶜ</w:t>
            </w:r>
            <w:r>
              <w:br/>
            </w:r>
            <w:r>
              <w:t xml:space="preserve">dental nasal coda</w:t>
            </w:r>
          </w:p>
        </w:tc>
        <w:tc>
          <w:tcPr/>
          <w:p>
            <w:pPr>
              <w:pStyle w:val="Compact"/>
              <w:jc w:val="left"/>
            </w:pPr>
            <w:r>
              <w:t xml:space="preserve">The first row of Schuessler's table, and the character's primary reading. It is the value</w:t>
            </w:r>
            <w:r>
              <w:t xml:space="preserve"> </w:t>
            </w:r>
            <w:r>
              <w:t xml:space="preserve">Appendix A prints, here as everywhere. Schuessler's own note for this name points to his</w:t>
            </w:r>
            <w:r>
              <w:t xml:space="preserve"> </w:t>
            </w:r>
            <w:r>
              <w:t xml:space="preserve">second row instead, so taking the primary reading here is a position rather than a</w:t>
            </w:r>
            <w:r>
              <w:t xml:space="preserve"> </w:t>
            </w:r>
            <w:r>
              <w:t xml:space="preserve">default.</w:t>
            </w:r>
          </w:p>
        </w:tc>
        <w:tc>
          <w:tcPr/>
          <w:p>
            <w:pPr>
              <w:pStyle w:val="Compact"/>
              <w:jc w:val="left"/>
            </w:pPr>
            <w:r>
              <w:rPr>
                <w:bCs/>
                <w:b/>
              </w:rPr>
              <w:t xml:space="preserve">fits</w:t>
            </w:r>
            <w:r>
              <w:br/>
            </w:r>
            <w:r>
              <w:t xml:space="preserve">77 of 93  (83%)</w:t>
            </w:r>
            <w:r>
              <w:br/>
            </w:r>
            <w:r>
              <w:t xml:space="preserve">the commonest</w:t>
            </w:r>
            <w:r>
              <w:t xml:space="preserve"> </w:t>
            </w:r>
            <w:r>
              <w:t xml:space="preserve">cell in the corpus</w:t>
            </w:r>
          </w:p>
        </w:tc>
        <w:tc>
          <w:tcPr/>
          <w:p>
            <w:pPr>
              <w:pStyle w:val="Compact"/>
              <w:jc w:val="left"/>
            </w:pPr>
            <w:r>
              <w:rPr>
                <w:bCs/>
                <w:b/>
              </w:rPr>
              <w:t xml:space="preserve">fails</w:t>
            </w:r>
            <w:r>
              <w:br/>
            </w:r>
            <w:r>
              <w:t xml:space="preserve">0 of 21</w:t>
            </w:r>
            <w:r>
              <w:br/>
            </w:r>
            <w:r>
              <w:t xml:space="preserve">the one nasal spelling of a</w:t>
            </w:r>
            <w:r>
              <w:t xml:space="preserve"> </w:t>
            </w:r>
            <w:r>
              <w:t xml:space="preserve">source velar is a velar nasal, not a dental one</w:t>
            </w:r>
          </w:p>
        </w:tc>
        <w:tc>
          <w:tcPr/>
          <w:p>
            <w:pPr>
              <w:pStyle w:val="Compact"/>
              <w:jc w:val="left"/>
            </w:pPr>
            <w:r>
              <w:rPr>
                <w:bCs/>
                <w:b/>
              </w:rPr>
              <w:t xml:space="preserve">fails</w:t>
            </w:r>
            <w:r>
              <w:br/>
            </w:r>
            <w:r>
              <w:t xml:space="preserve">1 of 37  (3%)</w:t>
            </w:r>
            <w:r>
              <w:br/>
            </w:r>
            <w:r>
              <w:t xml:space="preserve">a source</w:t>
            </w:r>
            <w:r>
              <w:t xml:space="preserve"> </w:t>
            </w:r>
            <w:r>
              <w:t xml:space="preserve">-r</w:t>
            </w:r>
            <w:r>
              <w:t xml:space="preserve"> </w:t>
            </w:r>
            <w:r>
              <w:t xml:space="preserve">against a written</w:t>
            </w:r>
            <w:r>
              <w:t xml:space="preserve"> </w:t>
            </w:r>
            <w:r>
              <w:t xml:space="preserve">-n</w:t>
            </w:r>
          </w:p>
        </w:tc>
      </w:tr>
      <w:tr>
        <w:tc>
          <w:tcPr/>
          <w:p>
            <w:pPr>
              <w:pStyle w:val="Compact"/>
              <w:jc w:val="left"/>
            </w:pPr>
            <w:r>
              <w:t xml:space="preserve">tuət</w:t>
            </w:r>
            <w:r>
              <w:br/>
            </w:r>
            <w:r>
              <w:t xml:space="preserve">dental stop coda</w:t>
            </w:r>
          </w:p>
        </w:tc>
        <w:tc>
          <w:tcPr/>
          <w:p>
            <w:pPr>
              <w:pStyle w:val="Compact"/>
              <w:jc w:val="left"/>
            </w:pPr>
            <w:r>
              <w:t xml:space="preserve">The second row of the same table, and the reading Schuessler assigns to this name, at</w:t>
            </w:r>
            <w:r>
              <w:t xml:space="preserve"> </w:t>
            </w:r>
            <w:r>
              <w:t xml:space="preserve">pp. 209 and 361.</w:t>
            </w:r>
          </w:p>
        </w:tc>
        <w:tc>
          <w:tcPr/>
          <w:p>
            <w:pPr>
              <w:pStyle w:val="Compact"/>
              <w:jc w:val="left"/>
            </w:pPr>
            <w:r>
              <w:rPr>
                <w:bCs/>
                <w:b/>
              </w:rPr>
              <w:t xml:space="preserve">fails</w:t>
            </w:r>
            <w:r>
              <w:br/>
            </w:r>
            <w:r>
              <w:t xml:space="preserve">0 of 93</w:t>
            </w:r>
            <w:r>
              <w:br/>
            </w:r>
            <w:r>
              <w:t xml:space="preserve">a source nasal is not</w:t>
            </w:r>
            <w:r>
              <w:t xml:space="preserve"> </w:t>
            </w:r>
            <w:r>
              <w:t xml:space="preserve">written with a stop coda</w:t>
            </w:r>
          </w:p>
        </w:tc>
        <w:tc>
          <w:tcPr/>
          <w:p>
            <w:pPr>
              <w:pStyle w:val="Compact"/>
              <w:jc w:val="left"/>
            </w:pPr>
            <w:r>
              <w:rPr>
                <w:bCs/>
                <w:b/>
              </w:rPr>
              <w:t xml:space="preserve">permitted, uncommon</w:t>
            </w:r>
            <w:r>
              <w:br/>
            </w:r>
            <w:r>
              <w:t xml:space="preserve">2 of 21  (10%)</w:t>
            </w:r>
            <w:r>
              <w:br/>
            </w:r>
            <w:r>
              <w:t xml:space="preserve">the</w:t>
            </w:r>
            <w:r>
              <w:t xml:space="preserve"> </w:t>
            </w:r>
            <w:r>
              <w:t xml:space="preserve">place changes, the manner does not</w:t>
            </w:r>
          </w:p>
        </w:tc>
        <w:tc>
          <w:tcPr/>
          <w:p>
            <w:pPr>
              <w:pStyle w:val="Compact"/>
              <w:jc w:val="left"/>
            </w:pPr>
            <w:r>
              <w:rPr>
                <w:bCs/>
                <w:b/>
              </w:rPr>
              <w:t xml:space="preserve">fits</w:t>
            </w:r>
            <w:r>
              <w:br/>
            </w:r>
            <w:r>
              <w:t xml:space="preserve">14 of 37  (38%)</w:t>
            </w:r>
            <w:r>
              <w:br/>
            </w:r>
            <w:r>
              <w:t xml:space="preserve">the scribe's</w:t>
            </w:r>
            <w:r>
              <w:t xml:space="preserve"> </w:t>
            </w:r>
            <w:r>
              <w:t xml:space="preserve">usual choice for a source</w:t>
            </w:r>
            <w:r>
              <w:t xml:space="preserve"> </w:t>
            </w:r>
            <w:r>
              <w:t xml:space="preserve">-r</w:t>
            </w:r>
            <w:r>
              <w:t xml:space="preserve"> </w:t>
            </w:r>
            <w:r>
              <w:t xml:space="preserve">after an open spelling</w:t>
            </w:r>
          </w:p>
        </w:tc>
      </w:tr>
      <w:tr>
        <w:tc>
          <w:tcPr/>
          <w:p>
            <w:pPr>
              <w:pStyle w:val="Compact"/>
              <w:jc w:val="left"/>
            </w:pPr>
            <w:r>
              <w:t xml:space="preserve">the substitution</w:t>
            </w:r>
            <w:r>
              <w:br/>
            </w:r>
            <w:r>
              <w:t xml:space="preserve">douk</w:t>
            </w:r>
            <w:r>
              <w:t xml:space="preserve">, velar stop coda</w:t>
            </w:r>
          </w:p>
        </w:tc>
        <w:tc>
          <w:tcPr/>
          <w:p>
            <w:pPr>
              <w:pStyle w:val="Compact"/>
              <w:jc w:val="left"/>
            </w:pPr>
            <w:r>
              <w:t xml:space="preserve">Not a row of</w:t>
            </w:r>
            <w:r>
              <w:t xml:space="preserve"> </w:t>
            </w:r>
            <w:r>
              <w:t xml:space="preserve">頓</w:t>
            </w:r>
            <w:r>
              <w:t xml:space="preserve"> </w:t>
            </w:r>
            <w:r>
              <w:t xml:space="preserve">at all. It is the syllable</w:t>
            </w:r>
            <w:r>
              <w:t xml:space="preserve"> </w:t>
            </w:r>
            <w:r>
              <w:t xml:space="preserve">毒</w:t>
            </w:r>
            <w:r>
              <w:t xml:space="preserve"> </w:t>
            </w:r>
            <w:r>
              <w:t xml:space="preserve">substituted by a commentator,</w:t>
            </w:r>
            <w:r>
              <w:t xml:space="preserve"> </w:t>
            </w:r>
            <w:r>
              <w:t xml:space="preserve">頓音毒</w:t>
            </w:r>
            <w:r>
              <w:t xml:space="preserve">,</w:t>
            </w:r>
            <w:r>
              <w:t xml:space="preserve"> </w:t>
            </w:r>
            <w:r>
              <w:t xml:space="preserve">reported by Pulleyblank as Early Middle Chinese</w:t>
            </w:r>
            <w:r>
              <w:t xml:space="preserve"> </w:t>
            </w:r>
            <w:r>
              <w:t xml:space="preserve">dawk</w:t>
            </w:r>
            <w:r>
              <w:t xml:space="preserve">. A tradition</w:t>
            </w:r>
            <w:r>
              <w:t xml:space="preserve"> </w:t>
            </w:r>
            <w:r>
              <w:t xml:space="preserve">about how to read the character, which is a different kind of claim from a</w:t>
            </w:r>
            <w:r>
              <w:t xml:space="preserve"> </w:t>
            </w:r>
            <w:r>
              <w:t xml:space="preserve">reconstruction of it.</w:t>
            </w:r>
          </w:p>
        </w:tc>
        <w:tc>
          <w:tcPr/>
          <w:p>
            <w:pPr>
              <w:pStyle w:val="Compact"/>
              <w:jc w:val="left"/>
            </w:pPr>
            <w:r>
              <w:rPr>
                <w:bCs/>
                <w:b/>
              </w:rPr>
              <w:t xml:space="preserve">fails</w:t>
            </w:r>
            <w:r>
              <w:br/>
            </w:r>
            <w:r>
              <w:t xml:space="preserve">0 of 93</w:t>
            </w:r>
          </w:p>
        </w:tc>
        <w:tc>
          <w:tcPr/>
          <w:p>
            <w:pPr>
              <w:pStyle w:val="Compact"/>
              <w:jc w:val="left"/>
            </w:pPr>
            <w:r>
              <w:rPr>
                <w:bCs/>
                <w:b/>
              </w:rPr>
              <w:t xml:space="preserve">fits</w:t>
            </w:r>
            <w:r>
              <w:br/>
            </w:r>
            <w:r>
              <w:t xml:space="preserve">10 of 21  (48%)</w:t>
            </w:r>
            <w:r>
              <w:br/>
            </w:r>
            <w:r>
              <w:t xml:space="preserve">both codas</w:t>
            </w:r>
            <w:r>
              <w:t xml:space="preserve"> </w:t>
            </w:r>
            <w:r>
              <w:t xml:space="preserve">written, same place, nothing discarded</w:t>
            </w:r>
          </w:p>
        </w:tc>
        <w:tc>
          <w:tcPr/>
          <w:p>
            <w:pPr>
              <w:pStyle w:val="Compact"/>
              <w:jc w:val="left"/>
            </w:pPr>
            <w:r>
              <w:rPr>
                <w:bCs/>
                <w:b/>
              </w:rPr>
              <w:t xml:space="preserve">fails</w:t>
            </w:r>
            <w:r>
              <w:br/>
            </w:r>
            <w:r>
              <w:t xml:space="preserve">0 of 37</w:t>
            </w:r>
            <w:r>
              <w:br/>
            </w:r>
            <w:r>
              <w:t xml:space="preserve">a source</w:t>
            </w:r>
            <w:r>
              <w:t xml:space="preserve"> </w:t>
            </w:r>
            <w:r>
              <w:t xml:space="preserve">-r</w:t>
            </w:r>
            <w:r>
              <w:t xml:space="preserve"> </w:t>
            </w:r>
            <w:r>
              <w:t xml:space="preserve">is never written with a velar coda</w:t>
            </w:r>
          </w:p>
        </w:tc>
      </w:tr>
    </w:tbl>
    <w:p>
      <w:pPr>
        <w:pStyle w:val="BodyText"/>
      </w:pPr>
      <w:r>
        <w:t xml:space="preserve">Table 11</w:t>
      </w:r>
      <w:r>
        <w:t xml:space="preserve">Each value of</w:t>
      </w:r>
      <w:r>
        <w:t xml:space="preserve"> </w:t>
      </w:r>
      <w:r>
        <w:t xml:space="preserve">頓</w:t>
      </w:r>
      <w:r>
        <w:t xml:space="preserve"> </w:t>
      </w:r>
      <w:r>
        <w:t xml:space="preserve">admits a</w:t>
      </w:r>
      <w:r>
        <w:t xml:space="preserve"> </w:t>
      </w:r>
      <w:r>
        <w:t xml:space="preserve">different second element, and none admits two. Counting the values that license each candidate:</w:t>
      </w:r>
      <w:r>
        <w:t xml:space="preserve"> </w:t>
      </w:r>
      <w:r>
        <w:rPr>
          <w:bCs/>
          <w:b/>
        </w:rPr>
        <w:t xml:space="preserve">two of the three admit a velar-final element, one admits</w:t>
      </w:r>
      <w:r>
        <w:rPr>
          <w:bCs/>
          <w:b/>
        </w:rPr>
        <w:t xml:space="preserve"> </w:t>
      </w:r>
      <w:r>
        <w:rPr>
          <w:iCs/>
          <w:i/>
          <w:bCs/>
          <w:b/>
        </w:rPr>
        <w:t xml:space="preserve">Baγatur</w:t>
      </w:r>
      <w:r>
        <w:rPr>
          <w:bCs/>
          <w:b/>
        </w:rPr>
        <w:t xml:space="preserve">, and one admits a</w:t>
      </w:r>
      <w:r>
        <w:rPr>
          <w:bCs/>
          <w:b/>
        </w:rPr>
        <w:t xml:space="preserve"> </w:t>
      </w:r>
      <w:r>
        <w:rPr>
          <w:bCs/>
          <w:b/>
        </w:rPr>
        <w:t xml:space="preserve">nasal-final element</w:t>
      </w:r>
      <w:r>
        <w:t xml:space="preserve">. The rates are the rate at which the Later Han corpus writes a source</w:t>
      </w:r>
      <w:r>
        <w:t xml:space="preserve"> </w:t>
      </w:r>
      <w:r>
        <w:t xml:space="preserve">coda of that class with a coda of the class the value in that row carries; the nasal and velar</w:t>
      </w:r>
      <w:r>
        <w:t xml:space="preserve"> </w:t>
      </w:r>
      <w:r>
        <w:t xml:space="preserve">columns come from the same tally as Table 7, the liquid column from §8.1. Denominators differ</w:t>
      </w:r>
      <w:r>
        <w:t xml:space="preserve"> </w:t>
      </w:r>
      <w:r>
        <w:t xml:space="preserve">because the corpus offers different numbers of opportunities, and the velar column rests on 21 cases,</w:t>
      </w:r>
      <w:r>
        <w:t xml:space="preserve"> </w:t>
      </w:r>
      <w:r>
        <w:t xml:space="preserve">so it should be read as an indication rather than a rate.</w:t>
      </w:r>
      <w:r>
        <w:t xml:space="preserve"> </w:t>
      </w:r>
      <w:r>
        <w:rPr>
          <w:iCs/>
          <w:i/>
        </w:rPr>
        <w:t xml:space="preserve">Baγatur</w:t>
      </w:r>
      <w:r>
        <w:t xml:space="preserve"> </w:t>
      </w:r>
      <w:r>
        <w:t xml:space="preserve">has been the field's</w:t>
      </w:r>
      <w:r>
        <w:t xml:space="preserve"> </w:t>
      </w:r>
      <w:r>
        <w:t xml:space="preserve">reading for a century and is licensed on the dental stop reading alone, which is also the reading Schuessler names for this name. A velar-final reading is licensed on the other two. That is the disagreement,</w:t>
      </w:r>
      <w:r>
        <w:t xml:space="preserve"> </w:t>
      </w:r>
      <w:r>
        <w:t xml:space="preserve">and it is a disagreement about which value to take, not about phonology.</w:t>
      </w:r>
    </w:p>
    <w:p>
      <w:pPr>
        <w:pStyle w:val="BodyText"/>
      </w:pPr>
      <w:r>
        <w:rPr>
          <w:bCs/>
          <w:b/>
        </w:rPr>
        <w:t xml:space="preserve">The disagreement is smaller than it looks, and it is not phonological.</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value is taken for one character, and the transcription evidence</w:t>
      </w:r>
      <w:r>
        <w:t xml:space="preserve"> </w:t>
      </w:r>
      <w:r>
        <w:t xml:space="preserve">cannot choose, because the values describe the same character on the same page, or in the case of</w:t>
      </w:r>
      <w:r>
        <w:t xml:space="preserve"> </w:t>
      </w:r>
      <w:r>
        <w:t xml:space="preserve">the third, in the same commentary. What the channel contributes here is not a reading but the</w:t>
      </w:r>
      <w:r>
        <w:t xml:space="preserve"> </w:t>
      </w:r>
      <w:r>
        <w:t xml:space="preserve">location of the disagreement and the price of each branch.</w:t>
      </w:r>
    </w:p>
    <w:p>
      <w:pPr>
        <w:pStyle w:val="BodyText"/>
      </w:pPr>
      <w:r>
        <w:t xml:space="preserve">The conventional pronunciation of the compound,</w:t>
      </w:r>
      <w:r>
        <w:t xml:space="preserve"> </w:t>
      </w:r>
      <w:r>
        <w:rPr>
          <w:iCs/>
          <w:i/>
        </w:rPr>
        <w:t xml:space="preserve">Mòdú</w:t>
      </w:r>
      <w:r>
        <w:t xml:space="preserve">, points to a stop rather than a</w:t>
      </w:r>
      <w:r>
        <w:t xml:space="preserve"> </w:t>
      </w:r>
      <w:r>
        <w:t xml:space="preserve">nasal. On the table above that excludes the nasal-final shape and admits both of the others,</w:t>
      </w:r>
      <w:r>
        <w:t xml:space="preserve"> </w:t>
      </w:r>
      <w:r>
        <w:t xml:space="preserve">which is as far as it goes. It is a reading tradition rather than a measurement, and it is not</w:t>
      </w:r>
      <w:r>
        <w:t xml:space="preserve"> </w:t>
      </w:r>
      <w:r>
        <w:t xml:space="preserve">ours to adjudicate.</w:t>
      </w:r>
    </w:p>
    <w:p>
      <w:pPr>
        <w:pStyle w:val="BodyText"/>
      </w:pPr>
      <w:r>
        <w:rPr>
          <w:bCs/>
          <w:b/>
        </w:rPr>
        <w:t xml:space="preserve">What each branch has to assume.</w:t>
      </w:r>
      <w:r>
        <w:t xml:space="preserve"> </w:t>
      </w:r>
      <w:r>
        <w:t xml:space="preserve">On the standard of §9 all three shapes clear the</w:t>
      </w:r>
      <w:r>
        <w:t xml:space="preserve"> </w:t>
      </w:r>
      <w:r>
        <w:t xml:space="preserve">morphological test, since two nouns in apposition is the commonest Turkic name shape, as in Alp</w:t>
      </w:r>
      <w:r>
        <w:t xml:space="preserve"> </w:t>
      </w:r>
      <w:r>
        <w:t xml:space="preserve">Arslan or</w:t>
      </w:r>
      <w:r>
        <w:t xml:space="preserve"> </w:t>
      </w:r>
      <w:r>
        <w:rPr>
          <w:iCs/>
          <w:i/>
        </w:rPr>
        <w:t xml:space="preserve">Bögü-Çor</w:t>
      </w:r>
      <w:r>
        <w:t xml:space="preserve"> </w:t>
      </w:r>
      <w:r>
        <w:t xml:space="preserve">itself. They differ in what else has to be granted. The liquid-final shape needs the dental stop reading</w:t>
      </w:r>
      <w:r>
        <w:t xml:space="preserve"> </w:t>
      </w:r>
      <w:r>
        <w:t xml:space="preserve">tuət</w:t>
      </w:r>
      <w:r>
        <w:t xml:space="preserve">, and it needs a word: Clauson's entry on</w:t>
      </w:r>
      <w:r>
        <w:t xml:space="preserve"> </w:t>
      </w:r>
      <w:r>
        <w:rPr>
          <w:iCs/>
          <w:i/>
        </w:rPr>
        <w:t xml:space="preserve">baγatur</w:t>
      </w:r>
      <w:r>
        <w:t xml:space="preserve"> </w:t>
      </w:r>
      <w:r>
        <w:t xml:space="preserve">records that the word</w:t>
      </w:r>
      <w:r>
        <w:t xml:space="preserve"> </w:t>
      </w:r>
      <w:r>
        <w:t xml:space="preserve">"occurs only once in the early period and then still as a P.N.", that the sense "picked warrior"</w:t>
      </w:r>
      <w:r>
        <w:t xml:space="preserve"> </w:t>
      </w:r>
      <w:r>
        <w:t xml:space="preserve">most probably developed in Mongolian rather than Turkic, and that Turkic had other words such as</w:t>
      </w:r>
      <w:r>
        <w:t xml:space="preserve"> </w:t>
      </w:r>
      <w:r>
        <w:rPr>
          <w:iCs/>
          <w:i/>
        </w:rPr>
        <w:t xml:space="preserve">alpaγut</w:t>
      </w:r>
      <w:r>
        <w:t xml:space="preserve"> </w:t>
      </w:r>
      <w:r>
        <w:t xml:space="preserve">in that meaning.</w:t>
      </w:r>
      <w:hyperlink w:anchor="r4">
        <w:r>
          <w:rPr>
            <w:rStyle w:val="Hyperlink"/>
            <w:vertAlign w:val="superscript"/>
          </w:rPr>
          <w:t xml:space="preserve">4</w:t>
        </w:r>
      </w:hyperlink>
      <w:r>
        <w:t xml:space="preserve"> </w:t>
      </w:r>
      <w:r>
        <w:t xml:space="preserve">The velar-final shape</w:t>
      </w:r>
      <w:r>
        <w:t xml:space="preserve"> </w:t>
      </w:r>
      <w:r>
        <w:t xml:space="preserve">needs either</w:t>
      </w:r>
      <w:r>
        <w:t xml:space="preserve"> </w:t>
      </w:r>
      <w:r>
        <w:t xml:space="preserve">tuət</w:t>
      </w:r>
      <w:r>
        <w:t xml:space="preserve"> </w:t>
      </w:r>
      <w:r>
        <w:t xml:space="preserve">or the substitution, and its candidate second element is a well attested Old Turkic</w:t>
      </w:r>
      <w:r>
        <w:t xml:space="preserve"> </w:t>
      </w:r>
      <w:r>
        <w:t xml:space="preserve">noun, but the direction of its loan relation with Chinese is disputed, which we set out in S1</w:t>
      </w:r>
      <w:r>
        <w:t xml:space="preserve"> </w:t>
      </w:r>
      <w:r>
        <w:t xml:space="preserve">rather than here. The nasal-final shape needs the nasal reading</w:t>
      </w:r>
      <w:r>
        <w:t xml:space="preserve"> </w:t>
      </w:r>
      <w:r>
        <w:t xml:space="preserve">tuənᶜ</w:t>
      </w:r>
      <w:r>
        <w:t xml:space="preserve">, where it is the ordinary spelling, and it</w:t>
      </w:r>
      <w:r>
        <w:t xml:space="preserve"> </w:t>
      </w:r>
      <w:r>
        <w:t xml:space="preserve">needs a vowel the frame does not recover, since the corpus fixes neither the quality nor the</w:t>
      </w:r>
      <w:r>
        <w:t xml:space="preserve"> </w:t>
      </w:r>
      <w:r>
        <w:t xml:space="preserve">length of the vowel in the second syllable.</w:t>
      </w:r>
    </w:p>
    <w:p>
      <w:pPr>
        <w:pStyle w:val="BodyText"/>
      </w:pPr>
      <w:r>
        <w:rPr>
          <w:bCs/>
          <w:b/>
        </w:rPr>
        <w:t xml:space="preserve">The two steps priced together.</w:t>
      </w:r>
      <w:r>
        <w:t xml:space="preserve"> </w:t>
      </w:r>
      <w:r>
        <w:t xml:space="preserve">Table 11 prices only the second half of the</w:t>
      </w:r>
      <w:r>
        <w:t xml:space="preserve"> </w:t>
      </w:r>
      <w:r>
        <w:t xml:space="preserve">name. Each branch also needs a first step, and it is the same step on all three: on any Turkic</w:t>
      </w:r>
      <w:r>
        <w:t xml:space="preserve"> </w:t>
      </w:r>
      <w:r>
        <w:t xml:space="preserve">reading</w:t>
      </w:r>
      <w:r>
        <w:t xml:space="preserve"> </w:t>
      </w:r>
      <w:r>
        <w:t xml:space="preserve">冒</w:t>
      </w:r>
      <w:r>
        <w:t xml:space="preserve"> </w:t>
      </w:r>
      <w:r>
        <w:t xml:space="preserve">mək</w:t>
      </w:r>
      <w:r>
        <w:t xml:space="preserve"> </w:t>
      </w:r>
      <w:r>
        <w:t xml:space="preserve">writes a source</w:t>
      </w:r>
      <w:r>
        <w:t xml:space="preserve"> </w:t>
      </w:r>
      <w:r>
        <w:rPr>
          <w:iCs/>
          <w:i/>
        </w:rPr>
        <w:t xml:space="preserve">b-</w:t>
      </w:r>
      <w:r>
        <w:t xml:space="preserve">, which</w:t>
      </w:r>
      <w:r>
        <w:t xml:space="preserve"> </w:t>
      </w:r>
      <w:r>
        <w:t xml:space="preserve">the Later Han corpus does in 3 of 22 cases, 13.6% (§8.1). Carrying that through the coda rates</w:t>
      </w:r>
      <w:r>
        <w:t xml:space="preserve"> </w:t>
      </w:r>
      <w:r>
        <w:t xml:space="preserve">gives the cost of the whole name rather than of its second element. A nasal-final second element on</w:t>
      </w:r>
      <w:r>
        <w:t xml:space="preserve"> </w:t>
      </w:r>
      <w:r>
        <w:t xml:space="preserve">tuənᶜ</w:t>
      </w:r>
      <w:r>
        <w:t xml:space="preserve"> </w:t>
      </w:r>
      <w:r>
        <w:t xml:space="preserve">comes to 11.3%, about 1 in 9. A velar-final element on the</w:t>
      </w:r>
      <w:r>
        <w:t xml:space="preserve"> </w:t>
      </w:r>
      <w:r>
        <w:t xml:space="preserve">毒</w:t>
      </w:r>
      <w:r>
        <w:t xml:space="preserve"> </w:t>
      </w:r>
      <w:r>
        <w:t xml:space="preserve">substitution comes to 6.5%, about 1 in 15.</w:t>
      </w:r>
      <w:r>
        <w:t xml:space="preserve"> </w:t>
      </w:r>
      <w:r>
        <w:rPr>
          <w:iCs/>
          <w:i/>
        </w:rPr>
        <w:t xml:space="preserve">Baγatur</w:t>
      </w:r>
      <w:r>
        <w:t xml:space="preserve"> </w:t>
      </w:r>
      <w:r>
        <w:t xml:space="preserve">on</w:t>
      </w:r>
      <w:r>
        <w:t xml:space="preserve"> </w:t>
      </w:r>
      <w:r>
        <w:t xml:space="preserve">tuət</w:t>
      </w:r>
      <w:r>
        <w:t xml:space="preserve"> </w:t>
      </w:r>
      <w:r>
        <w:t xml:space="preserve">comes to 5.1%, about 1 in 20, and</w:t>
      </w:r>
      <w:r>
        <w:t xml:space="preserve"> </w:t>
      </w:r>
      <w:r>
        <w:rPr>
          <w:iCs/>
          <w:i/>
        </w:rPr>
        <w:t xml:space="preserve">Baγatur</w:t>
      </w:r>
      <w:r>
        <w:t xml:space="preserve"> </w:t>
      </w:r>
      <w:r>
        <w:t xml:space="preserve">on</w:t>
      </w:r>
      <w:r>
        <w:t xml:space="preserve"> </w:t>
      </w:r>
      <w:r>
        <w:t xml:space="preserve">tuənᶜ</w:t>
      </w:r>
      <w:r>
        <w:t xml:space="preserve"> </w:t>
      </w:r>
      <w:r>
        <w:t xml:space="preserve">to 0.4%, about 1 in 270. These joint figures cannot be written as a</w:t>
      </w:r>
      <w:r>
        <w:t xml:space="preserve"> </w:t>
      </w:r>
      <w:r>
        <w:t xml:space="preserve">count, because the two rates are drawn from different tallies with different denominators, and they</w:t>
      </w:r>
      <w:r>
        <w:t xml:space="preserve"> </w:t>
      </w:r>
      <w:r>
        <w:t xml:space="preserve">assume the two steps are independent, which is an assumption and not a measurement. Note also what</w:t>
      </w:r>
      <w:r>
        <w:t xml:space="preserve"> </w:t>
      </w:r>
      <w:r>
        <w:t xml:space="preserve">the first step does not do: because the</w:t>
      </w:r>
      <w:r>
        <w:t xml:space="preserve"> </w:t>
      </w:r>
      <w:r>
        <w:rPr>
          <w:iCs/>
          <w:i/>
        </w:rPr>
        <w:t xml:space="preserve">m-</w:t>
      </w:r>
      <w:r>
        <w:t xml:space="preserve"> </w:t>
      </w:r>
      <w:r>
        <w:t xml:space="preserve">rate is common to every Turkic branch it scales</w:t>
      </w:r>
      <w:r>
        <w:t xml:space="preserve"> </w:t>
      </w:r>
      <w:r>
        <w:t xml:space="preserve">all of them alike, so it changes how a Turkic reading of this name stands against a non-Turkic one,</w:t>
      </w:r>
      <w:r>
        <w:t xml:space="preserve"> </w:t>
      </w:r>
      <w:r>
        <w:t xml:space="preserve">and does not reorder the rows of Table 11.</w:t>
      </w:r>
    </w:p>
    <w:p>
      <w:pPr>
        <w:pStyle w:val="BodyText"/>
      </w:pPr>
      <w:r>
        <w:t xml:space="preserve">We do not choose among them, and the reason is not modesty. The three branches are not three</w:t>
      </w:r>
      <w:r>
        <w:t xml:space="preserve"> </w:t>
      </w:r>
      <w:r>
        <w:t xml:space="preserve">hypotheses about the same evidence; they are three different pieces of evidence, and the choice</w:t>
      </w:r>
      <w:r>
        <w:t xml:space="preserve"> </w:t>
      </w:r>
      <w:r>
        <w:t xml:space="preserve">between them is a decision about Chinese philology, not about transcription practice. What this</w:t>
      </w:r>
      <w:r>
        <w:t xml:space="preserve"> </w:t>
      </w:r>
      <w:r>
        <w:t xml:space="preserve">section offers is the priced comparison. The author's own proposal for this name, with the</w:t>
      </w:r>
      <w:r>
        <w:t xml:space="preserve"> </w:t>
      </w:r>
      <w:r>
        <w:t xml:space="preserve">objections to it recorded alongside, is in</w:t>
      </w:r>
      <w:r>
        <w:t xml:space="preserve"> </w:t>
      </w:r>
      <w:r>
        <w:rPr>
          <w:bCs/>
          <w:b/>
        </w:rPr>
        <w:t xml:space="preserve">Supplementary Material S1</w:t>
      </w:r>
      <w:r>
        <w:t xml:space="preserve">, which is</w:t>
      </w:r>
      <w:r>
        <w:t xml:space="preserve"> </w:t>
      </w:r>
      <w:r>
        <w:t xml:space="preserve">where proposals in this work are kept.</w:t>
      </w:r>
    </w:p>
    <w:p>
      <w:pPr>
        <w:pStyle w:val="BodyText"/>
      </w:pPr>
      <w:r>
        <w:t xml:space="preserve">The choice is not peculiar to this name. Across the record,</w:t>
      </w:r>
      <w:r>
        <w:t xml:space="preserve"> </w:t>
      </w:r>
      <w:r>
        <w:rPr>
          <w:bCs/>
          <w:b/>
        </w:rPr>
        <w:t xml:space="preserve">46 of the 107 character slots the table covers carry more than one Later Han reading, and in all 46 the value printed in Appendix A is the first tabulated one</w:t>
      </w:r>
      <w:r>
        <w:t xml:space="preserve"> </w:t>
      </w:r>
      <w:r>
        <w:t xml:space="preserve">(§11).</w:t>
      </w:r>
      <w:r>
        <w:t xml:space="preserve"> </w:t>
      </w:r>
      <w:r>
        <w:t xml:space="preserve">冒頓</w:t>
      </w:r>
      <w:r>
        <w:t xml:space="preserve"> </w:t>
      </w:r>
      <w:r>
        <w:t xml:space="preserve">is the case where that choice carries the</w:t>
      </w:r>
      <w:r>
        <w:t xml:space="preserve"> </w:t>
      </w:r>
      <w:r>
        <w:t xml:space="preserve">most weight, and it is the case where the first tabulated reading is not obviously the right one. The material</w:t>
      </w:r>
      <w:r>
        <w:t xml:space="preserve"> </w:t>
      </w:r>
      <w:r>
        <w:t xml:space="preserve">for choosing, the counts, the corpora and the scripts, is in the repository that we</w:t>
      </w:r>
      <w:r>
        <w:t xml:space="preserve"> </w:t>
      </w:r>
      <w:r>
        <w:t xml:space="preserve">provided.</w:t>
      </w:r>
    </w:p>
    <w:bookmarkEnd w:id="45"/>
    <w:bookmarkEnd w:id="46"/>
    <w:bookmarkStart w:id="47"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needs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12</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7"/>
    <w:bookmarkStart w:id="48"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The Later Han readings are Schuessler's, the etymologies discussed are</w:t>
      </w:r>
      <w:r>
        <w:t xml:space="preserve"> </w:t>
      </w:r>
      <w:r>
        <w:t xml:space="preserve">from the published literature, and the identifications in Table 9 are the established</w:t>
      </w:r>
      <w:r>
        <w:t xml:space="preserve"> </w:t>
      </w:r>
      <w:r>
        <w:t xml:space="preserve">consensus.</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 and the period gap runs on the Chinese</w:t>
      </w:r>
      <w:r>
        <w:rPr>
          <w:bCs/>
          <w:b/>
        </w:rPr>
        <w:t xml:space="preserve"> </w:t>
      </w:r>
      <w:r>
        <w:rPr>
          <w:bCs/>
          <w:b/>
        </w:rPr>
        <w:t xml:space="preserve">side too.</w:t>
      </w:r>
      <w:r>
        <w:t xml:space="preserve"> </w:t>
      </w:r>
      <w:r>
        <w:t xml:space="preserve">Schuessler, Pulleyblank and Níng are three scholars with three notations,</w:t>
      </w:r>
      <w:r>
        <w:t xml:space="preserve"> </w:t>
      </w:r>
      <w:r>
        <w:t xml:space="preserve">and Baxter and Sagart 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It is tempting to assume that the disagreement between them is notational, and we measured</w:t>
      </w:r>
      <w:r>
        <w:t xml:space="preserve"> </w:t>
      </w:r>
      <w:r>
        <w:t xml:space="preserve">whether it is. The names are recorded in the</w:t>
      </w:r>
      <w:r>
        <w:t xml:space="preserve"> </w:t>
      </w:r>
      <w:r>
        <w:rPr>
          <w:iCs/>
          <w:i/>
        </w:rPr>
        <w:t xml:space="preserve">Shiji</w:t>
      </w:r>
      <w:r>
        <w:t xml:space="preserve"> </w:t>
      </w:r>
      <w:r>
        <w:t xml:space="preserve">and the</w:t>
      </w:r>
      <w:r>
        <w:t xml:space="preserve"> </w:t>
      </w:r>
      <w:r>
        <w:rPr>
          <w:iCs/>
          <w:i/>
        </w:rPr>
        <w:t xml:space="preserve">Hanshu</w:t>
      </w:r>
      <w:r>
        <w:t xml:space="preserve"> </w:t>
      </w:r>
      <w:r>
        <w:t xml:space="preserve">for events</w:t>
      </w:r>
      <w:r>
        <w:t xml:space="preserve"> </w:t>
      </w:r>
      <w:r>
        <w:t xml:space="preserve">of the third to the first century BCE; the table this paper reads them with describes Chinese</w:t>
      </w:r>
      <w:r>
        <w:t xml:space="preserve"> </w:t>
      </w:r>
      <w:r>
        <w:t xml:space="preserve">of the first and second centuries CE. Comparing Schuessler's Later Han against Baxter and</w:t>
      </w:r>
      <w:r>
        <w:t xml:space="preserve"> </w:t>
      </w:r>
      <w:r>
        <w:t xml:space="preserve">Sagart's Old Chinese over the record's 81 distinct characters, 60 of which appear in both,</w:t>
      </w:r>
      <w:r>
        <w:t xml:space="preserve"> </w:t>
      </w:r>
      <w:r>
        <w:rPr>
          <w:bCs/>
          <w:b/>
        </w:rPr>
        <w:t xml:space="preserve">38 carry the same class of segment in both and 22 do not: 16 differ in the onset, 4 in</w:t>
      </w:r>
      <w:r>
        <w:rPr>
          <w:bCs/>
          <w:b/>
        </w:rPr>
        <w:t xml:space="preserve"> </w:t>
      </w:r>
      <w:r>
        <w:rPr>
          <w:bCs/>
          <w:b/>
        </w:rPr>
        <w:t xml:space="preserve">the coda, and 2 in both, 37% in all</w:t>
      </w:r>
      <w:r>
        <w:t xml:space="preserve">. That is not a notational difference. It is a</w:t>
      </w:r>
      <w:r>
        <w:t xml:space="preserve"> </w:t>
      </w:r>
      <w:r>
        <w:t xml:space="preserve">difference in what the character could write.</w:t>
      </w:r>
      <w:r>
        <w:t xml:space="preserve"> </w:t>
      </w:r>
      <w:r>
        <w:t xml:space="preserve">于</w:t>
      </w:r>
      <w:r>
        <w:t xml:space="preserve"> </w:t>
      </w:r>
      <w:r>
        <w:t xml:space="preserve">is a glide in the</w:t>
      </w:r>
      <w:r>
        <w:t xml:space="preserve"> </w:t>
      </w:r>
      <w:r>
        <w:t xml:space="preserve">later table and a velar in the earlier one;</w:t>
      </w:r>
      <w:r>
        <w:t xml:space="preserve"> </w:t>
      </w:r>
      <w:r>
        <w:t xml:space="preserve">單</w:t>
      </w:r>
      <w:r>
        <w:t xml:space="preserve"> </w:t>
      </w:r>
      <w:r>
        <w:t xml:space="preserve">ends in a nasal in the</w:t>
      </w:r>
      <w:r>
        <w:t xml:space="preserve"> </w:t>
      </w:r>
      <w:r>
        <w:t xml:space="preserve">later and a liquid in the earlier;</w:t>
      </w:r>
      <w:r>
        <w:t xml:space="preserve"> </w:t>
      </w:r>
      <w:r>
        <w:t xml:space="preserve">路</w:t>
      </w:r>
      <w:r>
        <w:t xml:space="preserve"> </w:t>
      </w:r>
      <w:r>
        <w:t xml:space="preserve">is open in the later and closed</w:t>
      </w:r>
      <w:r>
        <w:t xml:space="preserve"> </w:t>
      </w:r>
      <w:r>
        <w:t xml:space="preserve">with a velar stop in the earlier. The two reconstructions bracket the transcriptions rather</w:t>
      </w:r>
      <w:r>
        <w:t xml:space="preserve"> </w:t>
      </w:r>
      <w:r>
        <w:t xml:space="preserve">than dating them, so this is the width of the uncertainty and not a correction to Appendix A,</w:t>
      </w:r>
      <w:r>
        <w:t xml:space="preserve"> </w:t>
      </w:r>
      <w:r>
        <w:t xml:space="preserve">but it is a real cost and every reading in this paper carries it. Table S8 of the Supplementary</w:t>
      </w:r>
      <w:r>
        <w:t xml:space="preserve"> </w:t>
      </w:r>
      <w:r>
        <w:t xml:space="preserve">Material lists the 22 characters. A single table is also not single-valued:</w:t>
      </w:r>
      <w:r>
        <w:t xml:space="preserve"> </w:t>
      </w:r>
      <w:r>
        <w:rPr>
          <w:bCs/>
          <w:b/>
        </w:rPr>
        <w:t xml:space="preserve">of the 107 character slots the table covers, 46 carry more than one Later Han reading</w:t>
      </w:r>
      <w:r>
        <w:t xml:space="preserve">, and Appendix A prints the first tabulated row in all 46. The record has 114 slots in all, 81 of them distinct characters, and 7 slots are not in the table at any reading. Where the alternative would change a</w:t>
      </w:r>
      <w:r>
        <w:t xml:space="preserve"> </w:t>
      </w:r>
      <w:r>
        <w:t xml:space="preserve">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48"/>
    <w:bookmarkStart w:id="49"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1–40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for the record</w:t>
      </w:r>
      <w:r>
        <w:t xml:space="preserve"> </w:t>
      </w:r>
      <w:r>
        <w:t xml:space="preserve">under §9 and do not offer it as a result of this paper.</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1–12, including</w:t>
      </w:r>
      <w:r>
        <w:t xml:space="preserve"> </w:t>
      </w:r>
      <w:r>
        <w:rPr>
          <w:rStyle w:val="VerbatimChar"/>
        </w:rPr>
        <w:t xml:space="preserve">period_depth.csv</w:t>
      </w:r>
      <w:r>
        <w:t xml:space="preserve">.</w:t>
      </w:r>
    </w:p>
    <w:p>
      <w:pPr>
        <w:pStyle w:val="BodyText"/>
      </w:pPr>
      <w:r>
        <w:rPr>
          <w:bCs/>
          <w:b/>
        </w:rPr>
        <w:t xml:space="preserve">Withheld, with the extraction script released instead.</w:t>
      </w:r>
      <w:r>
        <w:t xml:space="preserve"> </w:t>
      </w:r>
      <w:r>
        <w:t xml:space="preserve">Five derived files inherit restrictions from their sources: the Turkic pairs, from Ligeti's glossaries (© Akadémiai Kiadó); the Kāşgarî lexicon, from a modern Türk Dil Kurumu edition; two files built on that lexicon, the Old Turkic echo results and the candidate-space listing, the latter also quoting Clauson's</w:t>
      </w:r>
      <w:r>
        <w:t xml:space="preserve"> </w:t>
      </w:r>
      <w:r>
        <w:rPr>
          <w:iCs/>
          <w:i/>
        </w:rPr>
        <w:t xml:space="preserve">Etymological Dictionary</w:t>
      </w:r>
      <w:r>
        <w:t xml:space="preserve"> </w:t>
      </w:r>
      <w:r>
        <w:t xml:space="preserve">verbatim in a context column; and a word list of the</w:t>
      </w:r>
      <w:r>
        <w:t xml:space="preserve"> </w:t>
      </w:r>
      <w:r>
        <w:rPr>
          <w:iCs/>
          <w:i/>
        </w:rPr>
        <w:t xml:space="preserve">Irk Bitig</w:t>
      </w:r>
      <w:r>
        <w:t xml:space="preserve">, from Tekin's 1993 edition (© Harrassowitz), which we use only to date a proposed reading in the Supplementary Material and which no measurement in this paper depends on.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49"/>
    <w:bookmarkStart w:id="52"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w:t>
      </w:r>
      <w:r>
        <w:t xml:space="preserve"> </w:t>
      </w:r>
      <w:r>
        <w:rPr>
          <w:bCs/>
          <w:b/>
        </w:rPr>
        <w:t xml:space="preserve">polyphonic character</w:t>
      </w:r>
      <w:r>
        <w:t xml:space="preserve">, one for which Schuessler's table gives more than one Later Han reading; the first tabulated row is the one printed.</w:t>
      </w:r>
      <w:r>
        <w:t xml:space="preserve"> </w:t>
      </w:r>
      <w:r>
        <w:rPr>
          <w:bCs/>
          <w:b/>
        </w:rPr>
        <w:t xml:space="preserve">46 of the 107 character slots the table covers are so marked</w:t>
      </w:r>
      <w:r>
        <w:t xml:space="preserve">, and where the alternative would change a proposed reading it is named in the Supplementary Material rather than left to the dagger. Table S7 of the Supplementary Material lists every polyphonic character together with the readings not used.</w:t>
      </w:r>
      <w:r>
        <w:t xml:space="preserve"> </w:t>
      </w:r>
      <w:r>
        <w:t xml:space="preserve">若鞮</w:t>
      </w:r>
      <w:r>
        <w:t xml:space="preserve"> </w:t>
      </w:r>
      <w:r>
        <w:t xml:space="preserve">is listed once, shaded, rather than repeated in the six titles that</w:t>
      </w:r>
      <w:r>
        <w:t xml:space="preserve"> </w:t>
      </w:r>
      <w:r>
        <w:t xml:space="preserve">carry it.</w:t>
      </w:r>
    </w:p>
    <w:bookmarkStart w:id="50"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Punu, plus both forms of the ruling clan name:</w:t>
      </w:r>
      <w:r>
        <w:t xml:space="preserve"> </w:t>
      </w:r>
      <w:r>
        <w:t xml:space="preserve">攣鞮</w:t>
      </w:r>
      <w:r>
        <w:t xml:space="preserve"> </w:t>
      </w:r>
      <w:r>
        <w:t xml:space="preserve">in the</w:t>
      </w:r>
      <w:r>
        <w:t xml:space="preserve"> </w:t>
      </w:r>
      <w:r>
        <w:rPr>
          <w:iCs/>
          <w:i/>
        </w:rPr>
        <w:t xml:space="preserve">Shiji</w:t>
      </w:r>
      <w:r>
        <w:t xml:space="preserve"> </w:t>
      </w:r>
      <w:r>
        <w:t xml:space="preserve">and</w:t>
      </w:r>
      <w:r>
        <w:t xml:space="preserve"> </w:t>
      </w:r>
      <w:r>
        <w:rPr>
          <w:iCs/>
          <w:i/>
        </w:rPr>
        <w:t xml:space="preserve">Hanshu</w:t>
      </w:r>
      <w:r>
        <w:t xml:space="preserve">,</w:t>
      </w:r>
      <w:r>
        <w:t xml:space="preserve"> </w:t>
      </w:r>
      <w:r>
        <w:t xml:space="preserve">虛連題</w:t>
      </w:r>
      <w:r>
        <w:t xml:space="preserve"> </w:t>
      </w:r>
      <w:r>
        <w:t xml:space="preserve">in the</w:t>
      </w:r>
      <w:r>
        <w:t xml:space="preserve"> </w:t>
      </w:r>
      <w:r>
        <w:rPr>
          <w:iCs/>
          <w:i/>
        </w:rPr>
        <w:t xml:space="preserve">Hou Hanshu</w:t>
      </w:r>
      <w:r>
        <w:t xml:space="preserve">.</w:t>
      </w:r>
    </w:p>
    <w:bookmarkEnd w:id="50"/>
    <w:bookmarkStart w:id="51"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51"/>
    <w:bookmarkEnd w:id="52"/>
    <w:bookmarkStart w:id="82" w:name="b-references"/>
    <w:p>
      <w:pPr>
        <w:pStyle w:val="Heading2"/>
      </w:pPr>
      <w:r>
        <w:t xml:space="preserve">B</w:t>
      </w:r>
      <w:r>
        <w:t xml:space="preserve"> </w:t>
      </w:r>
      <w:r>
        <w:t xml:space="preserve">References</w:t>
      </w:r>
    </w:p>
    <w:p>
      <w:pPr>
        <w:numPr>
          <w:ilvl w:val="0"/>
          <w:numId w:val="1003"/>
        </w:numPr>
        <w:pStyle w:val="Compact"/>
      </w:pPr>
      <w:bookmarkStart w:id="53"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3"/>
    </w:p>
    <w:p>
      <w:pPr>
        <w:numPr>
          <w:ilvl w:val="0"/>
          <w:numId w:val="1003"/>
        </w:numPr>
        <w:pStyle w:val="Compact"/>
      </w:pPr>
      <w:bookmarkStart w:id="54" w:name="r2"/>
      <w:r>
        <w:t xml:space="preserve">Baxter, W. H. &amp; Sagart, L. (2014).</w:t>
      </w:r>
      <w:r>
        <w:t xml:space="preserve"> </w:t>
      </w:r>
      <w:r>
        <w:rPr>
          <w:iCs/>
          <w:i/>
        </w:rPr>
        <w:t xml:space="preserve">Old Chinese: A New Reconstruction</w:t>
      </w:r>
      <w:r>
        <w:t xml:space="preserve">. Oxford University Press.</w:t>
      </w:r>
      <w:bookmarkEnd w:id="54"/>
    </w:p>
    <w:p>
      <w:pPr>
        <w:numPr>
          <w:ilvl w:val="0"/>
          <w:numId w:val="1003"/>
        </w:numPr>
        <w:pStyle w:val="Compact"/>
      </w:pPr>
      <w:bookmarkStart w:id="55"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5"/>
    </w:p>
    <w:p>
      <w:pPr>
        <w:numPr>
          <w:ilvl w:val="0"/>
          <w:numId w:val="1003"/>
        </w:numPr>
        <w:pStyle w:val="Compact"/>
      </w:pPr>
      <w:bookmarkStart w:id="56" w:name="r4"/>
      <w:r>
        <w:t xml:space="preserve">Clauson, G. (1972).</w:t>
      </w:r>
      <w:r>
        <w:t xml:space="preserve"> </w:t>
      </w:r>
      <w:r>
        <w:rPr>
          <w:iCs/>
          <w:i/>
        </w:rPr>
        <w:t xml:space="preserve">An Etymological Dictionary of Pre-Thirteenth-Century Turkish</w:t>
      </w:r>
      <w:r>
        <w:t xml:space="preserve">. Oxford: Clarendon Press.</w:t>
      </w:r>
      <w:bookmarkEnd w:id="56"/>
    </w:p>
    <w:p>
      <w:pPr>
        <w:numPr>
          <w:ilvl w:val="0"/>
          <w:numId w:val="1003"/>
        </w:numPr>
        <w:pStyle w:val="Compact"/>
      </w:pPr>
      <w:bookmarkStart w:id="57"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7"/>
    </w:p>
    <w:p>
      <w:pPr>
        <w:numPr>
          <w:ilvl w:val="0"/>
          <w:numId w:val="1003"/>
        </w:numPr>
        <w:pStyle w:val="Compact"/>
      </w:pPr>
      <w:bookmarkStart w:id="58" w:name="r6"/>
      <w:r>
        <w:t xml:space="preserve">Doerfer, G. (1973). Zur Sprache der Hunnen.</w:t>
      </w:r>
      <w:r>
        <w:t xml:space="preserve"> </w:t>
      </w:r>
      <w:r>
        <w:rPr>
          <w:iCs/>
          <w:i/>
        </w:rPr>
        <w:t xml:space="preserve">Central Asiatic Journal</w:t>
      </w:r>
      <w:r>
        <w:t xml:space="preserve"> </w:t>
      </w:r>
      <w:r>
        <w:t xml:space="preserve">17: 1–50.</w:t>
      </w:r>
      <w:bookmarkEnd w:id="58"/>
    </w:p>
    <w:p>
      <w:pPr>
        <w:numPr>
          <w:ilvl w:val="0"/>
          <w:numId w:val="1003"/>
        </w:numPr>
        <w:pStyle w:val="Compact"/>
      </w:pPr>
      <w:bookmarkStart w:id="59" w:name="r7"/>
      <w:r>
        <w:t xml:space="preserve">Erdal, M. (2004).</w:t>
      </w:r>
      <w:r>
        <w:t xml:space="preserve"> </w:t>
      </w:r>
      <w:r>
        <w:rPr>
          <w:iCs/>
          <w:i/>
        </w:rPr>
        <w:t xml:space="preserve">A Grammar of Old Turkic</w:t>
      </w:r>
      <w:r>
        <w:t xml:space="preserve">. Leiden: Brill.</w:t>
      </w:r>
      <w:bookmarkEnd w:id="59"/>
    </w:p>
    <w:p>
      <w:pPr>
        <w:numPr>
          <w:ilvl w:val="0"/>
          <w:numId w:val="1003"/>
        </w:numPr>
        <w:pStyle w:val="Compact"/>
      </w:pPr>
      <w:bookmarkStart w:id="60"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60"/>
    </w:p>
    <w:p>
      <w:pPr>
        <w:numPr>
          <w:ilvl w:val="0"/>
          <w:numId w:val="1003"/>
        </w:numPr>
        <w:pStyle w:val="Compact"/>
      </w:pPr>
      <w:bookmarkStart w:id="61" w:name="r9"/>
      <w:r>
        <w:t xml:space="preserve">Golden, P. B. (1992).</w:t>
      </w:r>
      <w:r>
        <w:t xml:space="preserve"> </w:t>
      </w:r>
      <w:r>
        <w:rPr>
          <w:iCs/>
          <w:i/>
        </w:rPr>
        <w:t xml:space="preserve">An Introduction to the History of the Turkic Peoples</w:t>
      </w:r>
      <w:r>
        <w:t xml:space="preserve">. Wiesbaden: Harrassowitz. Page references are to the 2011 printing.</w:t>
      </w:r>
      <w:bookmarkEnd w:id="61"/>
    </w:p>
    <w:p>
      <w:pPr>
        <w:numPr>
          <w:ilvl w:val="0"/>
          <w:numId w:val="1003"/>
        </w:numPr>
        <w:pStyle w:val="Compact"/>
      </w:pPr>
      <w:bookmarkStart w:id="62" w:name="r10"/>
      <w:r>
        <w:t xml:space="preserve">Hú Zhènhuá &amp; Huáng Rùnhuá (1984). 《高昌舘杂字：明代汉文回鹘文分类词汇》. Běijīng: Mínzú chūbǎnshè.</w:t>
      </w:r>
      <w:bookmarkEnd w:id="62"/>
    </w:p>
    <w:p>
      <w:pPr>
        <w:numPr>
          <w:ilvl w:val="0"/>
          <w:numId w:val="1003"/>
        </w:numPr>
        <w:pStyle w:val="Compact"/>
      </w:pPr>
      <w:bookmarkStart w:id="63"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3"/>
    </w:p>
    <w:p>
      <w:pPr>
        <w:numPr>
          <w:ilvl w:val="0"/>
          <w:numId w:val="1003"/>
        </w:numPr>
        <w:pStyle w:val="Compact"/>
      </w:pPr>
      <w:bookmarkStart w:id="64"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bookmarkEnd w:id="64"/>
    </w:p>
    <w:p>
      <w:pPr>
        <w:numPr>
          <w:ilvl w:val="0"/>
          <w:numId w:val="1003"/>
        </w:numPr>
        <w:pStyle w:val="Compact"/>
      </w:pPr>
      <w:bookmarkStart w:id="65"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5"/>
    </w:p>
    <w:p>
      <w:pPr>
        <w:numPr>
          <w:ilvl w:val="0"/>
          <w:numId w:val="1003"/>
        </w:numPr>
        <w:pStyle w:val="Compact"/>
      </w:pPr>
      <w:bookmarkStart w:id="66"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6"/>
    </w:p>
    <w:p>
      <w:pPr>
        <w:numPr>
          <w:ilvl w:val="0"/>
          <w:numId w:val="1003"/>
        </w:numPr>
        <w:pStyle w:val="Compact"/>
      </w:pPr>
      <w:bookmarkStart w:id="67" w:name="r15"/>
      <w:r>
        <w:t xml:space="preserve">[Unsigned review] (1974). Lautgesetz und Zufall [review of Doerfer 1973].</w:t>
      </w:r>
      <w:r>
        <w:t xml:space="preserve"> </w:t>
      </w:r>
      <w:r>
        <w:rPr>
          <w:iCs/>
          <w:i/>
        </w:rPr>
        <w:t xml:space="preserve">Anthropos</w:t>
      </w:r>
      <w:r>
        <w:t xml:space="preserve"> </w:t>
      </w:r>
      <w:r>
        <w:t xml:space="preserve">69: 263–271. JSTOR 40458521.</w:t>
      </w:r>
      <w:bookmarkEnd w:id="67"/>
    </w:p>
    <w:p>
      <w:pPr>
        <w:numPr>
          <w:ilvl w:val="0"/>
          <w:numId w:val="1003"/>
        </w:numPr>
        <w:pStyle w:val="Compact"/>
      </w:pPr>
      <w:bookmarkStart w:id="68"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68"/>
    </w:p>
    <w:p>
      <w:pPr>
        <w:numPr>
          <w:ilvl w:val="0"/>
          <w:numId w:val="1003"/>
        </w:numPr>
        <w:pStyle w:val="Compact"/>
      </w:pPr>
      <w:bookmarkStart w:id="69"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69"/>
    </w:p>
    <w:p>
      <w:pPr>
        <w:numPr>
          <w:ilvl w:val="0"/>
          <w:numId w:val="1003"/>
        </w:numPr>
        <w:pStyle w:val="Compact"/>
      </w:pPr>
      <w:bookmarkStart w:id="70"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70"/>
    </w:p>
    <w:p>
      <w:pPr>
        <w:numPr>
          <w:ilvl w:val="0"/>
          <w:numId w:val="1003"/>
        </w:numPr>
        <w:pStyle w:val="Compact"/>
      </w:pPr>
      <w:bookmarkStart w:id="71" w:name="r19"/>
      <w:r>
        <w:t xml:space="preserve">Pulleyblank, E. G. (1962). The consonantal system of Old Chinese.</w:t>
      </w:r>
      <w:r>
        <w:t xml:space="preserve"> </w:t>
      </w:r>
      <w:r>
        <w:rPr>
          <w:iCs/>
          <w:i/>
        </w:rPr>
        <w:t xml:space="preserve">Asia Major</w:t>
      </w:r>
      <w:r>
        <w:t xml:space="preserve"> </w:t>
      </w:r>
      <w:r>
        <w:t xml:space="preserve">9: 58–144, 206–265.</w:t>
      </w:r>
      <w:bookmarkEnd w:id="71"/>
    </w:p>
    <w:p>
      <w:pPr>
        <w:numPr>
          <w:ilvl w:val="0"/>
          <w:numId w:val="1003"/>
        </w:numPr>
        <w:pStyle w:val="Compact"/>
      </w:pPr>
      <w:bookmarkStart w:id="72"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2"/>
    </w:p>
    <w:p>
      <w:pPr>
        <w:numPr>
          <w:ilvl w:val="0"/>
          <w:numId w:val="1003"/>
        </w:numPr>
        <w:pStyle w:val="Compact"/>
      </w:pPr>
      <w:bookmarkStart w:id="73"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3"/>
    </w:p>
    <w:p>
      <w:pPr>
        <w:numPr>
          <w:ilvl w:val="0"/>
          <w:numId w:val="1003"/>
        </w:numPr>
        <w:pStyle w:val="Compact"/>
      </w:pPr>
      <w:bookmarkStart w:id="74"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4"/>
    </w:p>
    <w:p>
      <w:pPr>
        <w:numPr>
          <w:ilvl w:val="0"/>
          <w:numId w:val="1003"/>
        </w:numPr>
        <w:pStyle w:val="Compact"/>
      </w:pPr>
      <w:bookmarkStart w:id="75" w:name="r23"/>
      <w:r>
        <w:t xml:space="preserve">Speer, R. (2022).</w:t>
      </w:r>
      <w:r>
        <w:t xml:space="preserve"> </w:t>
      </w:r>
      <w:r>
        <w:rPr>
          <w:iCs/>
          <w:i/>
        </w:rPr>
        <w:t xml:space="preserve">wordfreq</w:t>
      </w:r>
      <w:r>
        <w:t xml:space="preserve">: word frequency data for 40+ languages, v3 [software]. Zenodo, doi:10.5281/zenodo.7199437</w:t>
      </w:r>
      <w:bookmarkEnd w:id="75"/>
    </w:p>
    <w:p>
      <w:pPr>
        <w:numPr>
          <w:ilvl w:val="0"/>
          <w:numId w:val="1003"/>
        </w:numPr>
        <w:pStyle w:val="Compact"/>
      </w:pPr>
      <w:bookmarkStart w:id="76"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6"/>
    </w:p>
    <w:p>
      <w:pPr>
        <w:numPr>
          <w:ilvl w:val="0"/>
          <w:numId w:val="1003"/>
        </w:numPr>
        <w:pStyle w:val="Compact"/>
      </w:pPr>
      <w:bookmarkStart w:id="77"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7"/>
    </w:p>
    <w:p>
      <w:pPr>
        <w:numPr>
          <w:ilvl w:val="0"/>
          <w:numId w:val="1003"/>
        </w:numPr>
        <w:pStyle w:val="Compact"/>
      </w:pPr>
      <w:bookmarkStart w:id="78"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78"/>
    </w:p>
    <w:p>
      <w:pPr>
        <w:numPr>
          <w:ilvl w:val="0"/>
          <w:numId w:val="1003"/>
        </w:numPr>
        <w:pStyle w:val="Compact"/>
      </w:pPr>
      <w:bookmarkStart w:id="79" w:name="r27"/>
      <w:r>
        <w:t xml:space="preserve">Vovin, A. (2000). Did the Xiong-nu speak a Yeniseian language?</w:t>
      </w:r>
      <w:r>
        <w:t xml:space="preserve"> </w:t>
      </w:r>
      <w:r>
        <w:rPr>
          <w:iCs/>
          <w:i/>
        </w:rPr>
        <w:t xml:space="preserve">Central Asiatic Journal</w:t>
      </w:r>
      <w:r>
        <w:t xml:space="preserve"> </w:t>
      </w:r>
      <w:r>
        <w:t xml:space="preserve">44(1): 87–104.</w:t>
      </w:r>
      <w:bookmarkEnd w:id="79"/>
    </w:p>
    <w:p>
      <w:pPr>
        <w:numPr>
          <w:ilvl w:val="0"/>
          <w:numId w:val="1003"/>
        </w:numPr>
        <w:pStyle w:val="Compact"/>
      </w:pPr>
      <w:bookmarkStart w:id="80"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80"/>
    </w:p>
    <w:p>
      <w:pPr>
        <w:numPr>
          <w:ilvl w:val="0"/>
          <w:numId w:val="1003"/>
        </w:numPr>
        <w:pStyle w:val="Compact"/>
      </w:pPr>
      <w:bookmarkStart w:id="81" w:name="r29"/>
      <w:r>
        <w:t xml:space="preserve">Wittek, A. et al. (2020). ASJP Database v19. Zenodo, doi:10.5281/zenodo.3843469</w:t>
      </w:r>
      <w:bookmarkEnd w:id="81"/>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2026-09-05T08:36:02Z</dcterms:created>
  <dcterms:modified xsi:type="dcterms:W3CDTF">2026-09-05T08:36:02Z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