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3"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his reviewer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The reviewer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3"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End w:id="43"/>
    <w:bookmarkStart w:id="46"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4"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4"/>
    <w:bookmarkStart w:id="45"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77 of 93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93</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93</w:t>
            </w:r>
          </w:p>
        </w:tc>
        <w:tc>
          <w:tcPr/>
          <w:p>
            <w:pPr>
              <w:pStyle w:val="Compact"/>
              <w:jc w:val="left"/>
            </w:pPr>
            <w:r>
              <w:rPr>
                <w:bCs/>
                <w:b/>
              </w:rPr>
              <w:t xml:space="preserve">fits</w:t>
            </w:r>
            <w:r>
              <w:br/>
            </w:r>
            <w:r>
              <w:t xml:space="preserve">10 of 21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5"/>
    <w:bookmarkEnd w:id="46"/>
    <w:bookmarkStart w:id="47"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7"/>
    <w:bookmarkStart w:id="48"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8"/>
    <w:bookmarkStart w:id="49"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9"/>
    <w:bookmarkStart w:id="52"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0"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50"/>
    <w:bookmarkStart w:id="51"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1"/>
    <w:bookmarkEnd w:id="52"/>
    <w:bookmarkStart w:id="82" w:name="b-references"/>
    <w:p>
      <w:pPr>
        <w:pStyle w:val="Heading2"/>
      </w:pPr>
      <w:r>
        <w:t xml:space="preserve">B</w:t>
      </w:r>
      <w:r>
        <w:t xml:space="preserve"> </w:t>
      </w:r>
      <w:r>
        <w:t xml:space="preserve">References</w:t>
      </w:r>
    </w:p>
    <w:p>
      <w:pPr>
        <w:numPr>
          <w:ilvl w:val="0"/>
          <w:numId w:val="1003"/>
        </w:numPr>
        <w:pStyle w:val="Compact"/>
      </w:pPr>
      <w:bookmarkStart w:id="53"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3"/>
    </w:p>
    <w:p>
      <w:pPr>
        <w:numPr>
          <w:ilvl w:val="0"/>
          <w:numId w:val="1003"/>
        </w:numPr>
        <w:pStyle w:val="Compact"/>
      </w:pPr>
      <w:bookmarkStart w:id="54" w:name="r2"/>
      <w:r>
        <w:t xml:space="preserve">Baxter, W. H. &amp; Sagart, L. (2014).</w:t>
      </w:r>
      <w:r>
        <w:t xml:space="preserve"> </w:t>
      </w:r>
      <w:r>
        <w:rPr>
          <w:iCs/>
          <w:i/>
        </w:rPr>
        <w:t xml:space="preserve">Old Chinese: A New Reconstruction</w:t>
      </w:r>
      <w:r>
        <w:t xml:space="preserve">. Oxford University Press.</w:t>
      </w:r>
      <w:bookmarkEnd w:id="54"/>
    </w:p>
    <w:p>
      <w:pPr>
        <w:numPr>
          <w:ilvl w:val="0"/>
          <w:numId w:val="1003"/>
        </w:numPr>
        <w:pStyle w:val="Compact"/>
      </w:pPr>
      <w:bookmarkStart w:id="55"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5"/>
    </w:p>
    <w:p>
      <w:pPr>
        <w:numPr>
          <w:ilvl w:val="0"/>
          <w:numId w:val="1003"/>
        </w:numPr>
        <w:pStyle w:val="Compact"/>
      </w:pPr>
      <w:bookmarkStart w:id="56" w:name="r4"/>
      <w:r>
        <w:t xml:space="preserve">Clauson, G. (1972).</w:t>
      </w:r>
      <w:r>
        <w:t xml:space="preserve"> </w:t>
      </w:r>
      <w:r>
        <w:rPr>
          <w:iCs/>
          <w:i/>
        </w:rPr>
        <w:t xml:space="preserve">An Etymological Dictionary of Pre-Thirteenth-Century Turkish</w:t>
      </w:r>
      <w:r>
        <w:t xml:space="preserve">. Oxford: Clarendon Press.</w:t>
      </w:r>
      <w:bookmarkEnd w:id="56"/>
    </w:p>
    <w:p>
      <w:pPr>
        <w:numPr>
          <w:ilvl w:val="0"/>
          <w:numId w:val="1003"/>
        </w:numPr>
        <w:pStyle w:val="Compact"/>
      </w:pPr>
      <w:bookmarkStart w:id="57"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7"/>
    </w:p>
    <w:p>
      <w:pPr>
        <w:numPr>
          <w:ilvl w:val="0"/>
          <w:numId w:val="1003"/>
        </w:numPr>
        <w:pStyle w:val="Compact"/>
      </w:pPr>
      <w:bookmarkStart w:id="58" w:name="r6"/>
      <w:r>
        <w:t xml:space="preserve">Doerfer, G. (1973). Zur Sprache der Hunnen.</w:t>
      </w:r>
      <w:r>
        <w:t xml:space="preserve"> </w:t>
      </w:r>
      <w:r>
        <w:rPr>
          <w:iCs/>
          <w:i/>
        </w:rPr>
        <w:t xml:space="preserve">Central Asiatic Journal</w:t>
      </w:r>
      <w:r>
        <w:t xml:space="preserve"> </w:t>
      </w:r>
      <w:r>
        <w:t xml:space="preserve">17: 1–50.</w:t>
      </w:r>
      <w:bookmarkEnd w:id="58"/>
    </w:p>
    <w:p>
      <w:pPr>
        <w:numPr>
          <w:ilvl w:val="0"/>
          <w:numId w:val="1003"/>
        </w:numPr>
        <w:pStyle w:val="Compact"/>
      </w:pPr>
      <w:bookmarkStart w:id="59" w:name="r7"/>
      <w:r>
        <w:t xml:space="preserve">Erdal, M. (2004).</w:t>
      </w:r>
      <w:r>
        <w:t xml:space="preserve"> </w:t>
      </w:r>
      <w:r>
        <w:rPr>
          <w:iCs/>
          <w:i/>
        </w:rPr>
        <w:t xml:space="preserve">A Grammar of Old Turkic</w:t>
      </w:r>
      <w:r>
        <w:t xml:space="preserve">. Leiden: Brill.</w:t>
      </w:r>
      <w:bookmarkEnd w:id="59"/>
    </w:p>
    <w:p>
      <w:pPr>
        <w:numPr>
          <w:ilvl w:val="0"/>
          <w:numId w:val="1003"/>
        </w:numPr>
        <w:pStyle w:val="Compact"/>
      </w:pPr>
      <w:bookmarkStart w:id="60"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0"/>
    </w:p>
    <w:p>
      <w:pPr>
        <w:numPr>
          <w:ilvl w:val="0"/>
          <w:numId w:val="1003"/>
        </w:numPr>
        <w:pStyle w:val="Compact"/>
      </w:pPr>
      <w:bookmarkStart w:id="61"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1"/>
    </w:p>
    <w:p>
      <w:pPr>
        <w:numPr>
          <w:ilvl w:val="0"/>
          <w:numId w:val="1003"/>
        </w:numPr>
        <w:pStyle w:val="Compact"/>
      </w:pPr>
      <w:bookmarkStart w:id="62" w:name="r10"/>
      <w:r>
        <w:t xml:space="preserve">Hú Zhènhuá &amp; Huáng Rùnhuá (1984). 《高昌舘杂字：明代汉文回鹘文分类词汇》. Běijīng: Mínzú chūbǎnshè.</w:t>
      </w:r>
      <w:bookmarkEnd w:id="62"/>
    </w:p>
    <w:p>
      <w:pPr>
        <w:numPr>
          <w:ilvl w:val="0"/>
          <w:numId w:val="1003"/>
        </w:numPr>
        <w:pStyle w:val="Compact"/>
      </w:pPr>
      <w:bookmarkStart w:id="63"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3"/>
    </w:p>
    <w:p>
      <w:pPr>
        <w:numPr>
          <w:ilvl w:val="0"/>
          <w:numId w:val="1003"/>
        </w:numPr>
        <w:pStyle w:val="Compact"/>
      </w:pPr>
      <w:bookmarkStart w:id="64"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4"/>
    </w:p>
    <w:p>
      <w:pPr>
        <w:numPr>
          <w:ilvl w:val="0"/>
          <w:numId w:val="1003"/>
        </w:numPr>
        <w:pStyle w:val="Compact"/>
      </w:pPr>
      <w:bookmarkStart w:id="65"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5"/>
    </w:p>
    <w:p>
      <w:pPr>
        <w:numPr>
          <w:ilvl w:val="0"/>
          <w:numId w:val="1003"/>
        </w:numPr>
        <w:pStyle w:val="Compact"/>
      </w:pPr>
      <w:bookmarkStart w:id="66"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6"/>
    </w:p>
    <w:p>
      <w:pPr>
        <w:numPr>
          <w:ilvl w:val="0"/>
          <w:numId w:val="1003"/>
        </w:numPr>
        <w:pStyle w:val="Compact"/>
      </w:pPr>
      <w:bookmarkStart w:id="67"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7"/>
    </w:p>
    <w:p>
      <w:pPr>
        <w:numPr>
          <w:ilvl w:val="0"/>
          <w:numId w:val="1003"/>
        </w:numPr>
        <w:pStyle w:val="Compact"/>
      </w:pPr>
      <w:bookmarkStart w:id="68"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8"/>
    </w:p>
    <w:p>
      <w:pPr>
        <w:numPr>
          <w:ilvl w:val="0"/>
          <w:numId w:val="1003"/>
        </w:numPr>
        <w:pStyle w:val="Compact"/>
      </w:pPr>
      <w:bookmarkStart w:id="69"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9"/>
    </w:p>
    <w:p>
      <w:pPr>
        <w:numPr>
          <w:ilvl w:val="0"/>
          <w:numId w:val="1003"/>
        </w:numPr>
        <w:pStyle w:val="Compact"/>
      </w:pPr>
      <w:bookmarkStart w:id="70"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0"/>
    </w:p>
    <w:p>
      <w:pPr>
        <w:numPr>
          <w:ilvl w:val="0"/>
          <w:numId w:val="1003"/>
        </w:numPr>
        <w:pStyle w:val="Compact"/>
      </w:pPr>
      <w:bookmarkStart w:id="71" w:name="r19"/>
      <w:r>
        <w:t xml:space="preserve">Pulleyblank, E. G. (1962). The consonantal system of Old Chinese.</w:t>
      </w:r>
      <w:r>
        <w:t xml:space="preserve"> </w:t>
      </w:r>
      <w:r>
        <w:rPr>
          <w:iCs/>
          <w:i/>
        </w:rPr>
        <w:t xml:space="preserve">Asia Major</w:t>
      </w:r>
      <w:r>
        <w:t xml:space="preserve"> </w:t>
      </w:r>
      <w:r>
        <w:t xml:space="preserve">9: 58–144, 206–265.</w:t>
      </w:r>
      <w:bookmarkEnd w:id="71"/>
    </w:p>
    <w:p>
      <w:pPr>
        <w:numPr>
          <w:ilvl w:val="0"/>
          <w:numId w:val="1003"/>
        </w:numPr>
        <w:pStyle w:val="Compact"/>
      </w:pPr>
      <w:bookmarkStart w:id="72"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2"/>
    </w:p>
    <w:p>
      <w:pPr>
        <w:numPr>
          <w:ilvl w:val="0"/>
          <w:numId w:val="1003"/>
        </w:numPr>
        <w:pStyle w:val="Compact"/>
      </w:pPr>
      <w:bookmarkStart w:id="73"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3"/>
    </w:p>
    <w:p>
      <w:pPr>
        <w:numPr>
          <w:ilvl w:val="0"/>
          <w:numId w:val="1003"/>
        </w:numPr>
        <w:pStyle w:val="Compact"/>
      </w:pPr>
      <w:bookmarkStart w:id="74"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4"/>
    </w:p>
    <w:p>
      <w:pPr>
        <w:numPr>
          <w:ilvl w:val="0"/>
          <w:numId w:val="1003"/>
        </w:numPr>
        <w:pStyle w:val="Compact"/>
      </w:pPr>
      <w:bookmarkStart w:id="75" w:name="r23"/>
      <w:r>
        <w:t xml:space="preserve">Speer, R. (2022).</w:t>
      </w:r>
      <w:r>
        <w:t xml:space="preserve"> </w:t>
      </w:r>
      <w:r>
        <w:rPr>
          <w:iCs/>
          <w:i/>
        </w:rPr>
        <w:t xml:space="preserve">wordfreq</w:t>
      </w:r>
      <w:r>
        <w:t xml:space="preserve">: word frequency data for 40+ languages, v3 [software]. Zenodo, doi:10.5281/zenodo.7199437</w:t>
      </w:r>
      <w:bookmarkEnd w:id="75"/>
    </w:p>
    <w:p>
      <w:pPr>
        <w:numPr>
          <w:ilvl w:val="0"/>
          <w:numId w:val="1003"/>
        </w:numPr>
        <w:pStyle w:val="Compact"/>
      </w:pPr>
      <w:bookmarkStart w:id="76"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6"/>
    </w:p>
    <w:p>
      <w:pPr>
        <w:numPr>
          <w:ilvl w:val="0"/>
          <w:numId w:val="1003"/>
        </w:numPr>
        <w:pStyle w:val="Compact"/>
      </w:pPr>
      <w:bookmarkStart w:id="77"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7"/>
    </w:p>
    <w:p>
      <w:pPr>
        <w:numPr>
          <w:ilvl w:val="0"/>
          <w:numId w:val="1003"/>
        </w:numPr>
        <w:pStyle w:val="Compact"/>
      </w:pPr>
      <w:bookmarkStart w:id="78"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8"/>
    </w:p>
    <w:p>
      <w:pPr>
        <w:numPr>
          <w:ilvl w:val="0"/>
          <w:numId w:val="1003"/>
        </w:numPr>
        <w:pStyle w:val="Compact"/>
      </w:pPr>
      <w:bookmarkStart w:id="79" w:name="r27"/>
      <w:r>
        <w:t xml:space="preserve">Vovin, A. (2000). Did the Xiong-nu speak a Yeniseian language?</w:t>
      </w:r>
      <w:r>
        <w:t xml:space="preserve"> </w:t>
      </w:r>
      <w:r>
        <w:rPr>
          <w:iCs/>
          <w:i/>
        </w:rPr>
        <w:t xml:space="preserve">Central Asiatic Journal</w:t>
      </w:r>
      <w:r>
        <w:t xml:space="preserve"> </w:t>
      </w:r>
      <w:r>
        <w:t xml:space="preserve">44(1): 87–104.</w:t>
      </w:r>
      <w:bookmarkEnd w:id="79"/>
    </w:p>
    <w:p>
      <w:pPr>
        <w:numPr>
          <w:ilvl w:val="0"/>
          <w:numId w:val="1003"/>
        </w:numPr>
        <w:pStyle w:val="Compact"/>
      </w:pPr>
      <w:bookmarkStart w:id="80"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0"/>
    </w:p>
    <w:p>
      <w:pPr>
        <w:numPr>
          <w:ilvl w:val="0"/>
          <w:numId w:val="1003"/>
        </w:numPr>
        <w:pStyle w:val="Compact"/>
      </w:pPr>
      <w:bookmarkStart w:id="81" w:name="r29"/>
      <w:r>
        <w:t xml:space="preserve">Wittek, A. et al. (2020). ASJP Database v19. Zenodo, doi:10.5281/zenodo.3843469</w:t>
      </w:r>
      <w:bookmarkEnd w:id="81"/>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2026-09-05T10:26:06Z</dcterms:created>
  <dcterms:modified xsi:type="dcterms:W3CDTF">2026-09-05T10:26:06Z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