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Each reading priced against the measurements in the paper.</w:t>
      </w:r>
      <w:r>
        <w:t xml:space="preserve"> </w:t>
      </w:r>
      <w:r>
        <w:t xml:space="preserve">Supplied for the record; not 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rPr>
          <w:bCs/>
          <w:b/>
        </w:rPr>
        <w:t xml:space="preserve">Why the file is worth having, given that none of it is a finding.</w:t>
      </w:r>
      <w:r>
        <w:t xml:space="preserve"> </w:t>
      </w:r>
      <w:r>
        <w:t xml:space="preserve">A reading of a Xiongnu name has been offered many times over a century, and offered as a</w:t>
      </w:r>
      <w:r>
        <w:t xml:space="preserve"> </w:t>
      </w:r>
      <w:r>
        <w:t xml:space="preserve">resemblance: this Chinese spelling looks like that Turkic word. What is new here is not the</w:t>
      </w:r>
      <w:r>
        <w:t xml:space="preserve"> </w:t>
      </w:r>
      <w:r>
        <w:t xml:space="preserve">readings but that each one is</w:t>
      </w:r>
      <w:r>
        <w:t xml:space="preserve"> </w:t>
      </w:r>
      <w:r>
        <w:rPr>
          <w:iCs/>
          <w:i/>
        </w:rPr>
        <w:t xml:space="preserve">priced</w:t>
      </w:r>
      <w:r>
        <w:t xml:space="preserve">. Every row sets out what its reading would</w:t>
      </w:r>
      <w:r>
        <w:t xml:space="preserve"> </w:t>
      </w:r>
      <w:r>
        <w:t xml:space="preserve">require a scribe to have done, and gives the rate at which the corpora show scribes doing it,</w:t>
      </w:r>
      <w:r>
        <w:t xml:space="preserve"> </w:t>
      </w:r>
      <w:r>
        <w:t xml:space="preserve">so that a reader who doubts a reading can see which step to attack and what it would cost to</w:t>
      </w:r>
      <w:r>
        <w:t xml:space="preserve"> </w:t>
      </w:r>
      <w:r>
        <w:t xml:space="preserve">defend. The same treatment is applied to proposals that are not ours, and it is applied to this</w:t>
      </w:r>
      <w:r>
        <w:t xml:space="preserve"> </w:t>
      </w:r>
      <w:r>
        <w:t xml:space="preserve">author without exemption: several readings here were withdrawn while the file was being written</w:t>
      </w:r>
      <w:r>
        <w:t xml:space="preserve"> </w:t>
      </w:r>
      <w:r>
        <w:t xml:space="preserve">because a measurement ruled them out, and §S1.14 records which. A reading that survives that is</w:t>
      </w:r>
      <w:r>
        <w:t xml:space="preserve"> </w:t>
      </w:r>
      <w:r>
        <w:t xml:space="preserve">still not a finding. But it is a different object from a resemblance, and that difference is</w:t>
      </w:r>
      <w:r>
        <w:t xml:space="preserve"> </w:t>
      </w:r>
      <w:r>
        <w:t xml:space="preserve">what the file is for.</w:t>
      </w:r>
    </w:p>
    <w:p>
      <w:pPr>
        <w:pStyle w:val="BodyText"/>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w:t>
      </w:r>
      <w:r>
        <w:t xml:space="preserve"> </w:t>
      </w:r>
      <w:r>
        <w:rPr>
          <w:bCs/>
          <w:b/>
        </w:rPr>
        <w:t xml:space="preserve">Two</w:t>
      </w:r>
      <w:r>
        <w:t xml:space="preserve"> </w:t>
      </w:r>
      <w:r>
        <w:t xml:space="preserve">now carry no reading at all. At 羯 the proposal was withdrawn and the reading in print left standing; at 呼都而尸道皋若鞮 it was withdrawn on three measurements and nothing put in its place, and the word it had claimed stays at 烏累若鞮, where the transcription supports it. The remaining</w:t>
      </w:r>
      <w:r>
        <w:t xml:space="preserve"> </w:t>
      </w:r>
      <w:r>
        <w:rPr>
          <w:bCs/>
          <w:b/>
        </w:rPr>
        <w:t xml:space="preserve">thirty-five</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1,017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10 of 21,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190 of 220, 86.4%; a source rounded vowel written rounded is 190 of 289, 65.7%; the</w:t>
            </w:r>
            <w:r>
              <w:t xml:space="preserve"> </w:t>
            </w:r>
            <w:r>
              <w:rPr>
                <w:iCs/>
                <w:i/>
              </w:rPr>
              <w:t xml:space="preserve">-n</w:t>
            </w:r>
            <w:r>
              <w:t xml:space="preserve"> </w:t>
            </w:r>
            <w:r>
              <w:t xml:space="preserve">is written, 77 of 93, 82.8%.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and a source front vowel written with a front vowel is 327 of 380, 86.1%.</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48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cheapest at 19.4%, about 1 in 5, against 1 in 9 for the best branch of 冒頓 and the 1 in 37 that retires</w:t>
            </w:r>
            <w:r>
              <w:t xml:space="preserve"> </w:t>
            </w:r>
            <w:r>
              <w:rPr>
                <w:iCs/>
                <w:i/>
              </w:rPr>
              <w:t xml:space="preserve">Baγatur</w:t>
            </w:r>
            <w:r>
              <w:t xml:space="preserve"> </w:t>
            </w:r>
            <w:r>
              <w:t xml:space="preserve">in §8.1 of the paper.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5,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binder, the encloser</w:t>
            </w:r>
          </w:p>
        </w:tc>
      </w:tr>
      <w:tr>
        <w:tc>
          <w:tcPr>
            <w:gridSpan w:val="5"/>
          </w:tcPr>
          <w:p>
            <w:pPr>
              <w:pStyle w:val="Compact"/>
              <w:jc w:val="left"/>
            </w:pPr>
            <w:r>
              <w:t xml:space="preserve">Phonetics</w:t>
            </w:r>
            <w:r>
              <w:t xml:space="preserve">狐</w:t>
            </w:r>
            <w:r>
              <w:t xml:space="preserve"> </w:t>
            </w:r>
            <w:r>
              <w:rPr>
                <w:iCs/>
                <w:i/>
              </w:rPr>
              <w:t xml:space="preserve">ɣuɑ</w:t>
            </w:r>
            <w:r>
              <w:t xml:space="preserve"> </w:t>
            </w:r>
            <w:r>
              <w:t xml:space="preserve">→</w:t>
            </w:r>
            <w:r>
              <w:t xml:space="preserve"> </w:t>
            </w:r>
            <w:r>
              <w:rPr>
                <w:iCs/>
                <w:i/>
              </w:rPr>
              <w:t xml:space="preserve">kur</w:t>
            </w:r>
            <w:r>
              <w:t xml:space="preserve">: a velar fricative for a Turkic back</w:t>
            </w:r>
            <w:r>
              <w:t xml:space="preserve"> </w:t>
            </w:r>
            <w:r>
              <w:rPr>
                <w:iCs/>
                <w:i/>
              </w:rPr>
              <w:t xml:space="preserve">q</w:t>
            </w:r>
            <w:r>
              <w:t xml:space="preserve">, which §8.5 of the paper measures at 43 of 66, 65.2%, against 20 of 66 for an aspirated character;</w:t>
            </w:r>
            <w:r>
              <w:t xml:space="preserve"> </w:t>
            </w:r>
            <w:r>
              <w:rPr>
                <w:iCs/>
                <w:i/>
              </w:rPr>
              <w:t xml:space="preserve">kurluga</w:t>
            </w:r>
            <w:r>
              <w:t xml:space="preserve"> </w:t>
            </w:r>
            <w:r>
              <w:t xml:space="preserve">has back vowels throughout. The rounded vowel is written rounded, 190 of 289, 65.7%. The</w:t>
            </w:r>
            <w:r>
              <w:t xml:space="preserve"> </w:t>
            </w:r>
            <w:r>
              <w:rPr>
                <w:iCs/>
                <w:i/>
              </w:rPr>
              <w:t xml:space="preserve">-r</w:t>
            </w:r>
            <w:r>
              <w:t xml:space="preserve"> </w:t>
            </w:r>
            <w:r>
              <w:t xml:space="preserve">is not written, and</w:t>
            </w:r>
            <w:r>
              <w:t xml:space="preserve"> </w:t>
            </w:r>
            <w:r>
              <w:rPr>
                <w:bCs/>
                <w:b/>
              </w:rPr>
              <w:t xml:space="preserve">that is the ordinary treatment rather than a difficulty</w:t>
            </w:r>
            <w:r>
              <w:t xml:space="preserve">: Table 7 gives a source liquid coda spelled with an open character 21 times in 37, 56.8%, the majority option, and 狐 is open. 鹿</w:t>
            </w:r>
            <w:r>
              <w:t xml:space="preserve"> </w:t>
            </w:r>
            <w:r>
              <w:rPr>
                <w:iCs/>
                <w:i/>
              </w:rPr>
              <w:t xml:space="preserve">lok</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written with a Chinese</w:t>
            </w:r>
            <w:r>
              <w:t xml:space="preserve"> </w:t>
            </w:r>
            <w:r>
              <w:rPr>
                <w:iCs/>
                <w:i/>
              </w:rPr>
              <w:t xml:space="preserve">l-</w:t>
            </w:r>
            <w:r>
              <w:t xml:space="preserve"> </w:t>
            </w:r>
            <w:r>
              <w:t xml:space="preserve">is 85 of 88, 96.6%, the vowel rounded again.</w:t>
            </w:r>
            <w:r>
              <w:t xml:space="preserve"> </w:t>
            </w:r>
            <w:r>
              <w:rPr>
                <w:bCs/>
                <w:b/>
              </w:rPr>
              <w:t xml:space="preserve">Its written</w:t>
            </w:r>
            <w:r>
              <w:rPr>
                <w:bCs/>
                <w:b/>
              </w:rPr>
              <w:t xml:space="preserve"> </w:t>
            </w:r>
            <w:r>
              <w:rPr>
                <w:iCs/>
                <w:i/>
                <w:bCs/>
                <w:b/>
              </w:rPr>
              <w:t xml:space="preserve">-k</w:t>
            </w:r>
            <w:r>
              <w:rPr>
                <w:bCs/>
                <w:b/>
              </w:rPr>
              <w:t xml:space="preserve"> </w:t>
            </w:r>
            <w:r>
              <w:rPr>
                <w:bCs/>
                <w:b/>
              </w:rPr>
              <w:t xml:space="preserve">is not discarded.</w:t>
            </w:r>
            <w:r>
              <w:t xml:space="preserve"> </w:t>
            </w:r>
            <w:r>
              <w:t xml:space="preserve">The character after it is 姑</w:t>
            </w:r>
            <w:r>
              <w:t xml:space="preserve"> </w:t>
            </w:r>
            <w:r>
              <w:rPr>
                <w:iCs/>
                <w:i/>
              </w:rPr>
              <w:t xml:space="preserve">kɑ</w:t>
            </w:r>
            <w:r>
              <w:t xml:space="preserve">, a velar, and a medial written coda writes the onset of the following syllable in 165 of 446 cases, 37.0%, which is the largest single thing such a coda does: 僧 for</w:t>
            </w:r>
            <w:r>
              <w:t xml:space="preserve"> </w:t>
            </w:r>
            <w:r>
              <w:rPr>
                <w:iCs/>
                <w:i/>
              </w:rPr>
              <w:t xml:space="preserve">saṃ-ghā-</w:t>
            </w:r>
            <w:r>
              <w:t xml:space="preserve">, 三 for</w:t>
            </w:r>
            <w:r>
              <w:t xml:space="preserve"> </w:t>
            </w:r>
            <w:r>
              <w:rPr>
                <w:iCs/>
                <w:i/>
              </w:rPr>
              <w:t xml:space="preserve">saṃ-</w:t>
            </w:r>
            <w:r>
              <w:t xml:space="preserve">, 怛 for</w:t>
            </w:r>
            <w:r>
              <w:t xml:space="preserve"> </w:t>
            </w:r>
            <w:r>
              <w:rPr>
                <w:iCs/>
                <w:i/>
              </w:rPr>
              <w:t xml:space="preserve">ta-thā-</w:t>
            </w:r>
            <w:r>
              <w:t xml:space="preserve">. 姑</w:t>
            </w:r>
            <w:r>
              <w:t xml:space="preserve"> </w:t>
            </w:r>
            <w:r>
              <w:rPr>
                <w:iCs/>
                <w:i/>
              </w:rPr>
              <w:t xml:space="preserve">kɑ</w:t>
            </w:r>
            <w:r>
              <w:t xml:space="preserve"> </w:t>
            </w:r>
            <w:r>
              <w:t xml:space="preserve">→</w:t>
            </w:r>
            <w:r>
              <w:t xml:space="preserve"> </w:t>
            </w:r>
            <w:r>
              <w:rPr>
                <w:iCs/>
                <w:i/>
              </w:rPr>
              <w:t xml:space="preserve">-ga</w:t>
            </w:r>
            <w:r>
              <w:t xml:space="preserve">, with the vowel open, 1045 of 1509, 69.3%.</w:t>
            </w:r>
            <w:r>
              <w:t xml:space="preserve"> </w:t>
            </w:r>
            <w:r>
              <w:rPr>
                <w:bCs/>
                <w:b/>
              </w:rPr>
              <w:t xml:space="preserve">The whole name costs 1.90%, about 1 in 52</w:t>
            </w:r>
            <w:r>
              <w:t xml:space="preserve">, against the 1 in 37 that retires</w:t>
            </w:r>
            <w:r>
              <w:t xml:space="preserve"> </w:t>
            </w:r>
            <w:r>
              <w:rPr>
                <w:iCs/>
                <w:i/>
              </w:rPr>
              <w:t xml:space="preserve">Baγatur</w:t>
            </w:r>
            <w:r>
              <w:t xml:space="preserve"> </w:t>
            </w:r>
            <w:r>
              <w:t xml:space="preserve">in §8.1.</w:t>
            </w:r>
            <w:r>
              <w:t xml:space="preserve"> </w:t>
            </w:r>
            <w:r>
              <w:rPr>
                <w:bCs/>
                <w:b/>
              </w:rPr>
              <w:t xml:space="preserve">The weak step is the last one, not the first two.</w:t>
            </w:r>
            <w:r>
              <w:t xml:space="preserve"> </w:t>
            </w:r>
            <w:r>
              <w:t xml:space="preserve">A source</w:t>
            </w:r>
            <w:r>
              <w:t xml:space="preserve"> </w:t>
            </w:r>
            <w:r>
              <w:rPr>
                <w:iCs/>
                <w:i/>
              </w:rPr>
              <w:t xml:space="preserve">g</w:t>
            </w:r>
            <w:r>
              <w:t xml:space="preserve"> </w:t>
            </w:r>
            <w:r>
              <w:t xml:space="preserve">written with a Chinese</w:t>
            </w:r>
            <w:r>
              <w:t xml:space="preserve"> </w:t>
            </w:r>
            <w:r>
              <w:rPr>
                <w:iCs/>
                <w:i/>
              </w:rPr>
              <w:t xml:space="preserve">k-</w:t>
            </w:r>
            <w:r>
              <w:t xml:space="preserve"> </w:t>
            </w:r>
            <w:r>
              <w:t xml:space="preserve">is 12 of 90, 17.8%. Were the word</w:t>
            </w:r>
            <w:r>
              <w:t xml:space="preserve"> </w:t>
            </w:r>
            <w:r>
              <w:rPr>
                <w:iCs/>
                <w:i/>
              </w:rPr>
              <w:t xml:space="preserve">kurluka</w:t>
            </w:r>
            <w:r>
              <w:t xml:space="preserve"> </w:t>
            </w:r>
            <w:r>
              <w:t xml:space="preserve">the same character would be writing a source</w:t>
            </w:r>
            <w:r>
              <w:t xml:space="preserve"> </w:t>
            </w:r>
            <w:r>
              <w:rPr>
                <w:iCs/>
                <w:i/>
              </w:rPr>
              <w:t xml:space="preserve">k</w:t>
            </w:r>
            <w:r>
              <w:t xml:space="preserve"> </w:t>
            </w:r>
            <w:r>
              <w:t xml:space="preserve">at 86.4% and the name would cost 1 in 10, so one consonant moves the price fivefold. Step 51 sets this out.</w:t>
            </w:r>
            <w:r>
              <w:br/>
            </w:r>
            <w:r>
              <w:t xml:space="preserve">Reason</w:t>
            </w:r>
            <w:r>
              <w:rPr>
                <w:bCs/>
                <w:b/>
              </w:rPr>
              <w:t xml:space="preserve">Kurluga, from the sense of binding and enclosing.</w:t>
            </w:r>
            <w:r>
              <w:t xml:space="preserve"> </w:t>
            </w:r>
            <w:r>
              <w:t xml:space="preserve">The root is attested and so is the sense: Kāşgarî has</w:t>
            </w:r>
            <w:r>
              <w:t xml:space="preserve"> </w:t>
            </w:r>
            <w:r>
              <w:rPr>
                <w:iCs/>
                <w:i/>
              </w:rPr>
              <w:t xml:space="preserve">kur</w:t>
            </w:r>
            <w:r>
              <w:t xml:space="preserve"> </w:t>
            </w:r>
            <w:r>
              <w:t xml:space="preserve">“kuşak, kemer”, a belt or girdle, and the verb</w:t>
            </w:r>
            <w:r>
              <w:t xml:space="preserve"> </w:t>
            </w:r>
            <w:r>
              <w:rPr>
                <w:iCs/>
                <w:i/>
              </w:rPr>
              <w:t xml:space="preserve">kurlamak</w:t>
            </w:r>
            <w:r>
              <w:t xml:space="preserve">, “kuşak yapmak ve bağlamak”, to make a belt and to bind, together with</w:t>
            </w:r>
            <w:r>
              <w:t xml:space="preserve"> </w:t>
            </w:r>
            <w:r>
              <w:rPr>
                <w:iCs/>
                <w:i/>
              </w:rPr>
              <w:t xml:space="preserve">kurluk</w:t>
            </w:r>
            <w:r>
              <w:t xml:space="preserve"> </w:t>
            </w:r>
            <w:r>
              <w:t xml:space="preserve">and</w:t>
            </w:r>
            <w:r>
              <w:t xml:space="preserve"> </w:t>
            </w:r>
            <w:r>
              <w:rPr>
                <w:iCs/>
                <w:i/>
              </w:rPr>
              <w:t xml:space="preserve">kurlanmak</w:t>
            </w:r>
            <w:r>
              <w:t xml:space="preserve">. 狐鹿姑 captured the Han general Li Guangli and held the confederation together through a hard decade, so an epithet of binding fits what the record says he did. Compare the Göktürk ruler Kapgan Kagan,</w:t>
            </w:r>
            <w:r>
              <w:t xml:space="preserve"> </w:t>
            </w:r>
            <w:r>
              <w:rPr>
                <w:iCs/>
                <w:i/>
              </w:rPr>
              <w:t xml:space="preserve">kapgan</w:t>
            </w:r>
            <w:r>
              <w:t xml:space="preserve"> </w:t>
            </w:r>
            <w:r>
              <w:t xml:space="preserve">“the encloser”.</w:t>
            </w:r>
            <w:r>
              <w:t xml:space="preserve"> </w:t>
            </w:r>
            <w:r>
              <w:rPr>
                <w:bCs/>
                <w:b/>
              </w:rPr>
              <w:t xml:space="preserve">Two objections in an earlier draft of this entry were wrong and are withdrawn.</w:t>
            </w:r>
            <w:r>
              <w:t xml:space="preserve"> </w:t>
            </w:r>
            <w:r>
              <w:t xml:space="preserve">It described the</w:t>
            </w:r>
            <w:r>
              <w:t xml:space="preserve"> </w:t>
            </w:r>
            <w:r>
              <w:rPr>
                <w:iCs/>
                <w:i/>
              </w:rPr>
              <w:t xml:space="preserve">-r</w:t>
            </w:r>
            <w:r>
              <w:t xml:space="preserve"> </w:t>
            </w:r>
            <w:r>
              <w:t xml:space="preserve">as a segment Later Han cannot write and the</w:t>
            </w:r>
            <w:r>
              <w:t xml:space="preserve"> </w:t>
            </w:r>
            <w:r>
              <w:rPr>
                <w:iCs/>
                <w:i/>
              </w:rPr>
              <w:t xml:space="preserve">-k</w:t>
            </w:r>
            <w:r>
              <w:t xml:space="preserve"> </w:t>
            </w:r>
            <w:r>
              <w:t xml:space="preserve">as a discarded coda, and said the two pulled in opposite directions. Neither holds: leaving a liquid unwritten before an open character is the majority spelling at 57%, and a written coda reaching forward to the next onset is the commonest use of a written coda at 37%. Both were judged by ear before they were counted.</w:t>
            </w:r>
            <w:r>
              <w:t xml:space="preserve"> </w:t>
            </w:r>
            <w:r>
              <w:rPr>
                <w:bCs/>
                <w:b/>
              </w:rPr>
              <w:t xml:space="preserve">What is not settled, and it is the shape of the word rather than any of its sounds.</w:t>
            </w:r>
            <w:r>
              <w:t xml:space="preserve"> </w:t>
            </w:r>
            <w:r>
              <w:rPr>
                <w:iCs/>
                <w:i/>
              </w:rPr>
              <w:t xml:space="preserve">Kurluga</w:t>
            </w:r>
            <w:r>
              <w:t xml:space="preserve"> </w:t>
            </w:r>
            <w:r>
              <w:t xml:space="preserve">is not an attested headword, and neither is</w:t>
            </w:r>
            <w:r>
              <w:t xml:space="preserve"> </w:t>
            </w:r>
            <w:r>
              <w:rPr>
                <w:iCs/>
                <w:i/>
              </w:rPr>
              <w:t xml:space="preserve">kurluka</w:t>
            </w:r>
            <w:r>
              <w:t xml:space="preserve">; the frame returns no word at all. More than that, the shape is not one Turkic builds: the suffix</w:t>
            </w:r>
            <w:r>
              <w:t xml:space="preserve"> </w:t>
            </w:r>
            <w:r>
              <w:rPr>
                <w:iCs/>
                <w:i/>
              </w:rPr>
              <w:t xml:space="preserve">-lXk / -lXg</w:t>
            </w:r>
            <w:r>
              <w:t xml:space="preserve"> </w:t>
            </w:r>
            <w:r>
              <w:t xml:space="preserve">is word-final, 380 headwords end in it, while only one headword in 9,343 ends in</w:t>
            </w:r>
            <w:r>
              <w:t xml:space="preserve"> </w:t>
            </w:r>
            <w:r>
              <w:rPr>
                <w:iCs/>
                <w:i/>
              </w:rPr>
              <w:t xml:space="preserve">-luka</w:t>
            </w:r>
            <w:r>
              <w:t xml:space="preserve"> </w:t>
            </w:r>
            <w:r>
              <w:t xml:space="preserve">and none in</w:t>
            </w:r>
            <w:r>
              <w:t xml:space="preserve"> </w:t>
            </w:r>
            <w:r>
              <w:rPr>
                <w:iCs/>
                <w:i/>
              </w:rPr>
              <w:t xml:space="preserve">-luga</w:t>
            </w:r>
            <w:r>
              <w:t xml:space="preserve">. The well-formed Turkic word in this frame is</w:t>
            </w:r>
            <w:r>
              <w:t xml:space="preserve"> </w:t>
            </w:r>
            <w:r>
              <w:rPr>
                <w:iCs/>
                <w:i/>
              </w:rPr>
              <w:t xml:space="preserve">kurluk</w:t>
            </w:r>
            <w:r>
              <w:t xml:space="preserve"> </w:t>
            </w:r>
            <w:r>
              <w:t xml:space="preserve">or</w:t>
            </w:r>
            <w:r>
              <w:t xml:space="preserve"> </w:t>
            </w:r>
            <w:r>
              <w:rPr>
                <w:iCs/>
                <w:i/>
              </w:rPr>
              <w:t xml:space="preserve">kurlug</w:t>
            </w:r>
            <w:r>
              <w:t xml:space="preserve"> </w:t>
            </w:r>
            <w:r>
              <w:t xml:space="preserve">“girded”, which 狐鹿 write between them with 鹿's own</w:t>
            </w:r>
            <w:r>
              <w:t xml:space="preserve"> </w:t>
            </w:r>
            <w:r>
              <w:rPr>
                <w:iCs/>
                <w:i/>
              </w:rPr>
              <w:t xml:space="preserve">-k</w:t>
            </w:r>
            <w:r>
              <w:t xml:space="preserve"> </w:t>
            </w:r>
            <w:r>
              <w:t xml:space="preserve">as the final consonant, and which leaves 姑 unaccounted. That is the same structural question as at</w:t>
            </w:r>
            <w:r>
              <w:t xml:space="preserve"> </w:t>
            </w:r>
            <w:r>
              <w:t xml:space="preserve">虛閭權渠</w:t>
            </w:r>
            <w:r>
              <w:t xml:space="preserve">: whether a longer Xiongnu name is one word or a name followed by a title element. It is not answered here, and this reading assumes the first.</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 source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which §8.5 of the paper measures at 43 of 66, 65.2%, against 20 of 66 for an aspirated character. It is the majority spelling, not a substitution needing indulgence. The 27% figure earlier drafts quoted here was the Mongolian rate; the Turkic one is the relevant measurement and it is higher.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a source</w:t>
            </w:r>
            <w:r>
              <w:t xml:space="preserve"> </w:t>
            </w:r>
            <w:r>
              <w:rPr>
                <w:iCs/>
                <w:i/>
              </w:rPr>
              <w:t xml:space="preserve">y-</w:t>
            </w:r>
            <w:r>
              <w:t xml:space="preserve"> </w:t>
            </w:r>
            <w:r>
              <w:t xml:space="preserve">takes this character class 57 times in 98, 58.2%, the largest single destination for a source</w:t>
            </w:r>
            <w:r>
              <w:t xml:space="preserve"> </w:t>
            </w:r>
            <w:r>
              <w:rPr>
                <w:iCs/>
                <w:i/>
              </w:rPr>
              <w:t xml:space="preserve">y-</w:t>
            </w:r>
            <w:r>
              <w:t xml:space="preserve"> </w:t>
            </w:r>
            <w:r>
              <w:t xml:space="preserve">though not a majority of the corpus.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86 of 289, 29.8%.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1045 of 1509, 69.3%. The whole name costs 4.98%, about 1 in 20, against the 1 in 37 that retires</w:t>
            </w:r>
            <w:r>
              <w:t xml:space="preserve"> </w:t>
            </w:r>
            <w:r>
              <w:rPr>
                <w:iCs/>
                <w:i/>
              </w:rPr>
              <w:t xml:space="preserve">Baγatur</w:t>
            </w:r>
            <w:r>
              <w:t xml:space="preserve"> </w:t>
            </w:r>
            <w:r>
              <w:t xml:space="preserve">in §8.1 of the paper.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54, where the vehicle for a source affricate is the plain</w:t>
            </w:r>
            <w:r>
              <w:t xml:space="preserve"> </w:t>
            </w:r>
            <w:r>
              <w:rPr>
                <w:iCs/>
                <w:i/>
              </w:rPr>
              <w:t xml:space="preserve">tś-</w:t>
            </w:r>
            <w:r>
              <w:t xml:space="preserve"> </w:t>
            </w:r>
            <w:r>
              <w:t xml:space="preserve">at 32 of 48. It also added a syllable the character does not carry.</w:t>
            </w:r>
            <w:r>
              <w:t xml:space="preserve"> </w:t>
            </w:r>
            <w:r>
              <w:rPr>
                <w:bCs/>
                <w:b/>
              </w:rPr>
              <w:t xml:space="preserve">A cheaper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29.8%.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that by Kāşgarî’s day the word’s meaning had become unknown and it survived chiefly as a title. Neither sense is suppressed here, and the choice between them does not change the reading.</w:t>
            </w:r>
            <w:r>
              <w:t xml:space="preserve"> </w:t>
            </w:r>
            <w:r>
              <w:rPr>
                <w:bCs/>
                <w:b/>
              </w:rPr>
              <w:t xml:space="preserve">The naming pattern is attested, and it is the one this name needs.</w:t>
            </w:r>
            <w:r>
              <w:t xml:space="preserve"> </w:t>
            </w:r>
            <w:r>
              <w:t xml:space="preserve">Kāşgarî says the word is used as a</w:t>
            </w:r>
            <w:r>
              <w:t xml:space="preserve"> </w:t>
            </w:r>
            <w:r>
              <w:rPr>
                <w:iCs/>
                <w:i/>
              </w:rPr>
              <w:t xml:space="preserve">laqab</w:t>
            </w:r>
            <w:r>
              <w:t xml:space="preserve">, an honorific epithet, and gives</w:t>
            </w:r>
            <w:r>
              <w:t xml:space="preserve"> </w:t>
            </w:r>
            <w:r>
              <w:rPr>
                <w:iCs/>
                <w:i/>
              </w:rPr>
              <w:t xml:space="preserve">toŋa xan</w:t>
            </w:r>
            <w:r>
              <w:t xml:space="preserve"> </w:t>
            </w:r>
            <w:r>
              <w:t xml:space="preserve">and</w:t>
            </w:r>
            <w:r>
              <w:t xml:space="preserve"> </w:t>
            </w:r>
            <w:r>
              <w:rPr>
                <w:iCs/>
                <w:i/>
              </w:rPr>
              <w:t xml:space="preserve">toŋa tegin</w:t>
            </w:r>
            <w:r>
              <w:t xml:space="preserve">: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which turns on how much weight Kāşgarî’s gloss can bear given that he reports the word as already opaque. The</w:t>
            </w:r>
            <w:r>
              <w:t xml:space="preserve"> </w:t>
            </w:r>
            <w:r>
              <w:rPr>
                <w:iCs/>
                <w:i/>
              </w:rPr>
              <w:t xml:space="preserve">Dīwān</w:t>
            </w:r>
            <w:r>
              <w:t xml:space="preserve">’s own text is not held for this project, only the Türk Dil Kurumu index, which carries headwords without verses, so the order</w:t>
            </w:r>
            <w:r>
              <w:t xml:space="preserve"> </w:t>
            </w:r>
            <w:r>
              <w:rPr>
                <w:iCs/>
                <w:i/>
              </w:rPr>
              <w:t xml:space="preserve">Alp Er Tonga</w:t>
            </w:r>
            <w:r>
              <w:t xml:space="preserve"> </w:t>
            </w:r>
            <w:r>
              <w:t xml:space="preserve">familiar from the elegy could not be checked here: Clauson gives only</w:t>
            </w:r>
            <w:r>
              <w:t xml:space="preserve"> </w:t>
            </w:r>
            <w:r>
              <w:rPr>
                <w:iCs/>
                <w:i/>
              </w:rPr>
              <w:t xml:space="preserve">Toŋa Alp Er</w:t>
            </w:r>
            <w:r>
              <w:t xml:space="preserve">, from</w:t>
            </w:r>
            <w:r>
              <w:t xml:space="preserve"> </w:t>
            </w:r>
            <w:r>
              <w:rPr>
                <w:iCs/>
                <w:i/>
              </w:rPr>
              <w:t xml:space="preserve">Dīwān</w:t>
            </w:r>
            <w:r>
              <w:t xml:space="preserve"> </w:t>
            </w:r>
            <w:r>
              <w:t xml:space="preserve">III 368 and</w:t>
            </w:r>
            <w:r>
              <w:t xml:space="preserve"> </w:t>
            </w:r>
            <w:r>
              <w:rPr>
                <w:iCs/>
                <w:i/>
              </w:rPr>
              <w:t xml:space="preserve">Kutadgu Bilig</w:t>
            </w:r>
            <w:r>
              <w:t xml:space="preserve"> </w:t>
            </w:r>
            <w:r>
              <w:t xml:space="preserve">277.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source syllable beginning with a vowel takes a Chinese glottal onset 137 times in 140, 97.9%, which is the strongest single correspondence used anywhere in this file. 累</w:t>
            </w:r>
            <w:r>
              <w:t xml:space="preserve"> </w:t>
            </w:r>
            <w:r>
              <w:rPr>
                <w:iCs/>
                <w:i/>
              </w:rPr>
              <w:t xml:space="preserve">lui</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85 times in 88, 96.6%, and the vowel is rounded on both sides, 190 of 289, 65.7%. The final</w:t>
            </w:r>
            <w:r>
              <w:t xml:space="preserve"> </w:t>
            </w:r>
            <w:r>
              <w:rPr>
                <w:iCs/>
                <w:i/>
              </w:rPr>
              <w:t xml:space="preserve">-ğ</w:t>
            </w:r>
            <w:r>
              <w:t xml:space="preserve"> </w:t>
            </w:r>
            <w:r>
              <w:t xml:space="preserve">is not written, which the coda table of §8 puts at 8 of 21, 38.1%, the ordinary treatment of a source velar coda. Two characters, two syllables, nothing inserted and nothing discarded. The element costs 23.7%, about 1 in 4.</w:t>
            </w:r>
            <w:r>
              <w:t xml:space="preserve"> </w:t>
            </w:r>
            <w:r>
              <w:rPr>
                <w:bCs/>
                <w:b/>
              </w:rPr>
              <w:t xml:space="preserve">That figure is not comparable with a whole-name figure</w:t>
            </w:r>
            <w:r>
              <w:t xml:space="preserve"> </w:t>
            </w:r>
            <w:r>
              <w:t xml:space="preserve">such as the 1 in 5 for</w:t>
            </w:r>
            <w:r>
              <w:t xml:space="preserve"> </w:t>
            </w:r>
            <w:r>
              <w:rPr>
                <w:iCs/>
                <w:i/>
              </w:rPr>
              <w:t xml:space="preserve">Köngen</w:t>
            </w:r>
            <w:r>
              <w:t xml:space="preserve"> </w:t>
            </w:r>
            <w:r>
              <w:t xml:space="preserve">or the 1 in 37 that retires</w:t>
            </w:r>
            <w:r>
              <w:t xml:space="preserve"> </w:t>
            </w:r>
            <w:r>
              <w:rPr>
                <w:iCs/>
                <w:i/>
              </w:rPr>
              <w:t xml:space="preserve">Baγatur</w:t>
            </w:r>
            <w:r>
              <w:t xml:space="preserve"> </w:t>
            </w:r>
            <w:r>
              <w:t xml:space="preserve">in §8.1: it prices a two-syllable element, and a short string is cheap by construction, since every further character multiplies in another rate below 1. 若鞮 is not priced again here, being the one title element §9 argues once for all six rows that carry it.</w:t>
            </w:r>
            <w:r>
              <w:br/>
            </w:r>
            <w:r>
              <w:t xml:space="preserve">Reason</w:t>
            </w:r>
            <w:r>
              <w:rPr>
                <w:iCs/>
                <w:i/>
              </w:rPr>
              <w:t xml:space="preserve">Uluğ</w:t>
            </w:r>
            <w:r>
              <w:t xml:space="preserve"> </w:t>
            </w:r>
            <w:r>
              <w:t xml:space="preserve">“great”, from the Codex Cumanicus</w:t>
            </w:r>
            <w:r>
              <w:t xml:space="preserve"> </w:t>
            </w:r>
            <w:r>
              <w:rPr>
                <w:iCs/>
                <w:i/>
              </w:rPr>
              <w:t xml:space="preserve">Oulu</w:t>
            </w:r>
            <w:r>
              <w:t xml:space="preserve">, glossed</w:t>
            </w:r>
            <w:r>
              <w:t xml:space="preserve"> </w:t>
            </w:r>
            <w:r>
              <w:rPr>
                <w:iCs/>
                <w:i/>
              </w:rPr>
              <w:t xml:space="preserve">magnus</w:t>
            </w:r>
            <w:r>
              <w:t xml:space="preserve">. The word is among the most common elements in Turkic titulature, which is both the strength of this reading and its weakness: a very common word is an easy target to hit, and §6.3 of the paper measures choice by meaning as the weakest step in the whole procedure.</w:t>
            </w:r>
            <w:r>
              <w:t xml:space="preserve"> </w:t>
            </w:r>
            <w:r>
              <w:rPr>
                <w:bCs/>
                <w:b/>
              </w:rPr>
              <w:t xml:space="preserve">The same word was read at 呼都而尸道皋若鞮 in earlier drafts and is withdrawn there.</w:t>
            </w:r>
            <w:r>
              <w:t xml:space="preserve"> </w:t>
            </w:r>
            <w:r>
              <w:t xml:space="preserve">Step 54 measured what separates the two rows. This one has a glottal character for the vowel-initial syllable and a liquid character for the</w:t>
            </w:r>
            <w:r>
              <w:t xml:space="preserve"> </w:t>
            </w:r>
            <w:r>
              <w:rPr>
                <w:iCs/>
                <w:i/>
              </w:rPr>
              <w:t xml:space="preserve">-l-</w:t>
            </w:r>
            <w:r>
              <w:t xml:space="preserve">; the long name has neither, and no character in it carries a liquid at all. Where one word appears twice in a record, the transcription and not the sense has to say which occurrence is real, and here it does.</w:t>
            </w:r>
            <w:r>
              <w:t xml:space="preserve"> </w:t>
            </w:r>
            <w:r>
              <w:rPr>
                <w:bCs/>
                <w:b/>
              </w:rPr>
              <w:t xml:space="preserve">What is not settled.</w:t>
            </w:r>
            <w:r>
              <w:t xml:space="preserve"> </w:t>
            </w:r>
            <w:r>
              <w:t xml:space="preserve">Whether the word is a title, an epithet or part of a personal name. The record gives no way to tell, and the other five 若鞮 rows are equally silent on 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pPr>
          </w:p>
        </w:tc>
        <w:tc>
          <w:tcPr/>
          <w:p>
            <w:pPr>
              <w:pStyle w:val="Compact"/>
            </w:pPr>
          </w:p>
        </w:tc>
      </w:tr>
      <w:tr>
        <w:tc>
          <w:tcPr>
            <w:gridSpan w:val="5"/>
          </w:tcPr>
          <w:p>
            <w:pPr>
              <w:pStyle w:val="Compact"/>
              <w:jc w:val="left"/>
            </w:pPr>
            <w:r>
              <w:t xml:space="preserve">Phonetics</w:t>
            </w:r>
            <w:r>
              <w:rPr>
                <w:bCs/>
                <w:b/>
              </w:rPr>
              <w:t xml:space="preserve">The reading earlier drafts gave this name, Öz-Uluğ İnakt, is withdrawn, and none is proposed in its place.</w:t>
            </w:r>
            <w:r>
              <w:t xml:space="preserve"> </w:t>
            </w:r>
            <w:r>
              <w:t xml:space="preserve">It fails three measurements, none of them close.</w:t>
            </w:r>
            <w:r>
              <w:t xml:space="preserve"> </w:t>
            </w:r>
            <w:r>
              <w:rPr>
                <w:bCs/>
                <w:b/>
              </w:rPr>
              <w:t xml:space="preserve">First, twice over, on the zero this file uses elsewhere to retire a reading.</w:t>
            </w:r>
            <w:r>
              <w:t xml:space="preserve"> </w:t>
            </w:r>
            <w:r>
              <w:t xml:space="preserve">A source syllable beginning with a vowel takes a Chinese glottal onset 137 times in 140; it takes a velar 0 times in 140 and an</w:t>
            </w:r>
            <w:r>
              <w:t xml:space="preserve"> </w:t>
            </w:r>
            <w:r>
              <w:rPr>
                <w:iCs/>
                <w:i/>
              </w:rPr>
              <w:t xml:space="preserve">h-</w:t>
            </w:r>
            <w:r>
              <w:t xml:space="preserve"> </w:t>
            </w:r>
            <w:r>
              <w:t xml:space="preserve">0 times in 140. Both</w:t>
            </w:r>
            <w:r>
              <w:t xml:space="preserve"> </w:t>
            </w:r>
            <w:r>
              <w:rPr>
                <w:iCs/>
                <w:i/>
              </w:rPr>
              <w:t xml:space="preserve">öz</w:t>
            </w:r>
            <w:r>
              <w:t xml:space="preserve"> </w:t>
            </w:r>
            <w:r>
              <w:t xml:space="preserve">and</w:t>
            </w:r>
            <w:r>
              <w:t xml:space="preserve"> </w:t>
            </w:r>
            <w:r>
              <w:rPr>
                <w:iCs/>
                <w:i/>
              </w:rPr>
              <w:t xml:space="preserve">uluğ</w:t>
            </w:r>
            <w:r>
              <w:t xml:space="preserve"> </w:t>
            </w:r>
            <w:r>
              <w:t xml:space="preserve">begin with a vowel, and the characters asked to write them are 呼</w:t>
            </w:r>
            <w:r>
              <w:t xml:space="preserve"> </w:t>
            </w:r>
            <w:r>
              <w:rPr>
                <w:iCs/>
                <w:i/>
              </w:rPr>
              <w:t xml:space="preserve">hɑ</w:t>
            </w:r>
            <w:r>
              <w:t xml:space="preserve"> </w:t>
            </w:r>
            <w:r>
              <w:t xml:space="preserve">and 皋</w:t>
            </w:r>
            <w:r>
              <w:t xml:space="preserve"> </w:t>
            </w:r>
            <w:r>
              <w:rPr>
                <w:iCs/>
                <w:i/>
              </w:rPr>
              <w:t xml:space="preserve">kou</w:t>
            </w:r>
            <w:r>
              <w:t xml:space="preserve">. The same zero retired</w:t>
            </w:r>
            <w:r>
              <w:t xml:space="preserve"> </w:t>
            </w:r>
            <w:r>
              <w:rPr>
                <w:iCs/>
                <w:i/>
              </w:rPr>
              <w:t xml:space="preserve">Çöge-Ok</w:t>
            </w:r>
            <w:r>
              <w:t xml:space="preserve"> </w:t>
            </w:r>
            <w:r>
              <w:t xml:space="preserve">at 車牙若鞮.</w:t>
            </w:r>
            <w:r>
              <w:t xml:space="preserve"> </w:t>
            </w:r>
            <w:r>
              <w:rPr>
                <w:bCs/>
                <w:b/>
              </w:rPr>
              <w:t xml:space="preserve">Second, on the liquid.</w:t>
            </w:r>
            <w:r>
              <w:t xml:space="preserve"> </w:t>
            </w:r>
            <w:r>
              <w:t xml:space="preserve">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85 times in 88, 96.6%, and a source liquid onset of either kind,</w:t>
            </w:r>
            <w:r>
              <w:t xml:space="preserve"> </w:t>
            </w:r>
            <w:r>
              <w:rPr>
                <w:iCs/>
                <w:i/>
              </w:rPr>
              <w:t xml:space="preserve">l</w:t>
            </w:r>
            <w:r>
              <w:t xml:space="preserve"> </w:t>
            </w:r>
            <w:r>
              <w:t xml:space="preserve">or</w:t>
            </w:r>
            <w:r>
              <w:t xml:space="preserve"> </w:t>
            </w:r>
            <w:r>
              <w:rPr>
                <w:iCs/>
                <w:i/>
              </w:rPr>
              <w:t xml:space="preserve">r</w:t>
            </w:r>
            <w:r>
              <w:t xml:space="preserve">, takes a Chinese</w:t>
            </w:r>
            <w:r>
              <w:t xml:space="preserve"> </w:t>
            </w:r>
            <w:r>
              <w:rPr>
                <w:iCs/>
                <w:i/>
              </w:rPr>
              <w:t xml:space="preserve">l-</w:t>
            </w:r>
            <w:r>
              <w:t xml:space="preserve"> </w:t>
            </w:r>
            <w:r>
              <w:t xml:space="preserve">262 times in 288, 91.0%. Not one of the eight characters carries a liquid onset, so the</w:t>
            </w:r>
            <w:r>
              <w:t xml:space="preserve"> </w:t>
            </w:r>
            <w:r>
              <w:rPr>
                <w:iCs/>
                <w:i/>
              </w:rPr>
              <w:t xml:space="preserve">-l-</w:t>
            </w:r>
            <w:r>
              <w:t xml:space="preserve"> </w:t>
            </w:r>
            <w:r>
              <w:t xml:space="preserve">of</w:t>
            </w:r>
            <w:r>
              <w:t xml:space="preserve"> </w:t>
            </w:r>
            <w:r>
              <w:rPr>
                <w:iCs/>
                <w:i/>
              </w:rPr>
              <w:t xml:space="preserve">uluğ</w:t>
            </w:r>
            <w:r>
              <w:t xml:space="preserve"> </w:t>
            </w:r>
            <w:r>
              <w:t xml:space="preserve">would have to go unwritten in the one position the corpus almost always writes it.</w:t>
            </w:r>
            <w:r>
              <w:t xml:space="preserve"> </w:t>
            </w:r>
            <w:r>
              <w:rPr>
                <w:bCs/>
                <w:b/>
              </w:rPr>
              <w:t xml:space="preserve">Third, on the four characters left over.</w:t>
            </w:r>
            <w:r>
              <w:t xml:space="preserve"> </w:t>
            </w:r>
            <w:r>
              <w:t xml:space="preserve">Reading 呼 as</w:t>
            </w:r>
            <w:r>
              <w:t xml:space="preserve"> </w:t>
            </w:r>
            <w:r>
              <w:rPr>
                <w:iCs/>
                <w:i/>
              </w:rPr>
              <w:t xml:space="preserve">öz</w:t>
            </w:r>
            <w:r>
              <w:t xml:space="preserve">, 皋 as</w:t>
            </w:r>
            <w:r>
              <w:t xml:space="preserve"> </w:t>
            </w:r>
            <w:r>
              <w:rPr>
                <w:iCs/>
                <w:i/>
              </w:rPr>
              <w:t xml:space="preserve">uluğ</w:t>
            </w:r>
            <w:r>
              <w:t xml:space="preserve"> </w:t>
            </w:r>
            <w:r>
              <w:t xml:space="preserve">and 若鞮 as the title leaves 都</w:t>
            </w:r>
            <w:r>
              <w:t xml:space="preserve"> </w:t>
            </w:r>
            <w:r>
              <w:rPr>
                <w:iCs/>
                <w:i/>
              </w:rPr>
              <w:t xml:space="preserve">tɑ</w:t>
            </w:r>
            <w:r>
              <w:t xml:space="preserve">, 而</w:t>
            </w:r>
            <w:r>
              <w:t xml:space="preserve"> </w:t>
            </w:r>
            <w:r>
              <w:rPr>
                <w:iCs/>
                <w:i/>
              </w:rPr>
              <w:t xml:space="preserve">ńə</w:t>
            </w:r>
            <w:r>
              <w:t xml:space="preserve">, 尸</w:t>
            </w:r>
            <w:r>
              <w:t xml:space="preserve"> </w:t>
            </w:r>
            <w:r>
              <w:rPr>
                <w:iCs/>
                <w:i/>
              </w:rPr>
              <w:t xml:space="preserve">śi</w:t>
            </w:r>
            <w:r>
              <w:t xml:space="preserve"> </w:t>
            </w:r>
            <w:r>
              <w:t xml:space="preserve">and 道</w:t>
            </w:r>
            <w:r>
              <w:t xml:space="preserve"> </w:t>
            </w:r>
            <w:r>
              <w:rPr>
                <w:iCs/>
                <w:i/>
              </w:rPr>
              <w:t xml:space="preserve">dou</w:t>
            </w:r>
            <w:r>
              <w:t xml:space="preserve"> </w:t>
            </w:r>
            <w:r>
              <w:t xml:space="preserve">carrying nothing. Across 1,017 pairs in the Sanskrit corpus no transcription uses more than one character beyond the syllables of its source: 772 are one to one, 152 use one extra, 93 use fewer, and the count of pairs with four or more spare characters is 0. Step 50 established that most of those single extras are a Chinese semantic suffix appended to a finished transcription, 鬼 鳥 國 城, which these four are not.</w:t>
            </w:r>
            <w:r>
              <w:t xml:space="preserve"> </w:t>
            </w:r>
            <w:r>
              <w:rPr>
                <w:bCs/>
                <w:b/>
              </w:rPr>
              <w:t xml:space="preserve">The reading cannot be priced, and that is the result.</w:t>
            </w:r>
            <w:r>
              <w:t xml:space="preserve"> </w:t>
            </w:r>
            <w:r>
              <w:t xml:space="preserve">A zero has no rate to multiply.</w:t>
            </w:r>
            <w:r>
              <w:br/>
            </w:r>
            <w:r>
              <w:t xml:space="preserve">Reason</w:t>
            </w:r>
            <w:r>
              <w:rPr>
                <w:bCs/>
                <w:b/>
              </w:rPr>
              <w:t xml:space="preserve">No reading is proposed here.</w:t>
            </w:r>
            <w:r>
              <w:t xml:space="preserve"> </w:t>
            </w:r>
            <w:r>
              <w:t xml:space="preserve">This is the longest string in the record and the one where a reading is easiest to invent, because the longer the string the more ways there are to cut it into Turkic elements, and the cut then does the work that no individual correspondence is doing. That is the failure mode §6.3 of the paper measures, and it is what produced the withdrawn reading.</w:t>
            </w:r>
            <w:r>
              <w:t xml:space="preserve"> </w:t>
            </w:r>
            <w:r>
              <w:rPr>
                <w:iCs/>
                <w:i/>
              </w:rPr>
              <w:t xml:space="preserve">Uluğ</w:t>
            </w:r>
            <w:r>
              <w:t xml:space="preserve"> </w:t>
            </w:r>
            <w:r>
              <w:t xml:space="preserve">stays at 烏累若鞮, where the transcription supports it.</w:t>
            </w:r>
            <w:r>
              <w:t xml:space="preserve"> </w:t>
            </w:r>
            <w:r>
              <w:rPr>
                <w:bCs/>
                <w:b/>
              </w:rPr>
              <w:t xml:space="preserve">What the characters do carry.</w:t>
            </w:r>
            <w:r>
              <w:t xml:space="preserve"> </w:t>
            </w:r>
            <w:r>
              <w:t xml:space="preserve">Step 54 searched the lexicons at the classes the first six characters actually hold, 呼 a velar or</w:t>
            </w:r>
            <w:r>
              <w:t xml:space="preserve"> </w:t>
            </w:r>
            <w:r>
              <w:rPr>
                <w:iCs/>
                <w:i/>
              </w:rPr>
              <w:t xml:space="preserve">h</w:t>
            </w:r>
            <w:r>
              <w:t xml:space="preserve">, 都 a dental stop, 而 a palatal nasal, 尸 a sibilant, 道 a dental stop, 皋 a velar. Every two-character frame returns hits and none of them reads as a ruler’s name; they are listed in the step output as a starting point for someone else, not as candidates.</w:t>
            </w:r>
            <w:r>
              <w:t xml:space="preserve"> </w:t>
            </w:r>
            <w:r>
              <w:rPr>
                <w:bCs/>
                <w:b/>
              </w:rPr>
              <w:t xml:space="preserve">What is not settled.</w:t>
            </w:r>
            <w:r>
              <w:t xml:space="preserve"> </w:t>
            </w:r>
            <w:r>
              <w:t xml:space="preserve">What the name says. The Chinese sources gloss none of it, the string is long enough that the record cannot constrain a reading of it, and nothing here is evidence that it is or is not Turkic.</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48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teŋri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The word is a headword in both lexicons used here: Kāşgarî has</w:t>
            </w:r>
            <w:r>
              <w:t xml:space="preserve"> </w:t>
            </w:r>
            <w:r>
              <w:rPr>
                <w:iCs/>
                <w:i/>
              </w:rPr>
              <w:t xml:space="preserve">körklüg</w:t>
            </w:r>
            <w:r>
              <w:t xml:space="preserve">, glossed</w:t>
            </w:r>
            <w:r>
              <w:t xml:space="preserve"> </w:t>
            </w:r>
            <w:r>
              <w:rPr>
                <w:iCs/>
                <w:i/>
              </w:rPr>
              <w:t xml:space="preserve">iyi, güzel ve gösterişli</w:t>
            </w:r>
            <w:r>
              <w:t xml:space="preserve">, “good, beautiful and imposing”, and the</w:t>
            </w:r>
            <w:r>
              <w:t xml:space="preserve"> </w:t>
            </w:r>
            <w:r>
              <w:rPr>
                <w:iCs/>
                <w:i/>
              </w:rPr>
              <w:t xml:space="preserve">Codex Cumanicus</w:t>
            </w:r>
            <w:r>
              <w:t xml:space="preserve"> </w:t>
            </w:r>
            <w:r>
              <w:t xml:space="preserve">has</w:t>
            </w:r>
            <w:r>
              <w:t xml:space="preserve"> </w:t>
            </w:r>
            <w:r>
              <w:rPr>
                <w:iCs/>
                <w:i/>
              </w:rPr>
              <w:t xml:space="preserve">körk</w:t>
            </w:r>
            <w:r>
              <w:t xml:space="preserve"> </w:t>
            </w:r>
            <w:r>
              <w:t xml:space="preserve">glossed</w:t>
            </w:r>
            <w:r>
              <w:t xml:space="preserve"> </w:t>
            </w:r>
            <w:r>
              <w:rPr>
                <w:iCs/>
                <w:i/>
              </w:rPr>
              <w:t xml:space="preserve">decus</w:t>
            </w:r>
            <w:r>
              <w:t xml:space="preserve">, glory or dignity rather than prettiness.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1045 of 1509, 69.3%.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15 of 53 cases, 28.3%,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2.18%, about 1 in 46.</w:t>
            </w:r>
            <w:r>
              <w:t xml:space="preserve"> </w:t>
            </w:r>
            <w:r>
              <w:t xml:space="preserve">That is more expensive than the 1 in 37 which retires</w:t>
            </w:r>
            <w:r>
              <w:t xml:space="preserve"> </w:t>
            </w:r>
            <w:r>
              <w:rPr>
                <w:iCs/>
                <w:i/>
              </w:rPr>
              <w:t xml:space="preserve">Baγatur</w:t>
            </w:r>
            <w:r>
              <w:t xml:space="preserve"> </w:t>
            </w:r>
            <w:r>
              <w:t xml:space="preserve">in §8.1 of the paper,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46,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cost than the 1 in 37 the paper uses in §8.1 against a rival reading elsewhere,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supplement: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pPr>
          </w:p>
        </w:tc>
        <w:tc>
          <w:tcPr/>
          <w:p>
            <w:pPr>
              <w:pStyle w:val="Compact"/>
              <w:jc w:val="left"/>
            </w:pPr>
            <w:r>
              <w:t xml:space="preserve">no reading proposed; kıyat withdrawn</w:t>
            </w:r>
          </w:p>
        </w:tc>
      </w:tr>
      <w:tr>
        <w:tc>
          <w:tcPr>
            <w:gridSpan w:val="5"/>
          </w:tcPr>
          <w:p>
            <w:pPr>
              <w:pStyle w:val="Compact"/>
              <w:jc w:val="left"/>
            </w:pPr>
            <w:r>
              <w:t xml:space="preserve">Phonetics</w:t>
            </w:r>
            <w:r>
              <w:t xml:space="preserve">A single character,</w:t>
            </w:r>
            <w:r>
              <w:t xml:space="preserve"> </w:t>
            </w:r>
            <w:r>
              <w:rPr>
                <w:iCs/>
                <w:i/>
              </w:rPr>
              <w:t xml:space="preserve">kɨat</w:t>
            </w:r>
            <w:r>
              <w:t xml:space="preserve">, with the</w:t>
            </w:r>
            <w:r>
              <w:t xml:space="preserve"> </w:t>
            </w:r>
            <w:r>
              <w:rPr>
                <w:iCs/>
                <w:i/>
              </w:rPr>
              <w:t xml:space="preserve">k-</w:t>
            </w:r>
            <w:r>
              <w:t xml:space="preserve"> </w:t>
            </w:r>
            <w:r>
              <w:t xml:space="preserve">default and the</w:t>
            </w:r>
            <w:r>
              <w:t xml:space="preserve"> </w:t>
            </w:r>
            <w:r>
              <w:rPr>
                <w:iCs/>
                <w:i/>
              </w:rPr>
              <w:t xml:space="preserve">-t</w:t>
            </w:r>
            <w:r>
              <w:t xml:space="preserve"> </w:t>
            </w:r>
            <w:r>
              <w:t xml:space="preserve">coda written, so the consonant frame</w:t>
            </w:r>
            <w:r>
              <w:t xml:space="preserve"> </w:t>
            </w:r>
            <w:r>
              <w:rPr>
                <w:iCs/>
                <w:i/>
              </w:rPr>
              <w:t xml:space="preserve">k…t</w:t>
            </w:r>
            <w:r>
              <w:t xml:space="preserve"> </w:t>
            </w:r>
            <w:r>
              <w:t xml:space="preserve">is secure.</w:t>
            </w:r>
            <w:r>
              <w:t xml:space="preserve"> </w:t>
            </w:r>
            <w:r>
              <w:rPr>
                <w:bCs/>
                <w:b/>
              </w:rPr>
              <w:t xml:space="preserve">The vowel carries information, and step 53 counts it.</w:t>
            </w:r>
            <w:r>
              <w:t xml:space="preserve"> </w:t>
            </w:r>
            <w:r>
              <w:t xml:space="preserve">Characters whose Schuessler vowel contains</w:t>
            </w:r>
            <w:r>
              <w:t xml:space="preserve"> </w:t>
            </w:r>
            <w:r>
              <w:rPr>
                <w:iCs/>
                <w:i/>
              </w:rPr>
              <w:t xml:space="preserve">ɨa</w:t>
            </w:r>
            <w:r>
              <w:t xml:space="preserve"> </w:t>
            </w:r>
            <w:r>
              <w:t xml:space="preserve">write a source</w:t>
            </w:r>
            <w:r>
              <w:t xml:space="preserve"> </w:t>
            </w:r>
            <w:r>
              <w:rPr>
                <w:iCs/>
                <w:i/>
              </w:rPr>
              <w:t xml:space="preserve">a</w:t>
            </w:r>
            <w:r>
              <w:t xml:space="preserve"> </w:t>
            </w:r>
            <w:r>
              <w:t xml:space="preserve">in 28 of 28 cases; a source</w:t>
            </w:r>
            <w:r>
              <w:t xml:space="preserve"> </w:t>
            </w:r>
            <w:r>
              <w:rPr>
                <w:iCs/>
                <w:i/>
              </w:rPr>
              <w:t xml:space="preserve">e</w:t>
            </w:r>
            <w:r>
              <w:t xml:space="preserve"> </w:t>
            </w:r>
            <w:r>
              <w:t xml:space="preserve">is 2.0% of the corpus and appears in none of them. On the Later Han layer this character writes a source</w:t>
            </w:r>
            <w:r>
              <w:t xml:space="preserve"> </w:t>
            </w:r>
            <w:r>
              <w:rPr>
                <w:iCs/>
                <w:i/>
              </w:rPr>
              <w:t xml:space="preserve">a</w:t>
            </w:r>
            <w:r>
              <w:t xml:space="preserve">.</w:t>
            </w:r>
            <w:r>
              <w:t xml:space="preserve"> </w:t>
            </w:r>
            <w:r>
              <w:rPr>
                <w:bCs/>
                <w:b/>
              </w:rPr>
              <w:t xml:space="preserve">That measurement is recorded here and deliberately not used as an argument.</w:t>
            </w:r>
            <w:r>
              <w:t xml:space="preserve"> </w:t>
            </w:r>
            <w:r>
              <w:t xml:space="preserve">The Jie appear in the fourth century CE and the corpus behind the figure is Later Han, which is the period mixing §7 of the paper warns against; and Proto-Yeniseian</w:t>
            </w:r>
            <w:r>
              <w:t xml:space="preserve"> </w:t>
            </w:r>
            <w:r>
              <w:rPr>
                <w:iCs/>
                <w:i/>
              </w:rPr>
              <w:t xml:space="preserve">*keʔt</w:t>
            </w:r>
            <w:r>
              <w:t xml:space="preserve"> </w:t>
            </w:r>
            <w:r>
              <w:t xml:space="preserve">is a reconstruction of a proto-form, so it does not fix the vowel of the fourth-century word and the measurement is not aimed at what Vovin actually claims. The one-syllable words the frame admits are</w:t>
            </w:r>
            <w:r>
              <w:t xml:space="preserve"> </w:t>
            </w:r>
            <w:r>
              <w:rPr>
                <w:iCs/>
                <w:i/>
              </w:rPr>
              <w:t xml:space="preserve">kat</w:t>
            </w:r>
            <w:r>
              <w:t xml:space="preserve"> </w:t>
            </w:r>
            <w:r>
              <w:t xml:space="preserve">“layer” and</w:t>
            </w:r>
            <w:r>
              <w:t xml:space="preserve"> </w:t>
            </w:r>
            <w:r>
              <w:rPr>
                <w:iCs/>
                <w:i/>
              </w:rPr>
              <w:t xml:space="preserve">kad</w:t>
            </w:r>
            <w:r>
              <w:t xml:space="preserve">, which Kāşgarî glosses “kar fırtınası, insan öldüren bora, tipi”, a blizzard or a killing gale. Neither is an obvious ethnonym.</w:t>
            </w:r>
            <w:r>
              <w:br/>
            </w:r>
            <w:r>
              <w:t xml:space="preserve">Reason</w:t>
            </w:r>
            <w:r>
              <w:rPr>
                <w:bCs/>
                <w:b/>
              </w:rPr>
              <w:t xml:space="preserve">No reading is proposed here.</w:t>
            </w:r>
            <w:r>
              <w:t xml:space="preserve"> </w:t>
            </w:r>
            <w:r>
              <w:t xml:space="preserve">An earlier draft read this as</w:t>
            </w:r>
            <w:r>
              <w:t xml:space="preserve"> </w:t>
            </w:r>
            <w:r>
              <w:rPr>
                <w:iCs/>
                <w:i/>
              </w:rPr>
              <w:t xml:space="preserve">kıyat</w:t>
            </w:r>
            <w:r>
              <w:t xml:space="preserve">, “of flooding”. That is withdrawn, and the reason is not a fine judgement:</w:t>
            </w:r>
            <w:r>
              <w:t xml:space="preserve"> </w:t>
            </w:r>
            <w:r>
              <w:rPr>
                <w:iCs/>
                <w:i/>
              </w:rPr>
              <w:t xml:space="preserve">kıyat</w:t>
            </w:r>
            <w:r>
              <w:t xml:space="preserve"> </w:t>
            </w:r>
            <w:r>
              <w:t xml:space="preserve">is not a headword in the Kāşgarî index, the Codex or the</w:t>
            </w:r>
            <w:r>
              <w:t xml:space="preserve"> </w:t>
            </w:r>
            <w:r>
              <w:rPr>
                <w:iCs/>
                <w:i/>
              </w:rPr>
              <w:t xml:space="preserve">Irk Bitig</w:t>
            </w:r>
            <w:r>
              <w:t xml:space="preserve"> </w:t>
            </w:r>
            <w:r>
              <w:t xml:space="preserve">glossary, and the root it would be built on means the opposite of what was claimed. Kāşgarî's</w:t>
            </w:r>
            <w:r>
              <w:t xml:space="preserve"> </w:t>
            </w:r>
            <w:r>
              <w:rPr>
                <w:iCs/>
                <w:i/>
              </w:rPr>
              <w:t xml:space="preserve">kıy-</w:t>
            </w:r>
            <w:r>
              <w:t xml:space="preserve"> </w:t>
            </w:r>
            <w:r>
              <w:t xml:space="preserve">family is</w:t>
            </w:r>
            <w:r>
              <w:t xml:space="preserve"> </w:t>
            </w:r>
            <w:r>
              <w:rPr>
                <w:iCs/>
                <w:i/>
              </w:rPr>
              <w:t xml:space="preserve">kıymak</w:t>
            </w:r>
            <w:r>
              <w:t xml:space="preserve"> </w:t>
            </w:r>
            <w:r>
              <w:t xml:space="preserve">“sözden dönmek; kıymak, eğrilemesine doğramak”, to break one's word and to cut crosswise, with</w:t>
            </w:r>
            <w:r>
              <w:t xml:space="preserve"> </w:t>
            </w:r>
            <w:r>
              <w:rPr>
                <w:iCs/>
                <w:i/>
              </w:rPr>
              <w:t xml:space="preserve">kıyık</w:t>
            </w:r>
            <w:r>
              <w:t xml:space="preserve"> </w:t>
            </w:r>
            <w:r>
              <w:t xml:space="preserve">“cayma, caymak” and</w:t>
            </w:r>
            <w:r>
              <w:t xml:space="preserve"> </w:t>
            </w:r>
            <w:r>
              <w:rPr>
                <w:iCs/>
                <w:i/>
              </w:rPr>
              <w:t xml:space="preserve">kıyturmak</w:t>
            </w:r>
            <w:r>
              <w:t xml:space="preserve"> </w:t>
            </w:r>
            <w:r>
              <w:t xml:space="preserve">“iğrilemesine kestirmek”. Nothing in it is about water. The sense offered had no source.</w:t>
            </w:r>
            <w:r>
              <w:t xml:space="preserve"> </w:t>
            </w:r>
            <w:r>
              <w:rPr>
                <w:bCs/>
                <w:b/>
              </w:rPr>
              <w:t xml:space="preserve">The reading in print stands unopposed.</w:t>
            </w:r>
            <w:r>
              <w:t xml:space="preserve"> </w:t>
            </w:r>
            <w:r>
              <w:t xml:space="preserve">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the Yeniseian self-designation, reflected in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w:t>
            </w:r>
            <w:r>
              <w:t xml:space="preserve">and Pumpokol</w:t>
            </w:r>
            <w:r>
              <w:t xml:space="preserve"> </w:t>
            </w:r>
            <w:r>
              <w:rPr>
                <w:iCs/>
                <w:i/>
              </w:rPr>
              <w:t xml:space="preserve">kit</w:t>
            </w:r>
            <w:r>
              <w:t xml:space="preserve"> </w:t>
            </w:r>
            <w:r>
              <w:t xml:space="preserve">(Vovin 2000,</w:t>
            </w:r>
            <w:r>
              <w:t xml:space="preserve"> </w:t>
            </w:r>
            <w:r>
              <w:rPr>
                <w:iCs/>
                <w:i/>
              </w:rPr>
              <w:t xml:space="preserve">CAJ</w:t>
            </w:r>
            <w:r>
              <w:t xml:space="preserve"> </w:t>
            </w:r>
            <w:r>
              <w:t xml:space="preserve">44/1, p. 91). This is the only item in the record where a reading from the literature stands with nothing of ours beside it, and it is left that way.</w:t>
            </w:r>
            <w:r>
              <w:t xml:space="preserve"> </w:t>
            </w:r>
            <w:r>
              <w:rPr>
                <w:bCs/>
                <w:b/>
              </w:rPr>
              <w:t xml:space="preserve">Why the vowel count is not used against it.</w:t>
            </w:r>
            <w:r>
              <w:t xml:space="preserve"> </w:t>
            </w:r>
            <w:r>
              <w:t xml:space="preserve">It would tell against</w:t>
            </w:r>
            <w:r>
              <w:t xml:space="preserve"> </w:t>
            </w:r>
            <w:r>
              <w:rPr>
                <w:iCs/>
                <w:i/>
              </w:rPr>
              <w:t xml:space="preserve">*ket</w:t>
            </w:r>
            <w:r>
              <w:t xml:space="preserve">, and this author has an interest in its telling against</w:t>
            </w:r>
            <w:r>
              <w:t xml:space="preserve"> </w:t>
            </w:r>
            <w:r>
              <w:rPr>
                <w:iCs/>
                <w:i/>
              </w:rPr>
              <w:t xml:space="preserve">*ket</w:t>
            </w:r>
            <w:r>
              <w:t xml:space="preserve">. That is the reason to state the two objections above rather than the conclusion, and to leave the row to the reading that has a proposer and a family of cognates behind it.</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[g]ew</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the paper measures the steps it takes for the</w:t>
      </w:r>
      <w:r>
        <w:rPr>
          <w:iCs/>
          <w:i/>
        </w:rPr>
        <w:t xml:space="preserve"> </w:t>
      </w:r>
      <w:r>
        <w:rPr>
          <w:iCs/>
          <w:i/>
        </w:rPr>
        <w:t xml:space="preserve">name but does not present it as a finding</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Twelve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48,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狐鹿姑</w:t>
      </w:r>
      <w:r>
        <w:t xml:space="preserve"> </w:t>
      </w:r>
      <w:r>
        <w:t xml:space="preserve">the reading itself is unchanged, but two objections the entry</w:t>
      </w:r>
      <w:r>
        <w:t xml:space="preserve"> </w:t>
      </w:r>
      <w:r>
        <w:t xml:space="preserve">raised against it are withdrawn: leaving a liquid unwritten before an open character is the</w:t>
      </w:r>
      <w:r>
        <w:t xml:space="preserve"> </w:t>
      </w:r>
      <w:r>
        <w:t xml:space="preserve">majority spelling and not an impossibility, and a written coda reaching forward to the next</w:t>
      </w:r>
      <w:r>
        <w:t xml:space="preserve"> </w:t>
      </w:r>
      <w:r>
        <w:t xml:space="preserve">onset is the commonest use of such a coda. Both had been judged by ear before they were counted. At</w:t>
      </w:r>
      <w:r>
        <w:t xml:space="preserve"> </w:t>
      </w:r>
      <w:r>
        <w:t xml:space="preserve">羯</w:t>
      </w:r>
      <w:r>
        <w:t xml:space="preserve"> </w:t>
      </w:r>
      <w:r>
        <w:t xml:space="preserve">the proposal was withdrawn outright and none put in its place:</w:t>
      </w:r>
      <w:r>
        <w:t xml:space="preserve"> </w:t>
      </w:r>
      <w:r>
        <w:rPr>
          <w:iCs/>
          <w:i/>
        </w:rPr>
        <w:t xml:space="preserve">kıyat</w:t>
      </w:r>
      <w:r>
        <w:t xml:space="preserve"> </w:t>
      </w:r>
      <w:r>
        <w:t xml:space="preserve">is not a headword anywhere and the root it needed means to cut and to break</w:t>
      </w:r>
      <w:r>
        <w:t xml:space="preserve"> </w:t>
      </w:r>
      <w:r>
        <w:t xml:space="preserve">one's word, so the sense offered had no source. That row now leaves the field to the reading</w:t>
      </w:r>
      <w:r>
        <w:t xml:space="preserve"> </w:t>
      </w:r>
      <w:r>
        <w:t xml:space="preserve">in print, and §S1 records why a measurement that would have told against that reading is</w:t>
      </w:r>
      <w:r>
        <w:t xml:space="preserve"> </w:t>
      </w:r>
      <w:r>
        <w:t xml:space="preserve">reported there but not used. At 呼都而尸道皋若鞮 the proposal was withdrawn too, and for measurements rather than for want of a source: a source vowel-initial syllable takes a Chinese glottal onset 137 of 140 and a velar 0 of 140, and both elements of the reading sat on velar characters; no character in the name carries a liquid, where a source l- takes a Chinese l- 262 of 288; and the reading left four of the eight characters carrying nothing, where no pair in the 1,017-pair Sanskrit corpus uses more than one character beyond its source syllables.</w:t>
      </w:r>
      <w:r>
        <w:t xml:space="preserve"> </w:t>
      </w:r>
      <w:r>
        <w:rPr>
          <w:iCs/>
          <w:i/>
        </w:rPr>
        <w:t xml:space="preserve">Uluğ</w:t>
      </w:r>
      <w:r>
        <w:t xml:space="preserve"> </w:t>
      </w:r>
      <w:r>
        <w:t xml:space="preserve">keeps its place at 烏累若鞮, which has a glottal character for the vowel-initial syllable and a liquid character for the</w:t>
      </w:r>
      <w:r>
        <w:t xml:space="preserve"> </w:t>
      </w:r>
      <w:r>
        <w:rPr>
          <w:iCs/>
          <w:i/>
        </w:rPr>
        <w:t xml:space="preserve">-l-</w:t>
      </w:r>
      <w:r>
        <w:t xml:space="preserve">. That is the point of keeping the file: the same word was proposed in two rows, and the transcription, not the sense, said which one could hold it.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2026-09-05T10:40:09Z</dcterms:created>
  <dcterms:modified xsi:type="dcterms:W3CDTF">2026-09-05T10:40:09Z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