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21"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Supplied for the record; not</w:t>
      </w:r>
      <w:r>
        <w:t xml:space="preserve"> </w:t>
      </w:r>
      <w:r>
        <w:t xml:space="preserve">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supplement-is"/>
    <w:p>
      <w:pPr>
        <w:pStyle w:val="Heading2"/>
      </w:pPr>
      <w:r>
        <w:t xml:space="preserve">S1.1</w:t>
      </w:r>
      <w:r>
        <w:t xml:space="preserve"> </w:t>
      </w:r>
      <w:r>
        <w:t xml:space="preserve">What this supplement is</w:t>
      </w:r>
    </w:p>
    <w:p>
      <w:pPr>
        <w:pStyle w:val="FirstParagraph"/>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One</w:t>
      </w:r>
      <w:r>
        <w:t xml:space="preserve"> </w:t>
      </w:r>
      <w:r>
        <w:t xml:space="preserve">carries a comparison taken from the literature rather than made by us, which the paper then tests: 徑路 as</w:t>
      </w:r>
      <w:r>
        <w:t xml:space="preserve"> </w:t>
      </w:r>
      <w:r>
        <w:rPr>
          <w:iCs/>
          <w:i/>
        </w:rPr>
        <w:t xml:space="preserve">Kıngrak</w:t>
      </w:r>
      <w:r>
        <w:t xml:space="preserve"> </w:t>
      </w:r>
      <w:r>
        <w:t xml:space="preserve">(§9.1).</w:t>
      </w:r>
      <w:r>
        <w:t xml:space="preserve"> </w:t>
      </w:r>
      <w:r>
        <w:rPr>
          <w:bCs/>
          <w:b/>
        </w:rPr>
        <w:t xml:space="preserve">One</w:t>
      </w:r>
      <w:r>
        <w:t xml:space="preserve"> </w:t>
      </w:r>
      <w:r>
        <w:t xml:space="preserve">is a compound pointing at its constituent rows. The remaining</w:t>
      </w:r>
      <w:r>
        <w:t xml:space="preserve"> </w:t>
      </w:r>
      <w:r>
        <w:rPr>
          <w:bCs/>
          <w:b/>
        </w:rPr>
        <w:t xml:space="preserve">thirty-seven</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p>
      <w:pPr>
        <w:pStyle w:val="BodyText"/>
      </w:pPr>
      <w:r>
        <w:t xml:space="preserve">A dagger,</w:t>
      </w:r>
      <w:r>
        <w:t xml:space="preserve"> </w:t>
      </w:r>
      <w:r>
        <w:t xml:space="preserve">†</w:t>
      </w:r>
      <w:r>
        <w:t xml:space="preserve">, on a syllable in the tables below marks a</w:t>
      </w:r>
      <w:r>
        <w:t xml:space="preserve"> </w:t>
      </w:r>
      <w:r>
        <w:rPr>
          <w:bCs/>
          <w:b/>
        </w:rPr>
        <w:t xml:space="preserve">polyphonic character</w:t>
      </w:r>
      <w:r>
        <w:t xml:space="preserve">, one for which Schuessler's table gives more than one Later</w:t>
      </w:r>
      <w:r>
        <w:t xml:space="preserve"> </w:t>
      </w:r>
      <w:r>
        <w:t xml:space="preserve">Han reading. The reading printed is the first tabulated one, as in Appendix A of the paper.</w:t>
      </w:r>
      <w:r>
        <w:t xml:space="preserve"> </w:t>
      </w:r>
      <w:r>
        <w:t xml:space="preserve">Table S7 lists every such character with the readings not used, and where an alternative would</w:t>
      </w:r>
      <w:r>
        <w:t xml:space="preserve"> </w:t>
      </w:r>
      <w:r>
        <w:t xml:space="preserve">change a proposed reading the entry for that item says so.</w:t>
      </w:r>
    </w:p>
    <w:bookmarkEnd w:id="20"/>
    <w:bookmarkEnd w:id="21"/>
    <w:bookmarkStart w:id="22"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supplement,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2"/>
    <w:bookmarkStart w:id="23"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3"/>
    <w:bookmarkStart w:id="24"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supplement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supplement.</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supplement can be read as</w:t>
      </w:r>
      <w:r>
        <w:t xml:space="preserve"> </w:t>
      </w:r>
      <w:r>
        <w:t xml:space="preserve">one list with the standard visible in it. The second appears there as an author's proposal,</w:t>
      </w:r>
      <w:r>
        <w:t xml:space="preserve"> </w:t>
      </w:r>
      <w:r>
        <w:t xml:space="preserve">which is what it is.</w:t>
      </w:r>
    </w:p>
    <w:bookmarkEnd w:id="24"/>
    <w:bookmarkStart w:id="25"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supplement,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supplement.</w:t>
      </w:r>
    </w:p>
    <w:bookmarkEnd w:id="25"/>
    <w:bookmarkStart w:id="26"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1,017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10 of 21,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A ninth-century check adds nothing either way, and is recorded so that it is not made twice: Tekin’s glossary to the</w:t>
            </w:r>
            <w:r>
              <w:t xml:space="preserve"> </w:t>
            </w:r>
            <w:r>
              <w:rPr>
                <w:iCs/>
                <w:i/>
              </w:rPr>
              <w:t xml:space="preserve">Irk Bitig</w:t>
            </w:r>
            <w:r>
              <w:t xml:space="preserve"> </w:t>
            </w:r>
            <w:r>
              <w:t xml:space="preserve">has the verb</w:t>
            </w:r>
            <w:r>
              <w:t xml:space="preserve"> </w:t>
            </w:r>
            <w:r>
              <w:rPr>
                <w:iCs/>
                <w:i/>
              </w:rPr>
              <w:t xml:space="preserve">tug-</w:t>
            </w:r>
            <w:r>
              <w:t xml:space="preserve"> </w:t>
            </w:r>
            <w:r>
              <w:t xml:space="preserve">“to rise (of sun)” but not the noun, the text’s word for a flag is</w:t>
            </w:r>
            <w:r>
              <w:t xml:space="preserve"> </w:t>
            </w:r>
            <w:r>
              <w:rPr>
                <w:iCs/>
                <w:i/>
              </w:rPr>
              <w:t xml:space="preserve">uçrug</w:t>
            </w:r>
            <w:r>
              <w:t xml:space="preserve">, and</w:t>
            </w:r>
            <w:r>
              <w:t xml:space="preserve"> </w:t>
            </w:r>
            <w:r>
              <w:rPr>
                <w:iCs/>
                <w:i/>
              </w:rPr>
              <w:t xml:space="preserve">bögü</w:t>
            </w:r>
            <w:r>
              <w:t xml:space="preserve"> </w:t>
            </w:r>
            <w:r>
              <w:t xml:space="preserve">is not in it. That text is sixty-five omens and a few hundred words, so absence from it is not evidence of anything.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Köngen</w:t>
            </w:r>
          </w:p>
        </w:tc>
        <w:tc>
          <w:tcPr/>
          <w:p>
            <w:pPr>
              <w:pStyle w:val="Compact"/>
              <w:jc w:val="left"/>
            </w:pPr>
            <w:r>
              <w:t xml:space="preserve">the one who is always upright</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kön</w:t>
            </w:r>
            <w:r>
              <w:t xml:space="preserve">: three steps, all direct. A source velar written with a Chinese</w:t>
            </w:r>
            <w:r>
              <w:t xml:space="preserve"> </w:t>
            </w:r>
            <w:r>
              <w:rPr>
                <w:iCs/>
                <w:i/>
              </w:rPr>
              <w:t xml:space="preserve">k-</w:t>
            </w:r>
            <w:r>
              <w:t xml:space="preserve"> </w:t>
            </w:r>
            <w:r>
              <w:t xml:space="preserve">is 190 of 220, 86.4%; a source rounded vowel written rounded is 190 of 289, 65.7%; the</w:t>
            </w:r>
            <w:r>
              <w:t xml:space="preserve"> </w:t>
            </w:r>
            <w:r>
              <w:rPr>
                <w:iCs/>
                <w:i/>
              </w:rPr>
              <w:t xml:space="preserve">-n</w:t>
            </w:r>
            <w:r>
              <w:t xml:space="preserve"> </w:t>
            </w:r>
            <w:r>
              <w:t xml:space="preserve">is written, 77 of 93, 82.8%. 臣 →</w:t>
            </w:r>
            <w:r>
              <w:t xml:space="preserve"> </w:t>
            </w:r>
            <w:r>
              <w:rPr>
                <w:iCs/>
                <w:i/>
              </w:rPr>
              <w:t xml:space="preserve">-gen</w:t>
            </w:r>
            <w:r>
              <w:t xml:space="preserve"> </w:t>
            </w:r>
            <w:r>
              <w:t xml:space="preserve">takes the second of the character’s two Later Han readings, the velar</w:t>
            </w:r>
            <w:r>
              <w:t xml:space="preserve"> </w:t>
            </w:r>
            <w:r>
              <w:rPr>
                <w:iCs/>
                <w:i/>
              </w:rPr>
              <w:t xml:space="preserve">gin</w:t>
            </w:r>
            <w:r>
              <w:t xml:space="preserve">, rather than the palatal</w:t>
            </w:r>
            <w:r>
              <w:t xml:space="preserve"> </w:t>
            </w:r>
            <w:r>
              <w:rPr>
                <w:iCs/>
                <w:i/>
              </w:rPr>
              <w:t xml:space="preserve">dźın</w:t>
            </w:r>
            <w:r>
              <w:t xml:space="preserve"> </w:t>
            </w:r>
            <w:r>
              <w:t xml:space="preserve">that Appendix A prints: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52 of 90, 57.8%, and a source front vowel written with a front vowel is 327 of 380, 86.1%.</w:t>
            </w:r>
            <w:r>
              <w:t xml:space="preserve"> </w:t>
            </w:r>
            <w:r>
              <w:rPr>
                <w:bCs/>
                <w:b/>
              </w:rPr>
              <w:t xml:space="preserve">The palatal reading is not available to this name.</w:t>
            </w:r>
            <w:r>
              <w:t xml:space="preserve"> </w:t>
            </w:r>
            <w:r>
              <w:t xml:space="preserve">A source voiceless affricate written with the voiced</w:t>
            </w:r>
            <w:r>
              <w:t xml:space="preserve"> </w:t>
            </w:r>
            <w:r>
              <w:rPr>
                <w:iCs/>
                <w:i/>
              </w:rPr>
              <w:t xml:space="preserve">dź-</w:t>
            </w:r>
            <w:r>
              <w:t xml:space="preserve"> </w:t>
            </w:r>
            <w:r>
              <w:t xml:space="preserve">is 0 of 48 in the Sanskrit corpus, so</w:t>
            </w:r>
            <w:r>
              <w:t xml:space="preserve"> </w:t>
            </w:r>
            <w:r>
              <w:rPr>
                <w:iCs/>
                <w:i/>
              </w:rPr>
              <w:t xml:space="preserve">çin</w:t>
            </w:r>
            <w:r>
              <w:t xml:space="preserve">,</w:t>
            </w:r>
            <w:r>
              <w:t xml:space="preserve"> </w:t>
            </w:r>
            <w:r>
              <w:rPr>
                <w:iCs/>
                <w:i/>
              </w:rPr>
              <w:t xml:space="preserve">çen</w:t>
            </w:r>
            <w:r>
              <w:t xml:space="preserve"> </w:t>
            </w:r>
            <w:r>
              <w:t xml:space="preserve">and</w:t>
            </w:r>
            <w:r>
              <w:t xml:space="preserve"> </w:t>
            </w:r>
            <w:r>
              <w:rPr>
                <w:iCs/>
                <w:i/>
              </w:rPr>
              <w:t xml:space="preserve">çan</w:t>
            </w:r>
            <w:r>
              <w:t xml:space="preserve"> </w:t>
            </w:r>
            <w:r>
              <w:t xml:space="preserve">are excluded outright; the Codex forms that appear to offer an affricate are an artefact of medieval Latin spelling, in which</w:t>
            </w:r>
            <w:r>
              <w:t xml:space="preserve"> </w:t>
            </w:r>
            <w:r>
              <w:rPr>
                <w:iCs/>
                <w:i/>
              </w:rPr>
              <w:t xml:space="preserve">j</w:t>
            </w:r>
            <w:r>
              <w:t xml:space="preserve"> </w:t>
            </w:r>
            <w:r>
              <w:t xml:space="preserve">writes Turkic</w:t>
            </w:r>
            <w:r>
              <w:t xml:space="preserve"> </w:t>
            </w:r>
            <w:r>
              <w:rPr>
                <w:iCs/>
                <w:i/>
              </w:rPr>
              <w:t xml:space="preserve">y-</w:t>
            </w:r>
            <w:r>
              <w:t xml:space="preserve"> </w:t>
            </w:r>
            <w:r>
              <w:t xml:space="preserve">and</w:t>
            </w:r>
            <w:r>
              <w:t xml:space="preserve"> </w:t>
            </w:r>
            <w:r>
              <w:rPr>
                <w:iCs/>
                <w:i/>
              </w:rPr>
              <w:t xml:space="preserve">c</w:t>
            </w:r>
            <w:r>
              <w:t xml:space="preserve"> </w:t>
            </w:r>
            <w:r>
              <w:t xml:space="preserve">before a back vowel writes</w:t>
            </w:r>
            <w:r>
              <w:t xml:space="preserve"> </w:t>
            </w:r>
            <w:r>
              <w:rPr>
                <w:iCs/>
                <w:i/>
              </w:rPr>
              <w:t xml:space="preserve">k-</w:t>
            </w:r>
            <w:r>
              <w:t xml:space="preserve">. Step 47 prices every combination the two characters permit, and</w:t>
            </w:r>
            <w:r>
              <w:t xml:space="preserve"> </w:t>
            </w:r>
            <w:r>
              <w:rPr>
                <w:iCs/>
                <w:i/>
              </w:rPr>
              <w:t xml:space="preserve">köngen</w:t>
            </w:r>
            <w:r>
              <w:t xml:space="preserve"> </w:t>
            </w:r>
            <w:r>
              <w:t xml:space="preserve">is the cheapest at 19.4%, about 1 in 5, against 1 in 9 for the best branch of 冒頓 and the 1 in 37 that retires</w:t>
            </w:r>
            <w:r>
              <w:t xml:space="preserve"> </w:t>
            </w:r>
            <w:r>
              <w:rPr>
                <w:iCs/>
                <w:i/>
              </w:rPr>
              <w:t xml:space="preserve">Baγatur</w:t>
            </w:r>
            <w:r>
              <w:t xml:space="preserve"> </w:t>
            </w:r>
            <w:r>
              <w:t xml:space="preserve">in §8.1 of the paper. Two syllables, two characters, nothing inserted and nothing discarded.</w:t>
            </w:r>
            <w:r>
              <w:br/>
            </w:r>
            <w:r>
              <w:t xml:space="preserve">Reason</w:t>
            </w:r>
            <w:r>
              <w:rPr>
                <w:bCs/>
                <w:b/>
              </w:rPr>
              <w:t xml:space="preserve">Köngen, “the one who is always upright”.</w:t>
            </w:r>
            <w:r>
              <w:t xml:space="preserve"> </w:t>
            </w:r>
            <w:r>
              <w:t xml:space="preserve">The stem is the verb</w:t>
            </w:r>
            <w:r>
              <w:t xml:space="preserve"> </w:t>
            </w:r>
            <w:r>
              <w:rPr>
                <w:iCs/>
                <w:i/>
              </w:rPr>
              <w:t xml:space="preserve">kön-</w:t>
            </w:r>
            <w:r>
              <w:t xml:space="preserve">, which Kāşgarî glosses</w:t>
            </w:r>
            <w:r>
              <w:t xml:space="preserve"> </w:t>
            </w:r>
            <w:r>
              <w:rPr>
                <w:iCs/>
                <w:i/>
              </w:rPr>
              <w:t xml:space="preserve">düzelmek, doğrulmak; yola gelmek</w:t>
            </w:r>
            <w:r>
              <w:t xml:space="preserve">, to straighten, to become upright, to come to the right way, and which carries a family around it:</w:t>
            </w:r>
            <w:r>
              <w:t xml:space="preserve"> </w:t>
            </w:r>
            <w:r>
              <w:rPr>
                <w:iCs/>
                <w:i/>
              </w:rPr>
              <w:t xml:space="preserve">könitmek</w:t>
            </w:r>
            <w:r>
              <w:t xml:space="preserve">,</w:t>
            </w:r>
            <w:r>
              <w:t xml:space="preserve"> </w:t>
            </w:r>
            <w:r>
              <w:rPr>
                <w:iCs/>
                <w:i/>
              </w:rPr>
              <w:t xml:space="preserve">köndgermek</w:t>
            </w:r>
            <w:r>
              <w:t xml:space="preserve"> </w:t>
            </w:r>
            <w:r>
              <w:t xml:space="preserve">and</w:t>
            </w:r>
            <w:r>
              <w:t xml:space="preserve"> </w:t>
            </w:r>
            <w:r>
              <w:rPr>
                <w:iCs/>
                <w:i/>
              </w:rPr>
              <w:t xml:space="preserve">köndgürmek</w:t>
            </w:r>
            <w:r>
              <w:t xml:space="preserve">, all</w:t>
            </w:r>
            <w:r>
              <w:t xml:space="preserve"> </w:t>
            </w:r>
            <w:r>
              <w:rPr>
                <w:iCs/>
                <w:i/>
              </w:rPr>
              <w:t xml:space="preserve">doğrultmak</w:t>
            </w:r>
            <w:r>
              <w:t xml:space="preserve">. The suffix is</w:t>
            </w:r>
            <w:r>
              <w:t xml:space="preserve"> </w:t>
            </w:r>
            <w:r>
              <w:rPr>
                <w:iCs/>
                <w:i/>
              </w:rPr>
              <w:t xml:space="preserve">-gAn</w:t>
            </w:r>
            <w:r>
              <w:t xml:space="preserve">, the deverbal participle with a habitual force.</w:t>
            </w:r>
            <w:r>
              <w:t xml:space="preserve"> </w:t>
            </w:r>
            <w:r>
              <w:rPr>
                <w:bCs/>
                <w:b/>
              </w:rPr>
              <w:t xml:space="preserve">The suffix is counted here, not assumed.</w:t>
            </w:r>
            <w:r>
              <w:t xml:space="preserve"> </w:t>
            </w:r>
            <w:r>
              <w:t xml:space="preserve">Across the 9,379 headwords of the Kāşgarî index, the Codex Cumanicus and Tekin’s glossary to the</w:t>
            </w:r>
            <w:r>
              <w:t xml:space="preserve"> </w:t>
            </w:r>
            <w:r>
              <w:rPr>
                <w:iCs/>
                <w:i/>
              </w:rPr>
              <w:t xml:space="preserve">Irk Bitig</w:t>
            </w:r>
            <w:r>
              <w:t xml:space="preserve">,</w:t>
            </w:r>
            <w:r>
              <w:t xml:space="preserve"> </w:t>
            </w:r>
            <w:r>
              <w:rPr>
                <w:iCs/>
                <w:i/>
              </w:rPr>
              <w:t xml:space="preserve">-gAn</w:t>
            </w:r>
            <w:r>
              <w:t xml:space="preserve"> </w:t>
            </w:r>
            <w:r>
              <w:t xml:space="preserve">has 211 headwords and 109 of them are glossed with</w:t>
            </w:r>
            <w:r>
              <w:t xml:space="preserve"> </w:t>
            </w:r>
            <w:r>
              <w:rPr>
                <w:iCs/>
                <w:i/>
              </w:rPr>
              <w:t xml:space="preserve">daima</w:t>
            </w:r>
            <w:r>
              <w:t xml:space="preserve">,</w:t>
            </w:r>
            <w:r>
              <w:t xml:space="preserve"> </w:t>
            </w:r>
            <w:r>
              <w:rPr>
                <w:iCs/>
                <w:i/>
              </w:rPr>
              <w:t xml:space="preserve">her zaman</w:t>
            </w:r>
            <w:r>
              <w:t xml:space="preserve"> </w:t>
            </w:r>
            <w:r>
              <w:t xml:space="preserve">or</w:t>
            </w:r>
            <w:r>
              <w:t xml:space="preserve"> </w:t>
            </w:r>
            <w:r>
              <w:rPr>
                <w:iCs/>
                <w:i/>
              </w:rPr>
              <w:t xml:space="preserve">çok</w:t>
            </w:r>
            <w:r>
              <w:t xml:space="preserve">:</w:t>
            </w:r>
            <w:r>
              <w:t xml:space="preserve"> </w:t>
            </w:r>
            <w:r>
              <w:rPr>
                <w:iCs/>
                <w:i/>
              </w:rPr>
              <w:t xml:space="preserve">arıtgan</w:t>
            </w:r>
            <w:r>
              <w:t xml:space="preserve"> </w:t>
            </w:r>
            <w:r>
              <w:t xml:space="preserve">“her zaman temizleyen”,</w:t>
            </w:r>
            <w:r>
              <w:t xml:space="preserve"> </w:t>
            </w:r>
            <w:r>
              <w:rPr>
                <w:iCs/>
                <w:i/>
              </w:rPr>
              <w:t xml:space="preserve">egilgen</w:t>
            </w:r>
            <w:r>
              <w:t xml:space="preserve"> </w:t>
            </w:r>
            <w:r>
              <w:t xml:space="preserve">“daima eğilen”,</w:t>
            </w:r>
            <w:r>
              <w:t xml:space="preserve"> </w:t>
            </w:r>
            <w:r>
              <w:rPr>
                <w:iCs/>
                <w:i/>
              </w:rPr>
              <w:t xml:space="preserve">etilgen</w:t>
            </w:r>
            <w:r>
              <w:t xml:space="preserve"> </w:t>
            </w:r>
            <w:r>
              <w:t xml:space="preserve">“her zaman düzelen”, which is the near sibling of the form proposed here. The competing suffixes</w:t>
            </w:r>
            <w:r>
              <w:t xml:space="preserve"> </w:t>
            </w:r>
            <w:r>
              <w:rPr>
                <w:iCs/>
                <w:i/>
              </w:rPr>
              <w:t xml:space="preserve">-gUn</w:t>
            </w:r>
            <w:r>
              <w:t xml:space="preserve"> </w:t>
            </w:r>
            <w:r>
              <w:t xml:space="preserve">and</w:t>
            </w:r>
            <w:r>
              <w:t xml:space="preserve"> </w:t>
            </w:r>
            <w:r>
              <w:rPr>
                <w:iCs/>
                <w:i/>
              </w:rPr>
              <w:t xml:space="preserve">-gIn</w:t>
            </w:r>
            <w:r>
              <w:t xml:space="preserve"> </w:t>
            </w:r>
            <w:r>
              <w:t xml:space="preserve">have 72 headwords between them and not one habitual gloss: they are concrete nouns, birds and plants and body parts, a knot, a bridle. In the eleventh-century record</w:t>
            </w:r>
            <w:r>
              <w:t xml:space="preserve"> </w:t>
            </w:r>
            <w:r>
              <w:rPr>
                <w:iCs/>
                <w:i/>
              </w:rPr>
              <w:t xml:space="preserve">-gAn</w:t>
            </w:r>
            <w:r>
              <w:t xml:space="preserve"> </w:t>
            </w:r>
            <w:r>
              <w:t xml:space="preserve">is the productive participle and</w:t>
            </w:r>
            <w:r>
              <w:t xml:space="preserve"> </w:t>
            </w:r>
            <w:r>
              <w:rPr>
                <w:iCs/>
                <w:i/>
              </w:rPr>
              <w:t xml:space="preserve">-gUn</w:t>
            </w:r>
            <w:r>
              <w:t xml:space="preserve"> </w:t>
            </w:r>
            <w:r>
              <w:t xml:space="preserve">is not. The modern</w:t>
            </w:r>
            <w:r>
              <w:t xml:space="preserve"> </w:t>
            </w:r>
            <w:r>
              <w:rPr>
                <w:iCs/>
                <w:i/>
              </w:rPr>
              <w:t xml:space="preserve">durgun</w:t>
            </w:r>
            <w:r>
              <w:t xml:space="preserve">,</w:t>
            </w:r>
            <w:r>
              <w:t xml:space="preserve"> </w:t>
            </w:r>
            <w:r>
              <w:rPr>
                <w:iCs/>
                <w:i/>
              </w:rPr>
              <w:t xml:space="preserve">coşkun</w:t>
            </w:r>
            <w:r>
              <w:t xml:space="preserve"> </w:t>
            </w:r>
            <w:r>
              <w:t xml:space="preserve">and</w:t>
            </w:r>
            <w:r>
              <w:t xml:space="preserve"> </w:t>
            </w:r>
            <w:r>
              <w:rPr>
                <w:iCs/>
                <w:i/>
              </w:rPr>
              <w:t xml:space="preserve">ötgün</w:t>
            </w:r>
            <w:r>
              <w:t xml:space="preserve"> </w:t>
            </w:r>
            <w:r>
              <w:t xml:space="preserve">belong to a later productivity of</w:t>
            </w:r>
            <w:r>
              <w:t xml:space="preserve"> </w:t>
            </w:r>
            <w:r>
              <w:rPr>
                <w:iCs/>
                <w:i/>
              </w:rPr>
              <w:t xml:space="preserve">-gUn</w:t>
            </w:r>
            <w:r>
              <w:t xml:space="preserve"> </w:t>
            </w:r>
            <w:r>
              <w:t xml:space="preserve">and are not evidence for this period.</w:t>
            </w:r>
            <w:r>
              <w:t xml:space="preserve"> </w:t>
            </w:r>
            <w:r>
              <w:rPr>
                <w:bCs/>
                <w:b/>
              </w:rPr>
              <w:t xml:space="preserve">Vowel harmony decides a tie the transcription cannot.</w:t>
            </w:r>
            <w:r>
              <w:t xml:space="preserve"> </w:t>
            </w:r>
            <w:r>
              <w:rPr>
                <w:iCs/>
                <w:i/>
              </w:rPr>
              <w:t xml:space="preserve">Köngin</w:t>
            </w:r>
            <w:r>
              <w:t xml:space="preserve"> </w:t>
            </w:r>
            <w:r>
              <w:t xml:space="preserve">costs exactly what</w:t>
            </w:r>
            <w:r>
              <w:t xml:space="preserve"> </w:t>
            </w:r>
            <w:r>
              <w:rPr>
                <w:iCs/>
                <w:i/>
              </w:rPr>
              <w:t xml:space="preserve">köngen</w:t>
            </w:r>
            <w:r>
              <w:t xml:space="preserve"> </w:t>
            </w:r>
            <w:r>
              <w:t xml:space="preserve">costs, 1 in 5, because 臣 carries a front vowel either way. But</w:t>
            </w:r>
            <w:r>
              <w:t xml:space="preserve"> </w:t>
            </w:r>
            <w:r>
              <w:rPr>
                <w:iCs/>
                <w:i/>
              </w:rPr>
              <w:t xml:space="preserve">-gAn</w:t>
            </w:r>
            <w:r>
              <w:t xml:space="preserve"> </w:t>
            </w:r>
            <w:r>
              <w:t xml:space="preserve">has two shapes while</w:t>
            </w:r>
            <w:r>
              <w:t xml:space="preserve"> </w:t>
            </w:r>
            <w:r>
              <w:rPr>
                <w:iCs/>
                <w:i/>
              </w:rPr>
              <w:t xml:space="preserve">-gIn</w:t>
            </w:r>
            <w:r>
              <w:t xml:space="preserve"> </w:t>
            </w:r>
            <w:r>
              <w:t xml:space="preserve">and</w:t>
            </w:r>
            <w:r>
              <w:t xml:space="preserve"> </w:t>
            </w:r>
            <w:r>
              <w:rPr>
                <w:iCs/>
                <w:i/>
              </w:rPr>
              <w:t xml:space="preserve">-gUn</w:t>
            </w:r>
            <w:r>
              <w:t xml:space="preserve"> </w:t>
            </w:r>
            <w:r>
              <w:t xml:space="preserve">have four, so a front rounded stem such as</w:t>
            </w:r>
            <w:r>
              <w:t xml:space="preserve"> </w:t>
            </w:r>
            <w:r>
              <w:rPr>
                <w:iCs/>
                <w:i/>
              </w:rPr>
              <w:t xml:space="preserve">kön-</w:t>
            </w:r>
            <w:r>
              <w:t xml:space="preserve"> </w:t>
            </w:r>
            <w:r>
              <w:t xml:space="preserve">must take</w:t>
            </w:r>
            <w:r>
              <w:t xml:space="preserve"> </w:t>
            </w:r>
            <w:r>
              <w:rPr>
                <w:iCs/>
                <w:i/>
              </w:rPr>
              <w:t xml:space="preserve">-gün</w:t>
            </w:r>
            <w:r>
              <w:t xml:space="preserve"> </w:t>
            </w:r>
            <w:r>
              <w:t xml:space="preserve">and cannot take</w:t>
            </w:r>
            <w:r>
              <w:t xml:space="preserve"> </w:t>
            </w:r>
            <w:r>
              <w:rPr>
                <w:iCs/>
                <w:i/>
              </w:rPr>
              <w:t xml:space="preserve">-gin</w:t>
            </w:r>
            <w:r>
              <w:t xml:space="preserve">. The Turkic evidence removes a candidate that the Chinese evidence cannot.</w:t>
            </w:r>
            <w:r>
              <w:t xml:space="preserve"> </w:t>
            </w:r>
            <w:r>
              <w:rPr>
                <w:bCs/>
                <w:b/>
              </w:rPr>
              <w:t xml:space="preserve">What is not settled.</w:t>
            </w:r>
            <w:r>
              <w:t xml:space="preserve"> </w:t>
            </w:r>
            <w:r>
              <w:rPr>
                <w:iCs/>
                <w:i/>
              </w:rPr>
              <w:t xml:space="preserve">Köngen</w:t>
            </w:r>
            <w:r>
              <w:t xml:space="preserve"> </w:t>
            </w:r>
            <w:r>
              <w:t xml:space="preserve">is not itself an attested headword. It is a formation by a productive rule from an attested stem, which is a stronger position than a form requiring a segment that must afterwards be lost, but it is not an attestation. The lexicons are eleventh century and the name is second century BCE, so that</w:t>
            </w:r>
            <w:r>
              <w:t xml:space="preserve"> </w:t>
            </w:r>
            <w:r>
              <w:rPr>
                <w:iCs/>
                <w:i/>
              </w:rPr>
              <w:t xml:space="preserve">-gAn</w:t>
            </w:r>
            <w:r>
              <w:t xml:space="preserve"> </w:t>
            </w:r>
            <w:r>
              <w:t xml:space="preserve">was productive for Kāşgarî does not establish it 1250 years earlier. Whether</w:t>
            </w:r>
            <w:r>
              <w:t xml:space="preserve"> </w:t>
            </w:r>
            <w:r>
              <w:rPr>
                <w:iCs/>
                <w:i/>
              </w:rPr>
              <w:t xml:space="preserve">-gAn</w:t>
            </w:r>
            <w:r>
              <w:t xml:space="preserve"> </w:t>
            </w:r>
            <w:r>
              <w:t xml:space="preserve">formations were used as personal names or titles in Old Turkic is not tested here. The</w:t>
            </w:r>
            <w:r>
              <w:t xml:space="preserve"> </w:t>
            </w:r>
            <w:r>
              <w:rPr>
                <w:iCs/>
                <w:i/>
              </w:rPr>
              <w:t xml:space="preserve">g</w:t>
            </w:r>
            <w:r>
              <w:t xml:space="preserve"> </w:t>
            </w:r>
            <w:r>
              <w:t xml:space="preserve">to</w:t>
            </w:r>
            <w:r>
              <w:t xml:space="preserve"> </w:t>
            </w:r>
            <w:r>
              <w:rPr>
                <w:iCs/>
                <w:i/>
              </w:rPr>
              <w:t xml:space="preserve">g</w:t>
            </w:r>
            <w:r>
              <w:t xml:space="preserve"> </w:t>
            </w:r>
            <w:r>
              <w:t xml:space="preserve">rate is measured over all positions, and whether a</w:t>
            </w:r>
            <w:r>
              <w:t xml:space="preserve"> </w:t>
            </w:r>
            <w:r>
              <w:rPr>
                <w:iCs/>
                <w:i/>
              </w:rPr>
              <w:t xml:space="preserve">g</w:t>
            </w:r>
            <w:r>
              <w:t xml:space="preserve"> </w:t>
            </w:r>
            <w:r>
              <w:t xml:space="preserve">after a nasal behaves the same has not been measured. And the first element is undetermined:</w:t>
            </w:r>
            <w:r>
              <w:t xml:space="preserve"> </w:t>
            </w:r>
            <w:r>
              <w:rPr>
                <w:iCs/>
                <w:i/>
              </w:rPr>
              <w:t xml:space="preserve">kön</w:t>
            </w:r>
            <w:r>
              <w:t xml:space="preserve">,</w:t>
            </w:r>
            <w:r>
              <w:t xml:space="preserve"> </w:t>
            </w:r>
            <w:r>
              <w:rPr>
                <w:iCs/>
                <w:i/>
              </w:rPr>
              <w:t xml:space="preserve">kün</w:t>
            </w:r>
            <w:r>
              <w:t xml:space="preserve">,</w:t>
            </w:r>
            <w:r>
              <w:t xml:space="preserve"> </w:t>
            </w:r>
            <w:r>
              <w:rPr>
                <w:iCs/>
                <w:i/>
              </w:rPr>
              <w:t xml:space="preserve">kon</w:t>
            </w:r>
            <w:r>
              <w:t xml:space="preserve"> </w:t>
            </w:r>
            <w:r>
              <w:t xml:space="preserve">and</w:t>
            </w:r>
            <w:r>
              <w:t xml:space="preserve"> </w:t>
            </w:r>
            <w:r>
              <w:rPr>
                <w:iCs/>
                <w:i/>
              </w:rPr>
              <w:t xml:space="preserve">kun</w:t>
            </w:r>
            <w:r>
              <w:t xml:space="preserve"> </w:t>
            </w:r>
            <w:r>
              <w:t xml:space="preserve">all cost the same 47.0%, so choosing</w:t>
            </w:r>
            <w:r>
              <w:t xml:space="preserve"> </w:t>
            </w:r>
            <w:r>
              <w:rPr>
                <w:iCs/>
                <w:i/>
              </w:rPr>
              <w:t xml:space="preserve">kön-</w:t>
            </w:r>
            <w:r>
              <w:t xml:space="preserve"> </w:t>
            </w:r>
            <w:r>
              <w:t xml:space="preserve">is a choice made on meaning, which is the first of the three reasoning habits this supplement lists against itself.</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A stem of shining or dazzling. The solar reading this once echoed at 軍臣 has been withdrawn, so it stands alone.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encloser, the binder</w:t>
            </w:r>
          </w:p>
        </w:tc>
      </w:tr>
      <w:tr>
        <w:tc>
          <w:tcPr>
            <w:gridSpan w:val="5"/>
          </w:tcPr>
          <w:p>
            <w:pPr>
              <w:pStyle w:val="Compact"/>
              <w:jc w:val="left"/>
            </w:pPr>
            <w:r>
              <w:t xml:space="preserve">Phonetics</w:t>
            </w:r>
            <w:r>
              <w:t xml:space="preserve">姑</w:t>
            </w:r>
            <w:r>
              <w:t xml:space="preserve"> </w:t>
            </w:r>
            <w:r>
              <w:rPr>
                <w:iCs/>
                <w:i/>
              </w:rPr>
              <w:t xml:space="preserve">kɑ</w:t>
            </w:r>
            <w:r>
              <w:t xml:space="preserve"> </w:t>
            </w:r>
            <w:r>
              <w:t xml:space="preserve">→</w:t>
            </w:r>
            <w:r>
              <w:t xml:space="preserve"> </w:t>
            </w:r>
            <w:r>
              <w:rPr>
                <w:iCs/>
                <w:i/>
              </w:rPr>
              <w:t xml:space="preserve">ga</w:t>
            </w:r>
            <w:r>
              <w:t xml:space="preserve"> </w:t>
            </w:r>
            <w:r>
              <w:t xml:space="preserve">is well supported by the velar correspondence. The other two syllables are not: 狐</w:t>
            </w:r>
            <w:r>
              <w:t xml:space="preserve"> </w:t>
            </w:r>
            <w:r>
              <w:rPr>
                <w:iCs/>
                <w:i/>
              </w:rPr>
              <w:t xml:space="preserve">ɣuɑ</w:t>
            </w:r>
            <w:r>
              <w:t xml:space="preserve"> </w:t>
            </w:r>
            <w:r>
              <w:t xml:space="preserve">→</w:t>
            </w:r>
            <w:r>
              <w:t xml:space="preserve"> </w:t>
            </w:r>
            <w:r>
              <w:rPr>
                <w:iCs/>
                <w:i/>
              </w:rPr>
              <w:t xml:space="preserve">kur</w:t>
            </w:r>
            <w:r>
              <w:t xml:space="preserve"> </w:t>
            </w:r>
            <w:r>
              <w:t xml:space="preserve">supplies an -r that Later Han has no coda slot for, and 鹿</w:t>
            </w:r>
            <w:r>
              <w:t xml:space="preserve"> </w:t>
            </w:r>
            <w:r>
              <w:rPr>
                <w:iCs/>
                <w:i/>
              </w:rPr>
              <w:t xml:space="preserve">lok</w:t>
            </w:r>
            <w:r>
              <w:t xml:space="preserve"> </w:t>
            </w:r>
            <w:r>
              <w:t xml:space="preserve">→</w:t>
            </w:r>
            <w:r>
              <w:t xml:space="preserve"> </w:t>
            </w:r>
            <w:r>
              <w:rPr>
                <w:iCs/>
                <w:i/>
              </w:rPr>
              <w:t xml:space="preserve">lu</w:t>
            </w:r>
            <w:r>
              <w:t xml:space="preserve"> </w:t>
            </w:r>
            <w:r>
              <w:t xml:space="preserve">discards a coda that was written. Adding an unwritable segment and dropping a written one in the same word pulls in opposite directions.</w:t>
            </w:r>
            <w:r>
              <w:br/>
            </w:r>
            <w:r>
              <w:t xml:space="preserve">Reason</w:t>
            </w:r>
            <w:r>
              <w:t xml:space="preserve">狐鹿姑 captured the Han general Li Guangli and held the confederation together through a hard decade, so an epithet of binding fits the record. Compare the Göktürk ruler Kapgan Kagan,</w:t>
            </w:r>
            <w:r>
              <w:t xml:space="preserve"> </w:t>
            </w:r>
            <w:r>
              <w:rPr>
                <w:iCs/>
                <w:i/>
              </w:rPr>
              <w:t xml:space="preserve">kapgan</w:t>
            </w:r>
            <w:r>
              <w:t xml:space="preserve"> </w:t>
            </w:r>
            <w:r>
              <w:t xml:space="preserve">“the encloser”.</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an h/k substitution, which the Mongolian corpus supports strongly (a source k or q was written with an h- character 27% of the time).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the strongest single correspondence in the record.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6"/>
    <w:bookmarkStart w:id="27"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supplement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t>
            </w:r>
            <w:r>
              <w:t xml:space="preserve">“grey-eyed”, and</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Tunga İnakt</w:t>
            </w:r>
          </w:p>
        </w:tc>
        <w:tc>
          <w:tcPr/>
          <w:p>
            <w:pPr>
              <w:pStyle w:val="Compact"/>
              <w:jc w:val="left"/>
            </w:pPr>
            <w:r>
              <w:t xml:space="preserve">the tiger, or the hero,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to</w:t>
            </w:r>
            <w:r>
              <w:t xml:space="preserve">: the first of the character’s two tabulated readings, no polyphony argument needed. A source</w:t>
            </w:r>
            <w:r>
              <w:t xml:space="preserve"> </w:t>
            </w:r>
            <w:r>
              <w:rPr>
                <w:iCs/>
                <w:i/>
              </w:rPr>
              <w:t xml:space="preserve">t</w:t>
            </w:r>
            <w:r>
              <w:t xml:space="preserve"> </w:t>
            </w:r>
            <w:r>
              <w:t xml:space="preserve">written with the aspirated</w:t>
            </w:r>
            <w:r>
              <w:t xml:space="preserve"> </w:t>
            </w:r>
            <w:r>
              <w:rPr>
                <w:iCs/>
                <w:i/>
              </w:rPr>
              <w:t xml:space="preserve">tśʰ-</w:t>
            </w:r>
            <w:r>
              <w:t xml:space="preserve"> </w:t>
            </w:r>
            <w:r>
              <w:t xml:space="preserve">is 67 of 198, 33.8%; the character is open, so any source coda would be unwritten; the vowel is free, a source</w:t>
            </w:r>
            <w:r>
              <w:t xml:space="preserve"> </w:t>
            </w:r>
            <w:r>
              <w:rPr>
                <w:iCs/>
                <w:i/>
              </w:rPr>
              <w:t xml:space="preserve">o</w:t>
            </w:r>
            <w:r>
              <w:t xml:space="preserve"> </w:t>
            </w:r>
            <w:r>
              <w:t xml:space="preserve">written with an open vowel being 86 of 289, 29.8%. 牙</w:t>
            </w:r>
            <w:r>
              <w:t xml:space="preserve"> </w:t>
            </w:r>
            <w:r>
              <w:rPr>
                <w:iCs/>
                <w:i/>
              </w:rPr>
              <w:t xml:space="preserve">ŋa</w:t>
            </w:r>
            <w:r>
              <w:t xml:space="preserve"> </w:t>
            </w:r>
            <w:r>
              <w:t xml:space="preserve">→</w:t>
            </w:r>
            <w:r>
              <w:t xml:space="preserve"> </w:t>
            </w:r>
            <w:r>
              <w:rPr>
                <w:iCs/>
                <w:i/>
              </w:rPr>
              <w:t xml:space="preserve">-ŋa</w:t>
            </w:r>
            <w:r>
              <w:t xml:space="preserve">: a source syllable beginning with a velar nasal takes a Chinese</w:t>
            </w:r>
            <w:r>
              <w:t xml:space="preserve"> </w:t>
            </w:r>
            <w:r>
              <w:rPr>
                <w:iCs/>
                <w:i/>
              </w:rPr>
              <w:t xml:space="preserve">ŋ-</w:t>
            </w:r>
            <w:r>
              <w:t xml:space="preserve"> </w:t>
            </w:r>
            <w:r>
              <w:t xml:space="preserve">character 5 times in 7, and the one intervocalic case is 丁彦多 for</w:t>
            </w:r>
            <w:r>
              <w:t xml:space="preserve"> </w:t>
            </w:r>
            <w:r>
              <w:rPr>
                <w:iCs/>
                <w:i/>
              </w:rPr>
              <w:t xml:space="preserve">tiṅanta</w:t>
            </w:r>
            <w:r>
              <w:t xml:space="preserve">, where 彦 carries the</w:t>
            </w:r>
            <w:r>
              <w:t xml:space="preserve"> </w:t>
            </w:r>
            <w:r>
              <w:rPr>
                <w:iCs/>
                <w:i/>
              </w:rPr>
              <w:t xml:space="preserve">-ṅan-</w:t>
            </w:r>
            <w:r>
              <w:t xml:space="preserve">; a source</w:t>
            </w:r>
            <w:r>
              <w:t xml:space="preserve"> </w:t>
            </w:r>
            <w:r>
              <w:rPr>
                <w:iCs/>
                <w:i/>
              </w:rPr>
              <w:t xml:space="preserve">a</w:t>
            </w:r>
            <w:r>
              <w:t xml:space="preserve"> </w:t>
            </w:r>
            <w:r>
              <w:t xml:space="preserve">written with an open vowel is 1045 of 1509, 69.3%. The whole name costs 4.98%, about 1 in 20, against the 1 in 37 that retires</w:t>
            </w:r>
            <w:r>
              <w:t xml:space="preserve"> </w:t>
            </w:r>
            <w:r>
              <w:rPr>
                <w:iCs/>
                <w:i/>
              </w:rPr>
              <w:t xml:space="preserve">Baγatur</w:t>
            </w:r>
            <w:r>
              <w:t xml:space="preserve"> </w:t>
            </w:r>
            <w:r>
              <w:t xml:space="preserve">in §8.1 of the paper. Step 48 prices every form the two characters permit.</w:t>
            </w:r>
            <w:r>
              <w:t xml:space="preserve"> </w:t>
            </w:r>
            <w:r>
              <w:rPr>
                <w:bCs/>
                <w:b/>
              </w:rPr>
              <w:t xml:space="preserve">The reading this replaces is excluded twice over.</w:t>
            </w:r>
            <w:r>
              <w:t xml:space="preserve"> </w:t>
            </w:r>
            <w:r>
              <w:rPr>
                <w:iCs/>
                <w:i/>
              </w:rPr>
              <w:t xml:space="preserve">Ok</w:t>
            </w:r>
            <w:r>
              <w:t xml:space="preserve"> </w:t>
            </w:r>
            <w:r>
              <w:t xml:space="preserve">required 牙 to write a vowel-initial syllable, which is 0 of 140 in the Sanskrit corpus, 137 of the 140 taking a glottal; and</w:t>
            </w:r>
            <w:r>
              <w:t xml:space="preserve"> </w:t>
            </w:r>
            <w:r>
              <w:rPr>
                <w:iCs/>
                <w:i/>
              </w:rPr>
              <w:t xml:space="preserve">çöge</w:t>
            </w:r>
            <w:r>
              <w:t xml:space="preserve"> </w:t>
            </w:r>
            <w:r>
              <w:t xml:space="preserve">required a source affricate written with the aspirated</w:t>
            </w:r>
            <w:r>
              <w:t xml:space="preserve"> </w:t>
            </w:r>
            <w:r>
              <w:rPr>
                <w:iCs/>
                <w:i/>
              </w:rPr>
              <w:t xml:space="preserve">tśʰ-</w:t>
            </w:r>
            <w:r>
              <w:t xml:space="preserve">, which is 1 of 54, where the vehicle for a source affricate is the plain</w:t>
            </w:r>
            <w:r>
              <w:t xml:space="preserve"> </w:t>
            </w:r>
            <w:r>
              <w:rPr>
                <w:iCs/>
                <w:i/>
              </w:rPr>
              <w:t xml:space="preserve">tś-</w:t>
            </w:r>
            <w:r>
              <w:t xml:space="preserve"> </w:t>
            </w:r>
            <w:r>
              <w:t xml:space="preserve">at 32 of 48. It also added a syllable the character does not carry.</w:t>
            </w:r>
            <w:r>
              <w:t xml:space="preserve"> </w:t>
            </w:r>
            <w:r>
              <w:rPr>
                <w:bCs/>
                <w:b/>
              </w:rPr>
              <w:t xml:space="preserve">On the spelling.</w:t>
            </w:r>
            <w:r>
              <w:t xml:space="preserve"> </w:t>
            </w:r>
            <w:r>
              <w:t xml:space="preserve">The</w:t>
            </w:r>
            <w:r>
              <w:t xml:space="preserve"> </w:t>
            </w:r>
            <w:r>
              <w:rPr>
                <w:iCs/>
                <w:i/>
              </w:rPr>
              <w:t xml:space="preserve">-ng-</w:t>
            </w:r>
            <w:r>
              <w:t xml:space="preserve"> </w:t>
            </w:r>
            <w:r>
              <w:t xml:space="preserve">of Turkish</w:t>
            </w:r>
            <w:r>
              <w:t xml:space="preserve"> </w:t>
            </w:r>
            <w:r>
              <w:rPr>
                <w:iCs/>
                <w:i/>
              </w:rPr>
              <w:t xml:space="preserve">Tunga</w:t>
            </w:r>
            <w:r>
              <w:t xml:space="preserve"> </w:t>
            </w:r>
            <w:r>
              <w:t xml:space="preserve">renders a single velar nasal, not a nasal followed by a stop. That is why these two characters write the word and 當戶 cannot: a written</w:t>
            </w:r>
            <w:r>
              <w:t xml:space="preserve"> </w:t>
            </w:r>
            <w:r>
              <w:rPr>
                <w:iCs/>
                <w:i/>
              </w:rPr>
              <w:t xml:space="preserve">-ŋ</w:t>
            </w:r>
            <w:r>
              <w:t xml:space="preserve"> </w:t>
            </w:r>
            <w:r>
              <w:t xml:space="preserve">coda followed by a velar onset is the corpus device for a source</w:t>
            </w:r>
            <w:r>
              <w:t xml:space="preserve"> </w:t>
            </w:r>
            <w:r>
              <w:rPr>
                <w:iCs/>
                <w:i/>
              </w:rPr>
              <w:t xml:space="preserve">ŋg</w:t>
            </w:r>
            <w:r>
              <w:t xml:space="preserve"> </w:t>
            </w:r>
            <w:r>
              <w:t xml:space="preserve">or</w:t>
            </w:r>
            <w:r>
              <w:t xml:space="preserve"> </w:t>
            </w:r>
            <w:r>
              <w:rPr>
                <w:iCs/>
                <w:i/>
              </w:rPr>
              <w:t xml:space="preserve">ŋk</w:t>
            </w:r>
            <w:r>
              <w:t xml:space="preserve"> </w:t>
            </w:r>
            <w:r>
              <w:t xml:space="preserve">cluster, 13 cases of 13, and this word has no velar stop in it.</w:t>
            </w:r>
            <w:r>
              <w:br/>
            </w:r>
            <w:r>
              <w:t xml:space="preserve">Reason</w:t>
            </w:r>
            <w:r>
              <w:rPr>
                <w:bCs/>
                <w:b/>
              </w:rPr>
              <w:t xml:space="preserve">Tunga, an epithet, in the title slot the other 若鞮 names use.</w:t>
            </w:r>
            <w:r>
              <w:t xml:space="preserve"> </w:t>
            </w:r>
            <w:r>
              <w:t xml:space="preserve">Clauson’s headword is</w:t>
            </w:r>
            <w:r>
              <w:t xml:space="preserve"> </w:t>
            </w:r>
            <w:r>
              <w:rPr>
                <w:iCs/>
                <w:i/>
              </w:rPr>
              <w:t xml:space="preserve">toŋa:</w:t>
            </w:r>
            <w:r>
              <w:t xml:space="preserve">, with back vowels, and he records that “whether -o- or -u- in the first syllable is uncertain”, so</w:t>
            </w:r>
            <w:r>
              <w:t xml:space="preserve"> </w:t>
            </w:r>
            <w:r>
              <w:rPr>
                <w:iCs/>
                <w:i/>
              </w:rPr>
              <w:t xml:space="preserve">Tunga</w:t>
            </w:r>
            <w:r>
              <w:t xml:space="preserve"> </w:t>
            </w:r>
            <w:r>
              <w:t xml:space="preserve">and</w:t>
            </w:r>
            <w:r>
              <w:t xml:space="preserve"> </w:t>
            </w:r>
            <w:r>
              <w:rPr>
                <w:iCs/>
                <w:i/>
              </w:rPr>
              <w:t xml:space="preserve">Tonga</w:t>
            </w:r>
            <w:r>
              <w:t xml:space="preserve"> </w:t>
            </w:r>
            <w:r>
              <w:t xml:space="preserve">are equally available; this file prints the first, and the transcription cannot separate them either, since 車 carries an open vowel and a source</w:t>
            </w:r>
            <w:r>
              <w:t xml:space="preserve"> </w:t>
            </w:r>
            <w:r>
              <w:rPr>
                <w:iCs/>
                <w:i/>
              </w:rPr>
              <w:t xml:space="preserve">o</w:t>
            </w:r>
            <w:r>
              <w:t xml:space="preserve"> </w:t>
            </w:r>
            <w:r>
              <w:t xml:space="preserve">and a source</w:t>
            </w:r>
            <w:r>
              <w:t xml:space="preserve"> </w:t>
            </w:r>
            <w:r>
              <w:rPr>
                <w:iCs/>
                <w:i/>
              </w:rPr>
              <w:t xml:space="preserve">u</w:t>
            </w:r>
            <w:r>
              <w:t xml:space="preserve"> </w:t>
            </w:r>
            <w:r>
              <w:t xml:space="preserve">fall alike at 29.8%.</w:t>
            </w:r>
            <w:r>
              <w:t xml:space="preserve"> </w:t>
            </w:r>
            <w:r>
              <w:rPr>
                <w:bCs/>
                <w:b/>
              </w:rPr>
              <w:t xml:space="preserve">Two senses, resting on different evidence, and both are recorded here.</w:t>
            </w:r>
            <w:r>
              <w:t xml:space="preserve"> </w:t>
            </w:r>
            <w:r>
              <w:t xml:space="preserve">Kāşgarî glosses the word as a tiger-like beast (</w:t>
            </w:r>
            <w:r>
              <w:rPr>
                <w:iCs/>
                <w:i/>
              </w:rPr>
              <w:t xml:space="preserve">Dīwān</w:t>
            </w:r>
            <w:r>
              <w:t xml:space="preserve"> </w:t>
            </w:r>
            <w:r>
              <w:t xml:space="preserve">III 368), and glosses the title</w:t>
            </w:r>
            <w:r>
              <w:t xml:space="preserve"> </w:t>
            </w:r>
            <w:r>
              <w:rPr>
                <w:iCs/>
                <w:i/>
              </w:rPr>
              <w:t xml:space="preserve">Toŋa Alp Er</w:t>
            </w:r>
            <w:r>
              <w:t xml:space="preserve">, given to Afrasiyab the king of the Turks, as “the heroic man as strong as a tiger”. Outside personal names the eighth- and ninth-century Uyghur texts use it for “hero, outstanding warrior”: the Manichaean</w:t>
            </w:r>
            <w:r>
              <w:t xml:space="preserve"> </w:t>
            </w:r>
            <w:r>
              <w:rPr>
                <w:iCs/>
                <w:i/>
              </w:rPr>
              <w:t xml:space="preserve">éligler xanlar toŋalar</w:t>
            </w:r>
            <w:r>
              <w:t xml:space="preserve">, “kings, khans, great warriors” (M III 41), the Buddhist</w:t>
            </w:r>
            <w:r>
              <w:t xml:space="preserve"> </w:t>
            </w:r>
            <w:r>
              <w:rPr>
                <w:iCs/>
                <w:i/>
              </w:rPr>
              <w:t xml:space="preserve">Arcunı toŋa</w:t>
            </w:r>
            <w:r>
              <w:t xml:space="preserve">, “the hero Arjuna” (U II 24), and</w:t>
            </w:r>
            <w:r>
              <w:t xml:space="preserve"> </w:t>
            </w:r>
            <w:r>
              <w:rPr>
                <w:iCs/>
                <w:i/>
              </w:rPr>
              <w:t xml:space="preserve">toŋalar begi</w:t>
            </w:r>
            <w:r>
              <w:t xml:space="preserve">. Clauson records that the animal sense “is not confirmed by any other authority”, and that by Kāşgarî’s day the word’s meaning had become unknown and it survived chiefly as a title. Neither sense is suppressed here, and the choice between them does not change the reading.</w:t>
            </w:r>
            <w:r>
              <w:t xml:space="preserve"> </w:t>
            </w:r>
            <w:r>
              <w:rPr>
                <w:bCs/>
                <w:b/>
              </w:rPr>
              <w:t xml:space="preserve">The naming pattern is attested, and it is the one this name needs.</w:t>
            </w:r>
            <w:r>
              <w:t xml:space="preserve"> </w:t>
            </w:r>
            <w:r>
              <w:t xml:space="preserve">Kāşgarî says the word is used as a</w:t>
            </w:r>
            <w:r>
              <w:t xml:space="preserve"> </w:t>
            </w:r>
            <w:r>
              <w:rPr>
                <w:iCs/>
                <w:i/>
              </w:rPr>
              <w:t xml:space="preserve">laqab</w:t>
            </w:r>
            <w:r>
              <w:t xml:space="preserve">, an honorific epithet, and gives</w:t>
            </w:r>
            <w:r>
              <w:t xml:space="preserve"> </w:t>
            </w:r>
            <w:r>
              <w:rPr>
                <w:iCs/>
                <w:i/>
              </w:rPr>
              <w:t xml:space="preserve">toŋa xan</w:t>
            </w:r>
            <w:r>
              <w:t xml:space="preserve"> </w:t>
            </w:r>
            <w:r>
              <w:t xml:space="preserve">and</w:t>
            </w:r>
            <w:r>
              <w:t xml:space="preserve"> </w:t>
            </w:r>
            <w:r>
              <w:rPr>
                <w:iCs/>
                <w:i/>
              </w:rPr>
              <w:t xml:space="preserve">toŋa tegin</w:t>
            </w:r>
            <w:r>
              <w:t xml:space="preserve">: the epithet first, the title after it, head last, which is the shape of</w:t>
            </w:r>
            <w:r>
              <w:t xml:space="preserve"> </w:t>
            </w:r>
            <w:r>
              <w:rPr>
                <w:iCs/>
                <w:i/>
              </w:rPr>
              <w:t xml:space="preserve">Alp Arslan</w:t>
            </w:r>
            <w:r>
              <w:t xml:space="preserve"> </w:t>
            </w:r>
            <w:r>
              <w:t xml:space="preserve">and</w:t>
            </w:r>
            <w:r>
              <w:t xml:space="preserve"> </w:t>
            </w:r>
            <w:r>
              <w:rPr>
                <w:iCs/>
                <w:i/>
              </w:rPr>
              <w:t xml:space="preserve">Bilge Kağan</w:t>
            </w:r>
            <w:r>
              <w:t xml:space="preserve">.</w:t>
            </w:r>
            <w:r>
              <w:t xml:space="preserve"> </w:t>
            </w:r>
            <w:r>
              <w:rPr>
                <w:iCs/>
                <w:i/>
              </w:rPr>
              <w:t xml:space="preserve">Tunga İnakt</w:t>
            </w:r>
            <w:r>
              <w:t xml:space="preserve"> </w:t>
            </w:r>
            <w:r>
              <w:t xml:space="preserve">is that shape, with 若鞮 as the title element the paper argues in §9, and it matches the form the other five 若鞮 rows already take, such as</w:t>
            </w:r>
            <w:r>
              <w:t xml:space="preserve"> </w:t>
            </w:r>
            <w:r>
              <w:rPr>
                <w:iCs/>
                <w:i/>
              </w:rPr>
              <w:t xml:space="preserve">Çal İnakt</w:t>
            </w:r>
            <w:r>
              <w:t xml:space="preserve">.</w:t>
            </w:r>
            <w:r>
              <w:t xml:space="preserve"> </w:t>
            </w:r>
            <w:r>
              <w:rPr>
                <w:bCs/>
                <w:b/>
              </w:rPr>
              <w:t xml:space="preserve">What is not settled.</w:t>
            </w:r>
            <w:r>
              <w:t xml:space="preserve"> </w:t>
            </w:r>
            <w:r>
              <w:t xml:space="preserve">The vowel of the first syllable, which neither Clauson nor the transcription fixes. Whether the epithet is the animal or the quality, which turns on how much weight Kāşgarî’s gloss can bear given that he reports the word as already opaque. The</w:t>
            </w:r>
            <w:r>
              <w:t xml:space="preserve"> </w:t>
            </w:r>
            <w:r>
              <w:rPr>
                <w:iCs/>
                <w:i/>
              </w:rPr>
              <w:t xml:space="preserve">Dīwān</w:t>
            </w:r>
            <w:r>
              <w:t xml:space="preserve">’s own text is not held for this project, only the Türk Dil Kurumu index, which carries headwords without verses, so the order</w:t>
            </w:r>
            <w:r>
              <w:t xml:space="preserve"> </w:t>
            </w:r>
            <w:r>
              <w:rPr>
                <w:iCs/>
                <w:i/>
              </w:rPr>
              <w:t xml:space="preserve">Alp Er Tonga</w:t>
            </w:r>
            <w:r>
              <w:t xml:space="preserve"> </w:t>
            </w:r>
            <w:r>
              <w:t xml:space="preserve">familiar from the elegy could not be checked here: Clauson gives only</w:t>
            </w:r>
            <w:r>
              <w:t xml:space="preserve"> </w:t>
            </w:r>
            <w:r>
              <w:rPr>
                <w:iCs/>
                <w:i/>
              </w:rPr>
              <w:t xml:space="preserve">Toŋa Alp Er</w:t>
            </w:r>
            <w:r>
              <w:t xml:space="preserve">, from</w:t>
            </w:r>
            <w:r>
              <w:t xml:space="preserve"> </w:t>
            </w:r>
            <w:r>
              <w:rPr>
                <w:iCs/>
                <w:i/>
              </w:rPr>
              <w:t xml:space="preserve">Dīwān</w:t>
            </w:r>
            <w:r>
              <w:t xml:space="preserve"> </w:t>
            </w:r>
            <w:r>
              <w:t xml:space="preserve">III 368 and</w:t>
            </w:r>
            <w:r>
              <w:t xml:space="preserve"> </w:t>
            </w:r>
            <w:r>
              <w:rPr>
                <w:iCs/>
                <w:i/>
              </w:rPr>
              <w:t xml:space="preserve">Kutadgu Bilig</w:t>
            </w:r>
            <w:r>
              <w:t xml:space="preserve"> </w:t>
            </w:r>
            <w:r>
              <w:t xml:space="preserve">277. And this word stood at 當戶 in earlier drafts; it is moved here because 當戶 writes a source nasal-plus-velar cluster and this word has a single nasal.</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“grey-eyed” shows in the same dictionary.</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glottal-onset character is the standard way to write a vowel-initial syllable. 累</w:t>
            </w:r>
            <w:r>
              <w:t xml:space="preserve"> </w:t>
            </w:r>
            <w:r>
              <w:rPr>
                <w:iCs/>
                <w:i/>
              </w:rPr>
              <w:t xml:space="preserve">lui</w:t>
            </w:r>
            <w:r>
              <w:t xml:space="preserve"> </w:t>
            </w:r>
            <w:r>
              <w:t xml:space="preserve">→</w:t>
            </w:r>
            <w:r>
              <w:t xml:space="preserve"> </w:t>
            </w:r>
            <w:r>
              <w:rPr>
                <w:iCs/>
                <w:i/>
              </w:rPr>
              <w:t xml:space="preserve">lu</w:t>
            </w:r>
            <w:r>
              <w:t xml:space="preserve">: a liquid, direct. Two characters, two segments, nothing supplied that the transcription does not carry.</w:t>
            </w:r>
            <w:r>
              <w:br/>
            </w:r>
            <w:r>
              <w:t xml:space="preserve">Reason</w:t>
            </w:r>
            <w:r>
              <w:t xml:space="preserve">The Codex Cumanicus glosses</w:t>
            </w:r>
            <w:r>
              <w:t xml:space="preserve"> </w:t>
            </w:r>
            <w:r>
              <w:rPr>
                <w:iCs/>
                <w:i/>
              </w:rPr>
              <w:t xml:space="preserve">Oulu</w:t>
            </w:r>
            <w:r>
              <w:t xml:space="preserve"> </w:t>
            </w:r>
            <w:r>
              <w:t xml:space="preserve">as</w:t>
            </w:r>
            <w:r>
              <w:t xml:space="preserve"> </w:t>
            </w:r>
            <w:r>
              <w:rPr>
                <w:iCs/>
                <w:i/>
              </w:rPr>
              <w:t xml:space="preserve">magnus</w:t>
            </w:r>
            <w:r>
              <w:t xml:space="preserve">.</w:t>
            </w:r>
            <w:r>
              <w:t xml:space="preserve"> </w:t>
            </w:r>
            <w:r>
              <w:rPr>
                <w:iCs/>
                <w:i/>
              </w:rPr>
              <w:t xml:space="preserve">Uluğ</w:t>
            </w:r>
            <w:r>
              <w:t xml:space="preserve"> </w:t>
            </w:r>
            <w:r>
              <w:t xml:space="preserve">“great” is among the most common elements in Turkic titulature, which is both the strength of this reading and its weakness: a very common word is an easy target to hit.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Öz-Uluğ İnakt</w:t>
            </w:r>
          </w:p>
        </w:tc>
        <w:tc>
          <w:tcPr/>
          <w:p>
            <w:pPr>
              <w:pStyle w:val="Compact"/>
              <w:jc w:val="left"/>
            </w:pPr>
            <w:r>
              <w:t xml:space="preserve">Great Core, of the İnakt</w:t>
            </w:r>
          </w:p>
        </w:tc>
      </w:tr>
      <w:tr>
        <w:tc>
          <w:tcPr>
            <w:gridSpan w:val="5"/>
          </w:tcPr>
          <w:p>
            <w:pPr>
              <w:pStyle w:val="Compact"/>
              <w:jc w:val="left"/>
            </w:pPr>
            <w:r>
              <w:t xml:space="preserve">Phonetics</w:t>
            </w:r>
            <w:r>
              <w:t xml:space="preserve">Eight characters, and correspondingly the least constrained reading in the file: the longer the string, the more ways there are to split it into Turkic elements, and the split itself is doing most of the work rather than any individual correspondence. 呼</w:t>
            </w:r>
            <w:r>
              <w:t xml:space="preserve"> </w:t>
            </w:r>
            <w:r>
              <w:rPr>
                <w:iCs/>
                <w:i/>
              </w:rPr>
              <w:t xml:space="preserve">hɑ</w:t>
            </w:r>
            <w:r>
              <w:t xml:space="preserve"> </w:t>
            </w:r>
            <w:r>
              <w:t xml:space="preserve">→</w:t>
            </w:r>
            <w:r>
              <w:t xml:space="preserve"> </w:t>
            </w:r>
            <w:r>
              <w:rPr>
                <w:iCs/>
                <w:i/>
              </w:rPr>
              <w:t xml:space="preserve">öz</w:t>
            </w:r>
            <w:r>
              <w:t xml:space="preserve"> </w:t>
            </w:r>
            <w:r>
              <w:t xml:space="preserve">and 皋</w:t>
            </w:r>
            <w:r>
              <w:t xml:space="preserve"> </w:t>
            </w:r>
            <w:r>
              <w:rPr>
                <w:iCs/>
                <w:i/>
              </w:rPr>
              <w:t xml:space="preserve">kou</w:t>
            </w:r>
            <w:r>
              <w:t xml:space="preserve"> </w:t>
            </w:r>
            <w:r>
              <w:t xml:space="preserve">→</w:t>
            </w:r>
            <w:r>
              <w:t xml:space="preserve"> </w:t>
            </w:r>
            <w:r>
              <w:rPr>
                <w:iCs/>
                <w:i/>
              </w:rPr>
              <w:t xml:space="preserve">uluğ</w:t>
            </w:r>
            <w:r>
              <w:t xml:space="preserve"> </w:t>
            </w:r>
            <w:r>
              <w:t xml:space="preserve">are the two largest jumps.</w:t>
            </w:r>
            <w:r>
              <w:br/>
            </w:r>
            <w:r>
              <w:t xml:space="preserve">Reason</w:t>
            </w:r>
            <w:r>
              <w:rPr>
                <w:iCs/>
                <w:i/>
              </w:rPr>
              <w:t xml:space="preserve">öz</w:t>
            </w:r>
            <w:r>
              <w:t xml:space="preserve"> </w:t>
            </w:r>
            <w:r>
              <w:t xml:space="preserve">“self, core” and</w:t>
            </w:r>
            <w:r>
              <w:t xml:space="preserve"> </w:t>
            </w:r>
            <w:r>
              <w:rPr>
                <w:iCs/>
                <w:i/>
              </w:rPr>
              <w:t xml:space="preserve">uluğ</w:t>
            </w:r>
            <w:r>
              <w:t xml:space="preserve"> </w:t>
            </w:r>
            <w:r>
              <w:t xml:space="preserve">“great”, both common Old Turkic elements in titulature.</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supplement.</w:t>
      </w:r>
    </w:p>
    <w:bookmarkEnd w:id="27"/>
    <w:bookmarkStart w:id="28"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8"/>
    <w:bookmarkStart w:id="29"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Çarvuş</w:t>
            </w:r>
          </w:p>
        </w:tc>
        <w:tc>
          <w:tcPr/>
          <w:p>
            <w:pPr>
              <w:pStyle w:val="Compact"/>
              <w:jc w:val="left"/>
            </w:pPr>
            <w:r>
              <w:t xml:space="preserve">army commander; the earlier form of çavuş</w:t>
            </w:r>
          </w:p>
        </w:tc>
      </w:tr>
      <w:tr>
        <w:tc>
          <w:tcPr>
            <w:gridSpan w:val="5"/>
          </w:tcPr>
          <w:p>
            <w:pPr>
              <w:pStyle w:val="Compact"/>
              <w:jc w:val="left"/>
            </w:pPr>
            <w:r>
              <w:t xml:space="preserve">Phonetics</w:t>
            </w:r>
            <w:r>
              <w:t xml:space="preserve">Two characters, 單 with a written coda and 于 open. 單 →</w:t>
            </w:r>
            <w:r>
              <w:t xml:space="preserve"> </w:t>
            </w:r>
            <w:r>
              <w:rPr>
                <w:iCs/>
                <w:i/>
              </w:rPr>
              <w:t xml:space="preserve">çar-</w:t>
            </w:r>
            <w:r>
              <w:t xml:space="preserve"> </w:t>
            </w:r>
            <w:r>
              <w:t xml:space="preserve">takes the second of the character’s two Later Han readings, the dental</w:t>
            </w:r>
            <w:r>
              <w:t xml:space="preserve"> </w:t>
            </w:r>
            <w:r>
              <w:rPr>
                <w:iCs/>
                <w:i/>
              </w:rPr>
              <w:t xml:space="preserve">tɑn</w:t>
            </w:r>
            <w:r>
              <w:t xml:space="preserve">, for the onset: a source voiceless affricate written with the voiced</w:t>
            </w:r>
            <w:r>
              <w:t xml:space="preserve"> </w:t>
            </w:r>
            <w:r>
              <w:rPr>
                <w:iCs/>
                <w:i/>
              </w:rPr>
              <w:t xml:space="preserve">dź-</w:t>
            </w:r>
            <w:r>
              <w:t xml:space="preserve"> </w:t>
            </w:r>
            <w:r>
              <w:t xml:space="preserve">of the first reading is 0 of 48 in the Sanskrit corpus, while with a dental onset it is 8 of 48, 16.7%. For the coda it takes the Old Chinese value, Baxter and Sagart’s</w:t>
            </w:r>
            <w:r>
              <w:t xml:space="preserve"> </w:t>
            </w:r>
            <w:r>
              <w:rPr>
                <w:iCs/>
                <w:i/>
              </w:rPr>
              <w:t xml:space="preserve">*dar</w:t>
            </w:r>
            <w:r>
              <w:t xml:space="preserve">, whose liquid becomes the</w:t>
            </w:r>
            <w:r>
              <w:t xml:space="preserve"> </w:t>
            </w:r>
            <w:r>
              <w:rPr>
                <w:iCs/>
                <w:i/>
              </w:rPr>
              <w:t xml:space="preserve">-n</w:t>
            </w:r>
            <w:r>
              <w:t xml:space="preserve"> </w:t>
            </w:r>
            <w:r>
              <w:t xml:space="preserve">of the later table; step 43 measures how often the two reconstructions differ in this way across the record. 于</w:t>
            </w:r>
            <w:r>
              <w:t xml:space="preserve"> </w:t>
            </w:r>
            <w:r>
              <w:rPr>
                <w:iCs/>
                <w:i/>
              </w:rPr>
              <w:t xml:space="preserve">wɑ</w:t>
            </w:r>
            <w:r>
              <w:t xml:space="preserve"> </w:t>
            </w:r>
            <w:r>
              <w:t xml:space="preserve">→</w:t>
            </w:r>
            <w:r>
              <w:t xml:space="preserve"> </w:t>
            </w:r>
            <w:r>
              <w:rPr>
                <w:iCs/>
                <w:i/>
              </w:rPr>
              <w:t xml:space="preserve">-vuş</w:t>
            </w:r>
            <w:r>
              <w:t xml:space="preserve"> </w:t>
            </w:r>
            <w:r>
              <w:t xml:space="preserve">is the best value this character offers: a source</w:t>
            </w:r>
            <w:r>
              <w:t xml:space="preserve"> </w:t>
            </w:r>
            <w:r>
              <w:rPr>
                <w:iCs/>
                <w:i/>
              </w:rPr>
              <w:t xml:space="preserve">v</w:t>
            </w:r>
            <w:r>
              <w:t xml:space="preserve"> </w:t>
            </w:r>
            <w:r>
              <w:t xml:space="preserve">written with a Chinese</w:t>
            </w:r>
            <w:r>
              <w:t xml:space="preserve"> </w:t>
            </w:r>
            <w:r>
              <w:rPr>
                <w:iCs/>
                <w:i/>
              </w:rPr>
              <w:t xml:space="preserve">w-</w:t>
            </w:r>
            <w:r>
              <w:t xml:space="preserve"> </w:t>
            </w:r>
            <w:r>
              <w:t xml:space="preserve">character is 9 of 65, 13.8%, against 1 of 55 for a source</w:t>
            </w:r>
            <w:r>
              <w:t xml:space="preserve"> </w:t>
            </w:r>
            <w:r>
              <w:rPr>
                <w:iCs/>
                <w:i/>
              </w:rPr>
              <w:t xml:space="preserve">b</w:t>
            </w:r>
            <w:r>
              <w:t xml:space="preserve"> </w:t>
            </w:r>
            <w:r>
              <w:t xml:space="preserve">and 0 of 140 for a vowel-initial syllable. The final -ş is unwritten, which a sibilant coda is in 27 of 36 cases, 75%, since Later Han has no sibilant coda.</w:t>
            </w:r>
            <w:r>
              <w:t xml:space="preserve"> </w:t>
            </w:r>
            <w:r>
              <w:rPr>
                <w:bCs/>
                <w:b/>
              </w:rPr>
              <w:t xml:space="preserve">The liquid is what makes the form possible.</w:t>
            </w:r>
            <w:r>
              <w:t xml:space="preserve"> </w:t>
            </w:r>
            <w:r>
              <w:t xml:space="preserve">Across the 8,930 headwords of the Kāşgarî index and the Codex, -rv- and -rb- occur 18 times in native words (</w:t>
            </w:r>
            <w:r>
              <w:rPr>
                <w:iCs/>
                <w:i/>
              </w:rPr>
              <w:t xml:space="preserve">burba-</w:t>
            </w:r>
            <w:r>
              <w:t xml:space="preserve">,</w:t>
            </w:r>
            <w:r>
              <w:t xml:space="preserve"> </w:t>
            </w:r>
            <w:r>
              <w:rPr>
                <w:iCs/>
                <w:i/>
              </w:rPr>
              <w:t xml:space="preserve">karva-</w:t>
            </w:r>
            <w:r>
              <w:t xml:space="preserve">,</w:t>
            </w:r>
            <w:r>
              <w:t xml:space="preserve"> </w:t>
            </w:r>
            <w:r>
              <w:rPr>
                <w:iCs/>
                <w:i/>
              </w:rPr>
              <w:t xml:space="preserve">kurbaka</w:t>
            </w:r>
            <w:r>
              <w:t xml:space="preserve">,</w:t>
            </w:r>
            <w:r>
              <w:t xml:space="preserve"> </w:t>
            </w:r>
            <w:r>
              <w:rPr>
                <w:iCs/>
                <w:i/>
              </w:rPr>
              <w:t xml:space="preserve">turbı</w:t>
            </w:r>
            <w:r>
              <w:t xml:space="preserve">), while -nv- occurs 0 times and -nb- 5 times, all in loanwords: a liquid before a labial is Turkic, a nasal before one is not.</w:t>
            </w:r>
            <w:r>
              <w:t xml:space="preserve"> </w:t>
            </w:r>
            <w:r>
              <w:rPr>
                <w:bCs/>
                <w:b/>
              </w:rPr>
              <w:t xml:space="preserve">Two shapes the frame excludes outright, whatever word is tried.</w:t>
            </w:r>
            <w:r>
              <w:t xml:space="preserve"> </w:t>
            </w:r>
            <w:r>
              <w:t xml:space="preserve">A velar first element is not available: a voiced affricate writing a velar stop appears once in 220 in the Sanskrit corpus and that one case is a translation mislabelled as a transcription, and characters that write</w:t>
            </w:r>
            <w:r>
              <w:t xml:space="preserve"> </w:t>
            </w:r>
            <w:r>
              <w:rPr>
                <w:iCs/>
                <w:i/>
              </w:rPr>
              <w:t xml:space="preserve">kan</w:t>
            </w:r>
            <w:r>
              <w:t xml:space="preserve"> </w:t>
            </w:r>
            <w:r>
              <w:t xml:space="preserve">exactly, 干</w:t>
            </w:r>
            <w:r>
              <w:t xml:space="preserve"> </w:t>
            </w:r>
            <w:r>
              <w:rPr>
                <w:iCs/>
                <w:i/>
              </w:rPr>
              <w:t xml:space="preserve">kɑn</w:t>
            </w:r>
            <w:r>
              <w:t xml:space="preserve"> </w:t>
            </w:r>
            <w:r>
              <w:t xml:space="preserve">and 汗</w:t>
            </w:r>
            <w:r>
              <w:t xml:space="preserve"> </w:t>
            </w:r>
            <w:r>
              <w:rPr>
                <w:iCs/>
                <w:i/>
              </w:rPr>
              <w:t xml:space="preserve">gɑnᶜ</w:t>
            </w:r>
            <w:r>
              <w:t xml:space="preserve">, were available and not used. A vowel-initial second element is not available either: a glide character writing a vowel-initial source syllable is 0 of 140.</w:t>
            </w:r>
            <w:r>
              <w:br/>
            </w:r>
            <w:r>
              <w:t xml:space="preserve">Reason</w:t>
            </w:r>
            <w:r>
              <w:rPr>
                <w:bCs/>
                <w:b/>
              </w:rPr>
              <w:t xml:space="preserve">Çarvuş, the earlier form of</w:t>
            </w:r>
            <w:r>
              <w:rPr>
                <w:bCs/>
                <w:b/>
              </w:rPr>
              <w:t xml:space="preserve"> </w:t>
            </w:r>
            <w:r>
              <w:rPr>
                <w:iCs/>
                <w:i/>
                <w:bCs/>
                <w:b/>
              </w:rPr>
              <w:t xml:space="preserve">çavuş</w:t>
            </w:r>
            <w:r>
              <w:rPr>
                <w:bCs/>
                <w:b/>
              </w:rPr>
              <w:t xml:space="preserve">, “army commander”.</w:t>
            </w:r>
            <w:r>
              <w:t xml:space="preserve"> </w:t>
            </w:r>
            <w:r>
              <w:t xml:space="preserve">A native Turkic title of the first rank. Clauson does not mark it foreign, unlike</w:t>
            </w:r>
            <w:r>
              <w:t xml:space="preserve"> </w:t>
            </w:r>
            <w:r>
              <w:rPr>
                <w:iCs/>
                <w:i/>
              </w:rPr>
              <w:t xml:space="preserve">beg</w:t>
            </w:r>
            <w:r>
              <w:t xml:space="preserve">,</w:t>
            </w:r>
            <w:r>
              <w:t xml:space="preserve"> </w:t>
            </w:r>
            <w:r>
              <w:rPr>
                <w:iCs/>
                <w:i/>
              </w:rPr>
              <w:t xml:space="preserve">xan</w:t>
            </w:r>
            <w:r>
              <w:t xml:space="preserve"> </w:t>
            </w:r>
            <w:r>
              <w:t xml:space="preserve">and</w:t>
            </w:r>
            <w:r>
              <w:t xml:space="preserve"> </w:t>
            </w:r>
            <w:r>
              <w:rPr>
                <w:iCs/>
                <w:i/>
              </w:rPr>
              <w:t xml:space="preserve">xağan</w:t>
            </w:r>
            <w:r>
              <w:t xml:space="preserve">, and Doerfer 1055 has it travelling outward, to Persian and thence to Urdu and Lezgian. It is attested in the eighth-century inscriptions in the highest possible company:</w:t>
            </w:r>
            <w:r>
              <w:t xml:space="preserve"> </w:t>
            </w:r>
            <w:r>
              <w:rPr>
                <w:iCs/>
                <w:i/>
              </w:rPr>
              <w:t xml:space="preserve">bilgesi çavuşı erti</w:t>
            </w:r>
            <w:r>
              <w:t xml:space="preserve">, “he was his Counsellor and Army Commander” (Ix. 17), and at Tonyukuk 7 the speaker is Tonyukuk himself. Clauson glosses it “originally the principal military officer of a xağan, the military counterpart of</w:t>
            </w:r>
            <w:r>
              <w:t xml:space="preserve"> </w:t>
            </w:r>
            <w:r>
              <w:rPr>
                <w:iCs/>
                <w:i/>
              </w:rPr>
              <w:t xml:space="preserve">bilge</w:t>
            </w:r>
            <w:r>
              <w:t xml:space="preserve">”, and adds that “as time went on the post gradually lost status”, ending as the modern Turkish sergeant; Kāşgarî defines the office as the one who orders the ranks in battle and restrains the troops from outrages (I 368), and his form of the word is</w:t>
            </w:r>
            <w:r>
              <w:t xml:space="preserve"> </w:t>
            </w:r>
            <w:r>
              <w:rPr>
                <w:iCs/>
                <w:i/>
              </w:rPr>
              <w:t xml:space="preserve">çaβuş</w:t>
            </w:r>
            <w:r>
              <w:t xml:space="preserve">, with a bilabial fricative.</w:t>
            </w:r>
            <w:r>
              <w:t xml:space="preserve"> </w:t>
            </w:r>
            <w:r>
              <w:rPr>
                <w:bCs/>
                <w:b/>
              </w:rPr>
              <w:t xml:space="preserve">Why it is proposed here.</w:t>
            </w:r>
            <w:r>
              <w:t xml:space="preserve"> </w:t>
            </w:r>
            <w:r>
              <w:t xml:space="preserve">Founders of dynasties commonly bear military titles: Osman Gazi, Alp Arslan, Alp Tegin. And a supreme title that began as a military one is an ordinary trajectory, as with Latin</w:t>
            </w:r>
            <w:r>
              <w:t xml:space="preserve"> </w:t>
            </w:r>
            <w:r>
              <w:rPr>
                <w:iCs/>
                <w:i/>
              </w:rPr>
              <w:t xml:space="preserve">imperator</w:t>
            </w:r>
            <w:r>
              <w:t xml:space="preserve"> </w:t>
            </w:r>
            <w:r>
              <w:t xml:space="preserve">“commander” and</w:t>
            </w:r>
            <w:r>
              <w:t xml:space="preserve"> </w:t>
            </w:r>
            <w:r>
              <w:rPr>
                <w:iCs/>
                <w:i/>
              </w:rPr>
              <w:t xml:space="preserve">dux</w:t>
            </w:r>
            <w:r>
              <w:t xml:space="preserve">. The Türk inscriptions are a thousand years later than the Xiongnu, so the decline Clauson describes was already under way when they were cut, and at the earlier stage the office Clauson calls the principal military officer of a xağan could have been the ruler’s own title rather than his officer’s.</w:t>
            </w:r>
            <w:r>
              <w:t xml:space="preserve"> </w:t>
            </w:r>
            <w:r>
              <w:rPr>
                <w:bCs/>
                <w:b/>
              </w:rPr>
              <w:t xml:space="preserve">What is not settled.</w:t>
            </w:r>
            <w:r>
              <w:t xml:space="preserve"> </w:t>
            </w:r>
            <w:r>
              <w:rPr>
                <w:iCs/>
                <w:i/>
              </w:rPr>
              <w:t xml:space="preserve">Çarvuş</w:t>
            </w:r>
            <w:r>
              <w:t xml:space="preserve"> </w:t>
            </w:r>
            <w:r>
              <w:t xml:space="preserve">itself is not recorded in the later Turkic sources. Clauson’s</w:t>
            </w:r>
            <w:r>
              <w:t xml:space="preserve"> </w:t>
            </w:r>
            <w:r>
              <w:rPr>
                <w:iCs/>
                <w:i/>
              </w:rPr>
              <w:t xml:space="preserve">Etymological Dictionary</w:t>
            </w:r>
            <w:r>
              <w:t xml:space="preserve">, Erdal’s</w:t>
            </w:r>
            <w:r>
              <w:t xml:space="preserve"> </w:t>
            </w:r>
            <w:r>
              <w:rPr>
                <w:iCs/>
                <w:i/>
              </w:rPr>
              <w:t xml:space="preserve">Grammar of Old Turkic</w:t>
            </w:r>
            <w:r>
              <w:t xml:space="preserve">, Kāşgarî’s</w:t>
            </w:r>
            <w:r>
              <w:t xml:space="preserve"> </w:t>
            </w:r>
            <w:r>
              <w:rPr>
                <w:iCs/>
                <w:i/>
              </w:rPr>
              <w:t xml:space="preserve">Dīwān</w:t>
            </w:r>
            <w:r>
              <w:t xml:space="preserve">, the</w:t>
            </w:r>
            <w:r>
              <w:t xml:space="preserve"> </w:t>
            </w:r>
            <w:r>
              <w:rPr>
                <w:iCs/>
                <w:i/>
              </w:rPr>
              <w:t xml:space="preserve">Kutadgu Bilig</w:t>
            </w:r>
            <w:r>
              <w:t xml:space="preserve">, Doerfer’s</w:t>
            </w:r>
            <w:r>
              <w:t xml:space="preserve"> </w:t>
            </w:r>
            <w:r>
              <w:rPr>
                <w:iCs/>
                <w:i/>
              </w:rPr>
              <w:t xml:space="preserve">TMEN</w:t>
            </w:r>
            <w:r>
              <w:t xml:space="preserve"> </w:t>
            </w:r>
            <w:r>
              <w:t xml:space="preserve">and Tekin’s edition of the</w:t>
            </w:r>
            <w:r>
              <w:t xml:space="preserve"> </w:t>
            </w:r>
            <w:r>
              <w:rPr>
                <w:iCs/>
                <w:i/>
              </w:rPr>
              <w:t xml:space="preserve">Irk Bitig</w:t>
            </w:r>
            <w:r>
              <w:t xml:space="preserve"> </w:t>
            </w:r>
            <w:r>
              <w:t xml:space="preserve">all carry</w:t>
            </w:r>
            <w:r>
              <w:t xml:space="preserve"> </w:t>
            </w:r>
            <w:r>
              <w:rPr>
                <w:iCs/>
                <w:i/>
              </w:rPr>
              <w:t xml:space="preserve">çavuş</w:t>
            </w:r>
            <w:r>
              <w:t xml:space="preserve"> </w:t>
            </w:r>
            <w:r>
              <w:t xml:space="preserve">or</w:t>
            </w:r>
            <w:r>
              <w:t xml:space="preserve"> </w:t>
            </w:r>
            <w:r>
              <w:rPr>
                <w:iCs/>
                <w:i/>
              </w:rPr>
              <w:t xml:space="preserve">çaβuş</w:t>
            </w:r>
            <w:r>
              <w:t xml:space="preserve"> </w:t>
            </w:r>
            <w:r>
              <w:t xml:space="preserve">and none carries a form with the liquid. On this reading the</w:t>
            </w:r>
            <w:r>
              <w:t xml:space="preserve"> </w:t>
            </w:r>
            <w:r>
              <w:rPr>
                <w:iCs/>
                <w:i/>
              </w:rPr>
              <w:t xml:space="preserve">-r-</w:t>
            </w:r>
            <w:r>
              <w:t xml:space="preserve"> </w:t>
            </w:r>
            <w:r>
              <w:t xml:space="preserve">was lost before the eighth century, which is a thousand years after the name was written down.</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teŋri kutınta</w:t>
            </w:r>
            <w:r>
              <w:t xml:space="preserve"> </w:t>
            </w:r>
            <w:r>
              <w:t xml:space="preserve">“by the favour of heaven”, which is</w:t>
            </w:r>
            <w:r>
              <w:t xml:space="preserve"> </w:t>
            </w:r>
            <w:r>
              <w:rPr>
                <w:iCs/>
                <w:i/>
              </w:rPr>
              <w:t xml:space="preserve">teŋri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That is now checkable in the primary edition rather than only in Clauson’s report of it: Tekin’s glossary to the</w:t>
            </w:r>
            <w:r>
              <w:t xml:space="preserve"> </w:t>
            </w:r>
            <w:r>
              <w:rPr>
                <w:iCs/>
                <w:i/>
              </w:rPr>
              <w:t xml:space="preserve">Irk Bitig</w:t>
            </w:r>
            <w:r>
              <w:t xml:space="preserve"> </w:t>
            </w:r>
            <w:r>
              <w:t xml:space="preserve">carries</w:t>
            </w:r>
            <w:r>
              <w:t xml:space="preserve"> </w:t>
            </w:r>
            <w:r>
              <w:rPr>
                <w:iCs/>
                <w:i/>
              </w:rPr>
              <w:t xml:space="preserve">kut</w:t>
            </w:r>
            <w:r>
              <w:t xml:space="preserve"> </w:t>
            </w:r>
            <w:r>
              <w:t xml:space="preserve">as a headword, glossed “divine favor, blessing, good fortune”, and its citations include</w:t>
            </w:r>
            <w:r>
              <w:t xml:space="preserve"> </w:t>
            </w:r>
            <w:r>
              <w:rPr>
                <w:iCs/>
                <w:i/>
              </w:rPr>
              <w:t xml:space="preserve">kutınta</w:t>
            </w:r>
            <w:r>
              <w:t xml:space="preserve"> </w:t>
            </w:r>
            <w:r>
              <w:t xml:space="preserve">at omens 15 and 56, the first of them in the phrase</w:t>
            </w:r>
            <w:r>
              <w:t xml:space="preserve"> </w:t>
            </w:r>
            <w:r>
              <w:rPr>
                <w:iCs/>
                <w:i/>
              </w:rPr>
              <w:t xml:space="preserve">teŋri kutınta</w:t>
            </w:r>
            <w:r>
              <w:t xml:space="preserve">. The manuscript is ninth-century.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w:t>
            </w:r>
            <w:r>
              <w:t xml:space="preserve"> </w:t>
            </w:r>
            <w:r>
              <w:rPr>
                <w:bCs/>
                <w:b/>
              </w:rPr>
              <w:t xml:space="preserve">The Yeniseian rival, as its author now leaves it.</w:t>
            </w:r>
            <w:r>
              <w:t xml:space="preserve"> </w:t>
            </w:r>
            <w:r>
              <w:t xml:space="preserve">Pulleyblank compared the word with Arin</w:t>
            </w:r>
            <w:r>
              <w:t xml:space="preserve"> </w:t>
            </w:r>
            <w:r>
              <w:rPr>
                <w:iCs/>
                <w:i/>
              </w:rPr>
              <w:t xml:space="preserve">bïkjàl</w:t>
            </w:r>
            <w:r>
              <w:t xml:space="preserve"> </w:t>
            </w:r>
            <w:r>
              <w:t xml:space="preserve">“son”. In 2000 Vovin held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and found no Altaic etymology either (Vovin 2000,</w:t>
            </w:r>
            <w:r>
              <w:t xml:space="preserve"> </w:t>
            </w:r>
            <w:r>
              <w:rPr>
                <w:iCs/>
                <w:i/>
              </w:rPr>
              <w:t xml:space="preserve">CAJ</w:t>
            </w:r>
            <w:r>
              <w:t xml:space="preserve"> </w:t>
            </w:r>
            <w:r>
              <w:t xml:space="preserve">44/1, p. 91). He withdrew it three years later: “I would like to take back my suggestion that Arin form is isolated in Yeniseian” (Vovin 2003, Part 2). He then rebuilds the comparison rather than dropping it, reading Pumpokol</w:t>
            </w:r>
            <w:r>
              <w:t xml:space="preserve"> </w:t>
            </w:r>
            <w:r>
              <w:rPr>
                <w:iCs/>
                <w:i/>
              </w:rPr>
              <w:t xml:space="preserve">p-halla</w:t>
            </w:r>
            <w:r>
              <w:t xml:space="preserve"> </w:t>
            </w:r>
            <w:r>
              <w:t xml:space="preserve">“my son” as a cluster with the first-person prefix rather than as an</w:t>
            </w:r>
            <w:r>
              <w:t xml:space="preserve"> </w:t>
            </w:r>
            <w:r>
              <w:rPr>
                <w:iCs/>
                <w:i/>
              </w:rPr>
              <w:t xml:space="preserve">f-</w:t>
            </w:r>
            <w:r>
              <w:t xml:space="preserve">, which makes it cognate with the Arin form, and ruling out Pulleyblank’s Ket</w:t>
            </w:r>
            <w:r>
              <w:t xml:space="preserve"> </w:t>
            </w:r>
            <w:r>
              <w:rPr>
                <w:iCs/>
                <w:i/>
              </w:rPr>
              <w:t xml:space="preserve">qal/qaloq</w:t>
            </w:r>
            <w:r>
              <w:t xml:space="preserve"> </w:t>
            </w:r>
            <w:r>
              <w:t xml:space="preserve">instead. The Yeniseian side of this item is therefore stronger than Part 1 alone would suggest, and it is recorded here as he left it.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teŋri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This is the author's proposal, and the comparison is ours.</w:t>
            </w:r>
            <w:r>
              <w:t xml:space="preserve"> </w:t>
            </w:r>
            <w:r>
              <w:t xml:space="preserve">We have not found this reading proposed in print. The search that would have found it covered every book held for this project, including Golden's</w:t>
            </w:r>
            <w:r>
              <w:t xml:space="preserve"> </w:t>
            </w:r>
            <w:r>
              <w:rPr>
                <w:iCs/>
                <w:i/>
              </w:rPr>
              <w:t xml:space="preserve">Introduction to the History of the Turkic Peoples</w:t>
            </w:r>
            <w:r>
              <w:t xml:space="preserve"> </w:t>
            </w:r>
            <w:r>
              <w:t xml:space="preserve">in a machine-readable form made for the purpose, and returned nothing. It is recorded here as our own comparison and not as a reading taken from the literature.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Toğrıl and Toğrul are not offered in support.</w:t>
            </w:r>
            <w:r>
              <w:t xml:space="preserve"> </w:t>
            </w:r>
            <w:r>
              <w:t xml:space="preserve">The two names resemble</w:t>
            </w:r>
            <w:r>
              <w:t xml:space="preserve"> </w:t>
            </w:r>
            <w:r>
              <w:rPr>
                <w:iCs/>
                <w:i/>
              </w:rPr>
              <w:t xml:space="preserve">toğru</w:t>
            </w:r>
            <w:r>
              <w:t xml:space="preserve"> </w:t>
            </w:r>
            <w:r>
              <w:t xml:space="preserve">in sound, and they are well attested: Kāşgarî records 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 proper names, and the first Seljuk sultan bore the name. But</w:t>
            </w:r>
            <w:r>
              <w:t xml:space="preserve"> </w:t>
            </w:r>
            <w:r>
              <w:rPr>
                <w:iCs/>
                <w:i/>
              </w:rPr>
              <w:t xml:space="preserve">Toğrıl</w:t>
            </w:r>
            <w:r>
              <w:t xml:space="preserve"> </w:t>
            </w:r>
            <w:r>
              <w:t xml:space="preserve">is a bird of 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 never survived as a common noun. What makes the two look like one word is a separate 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 survives as modern Turkish</w:t>
            </w:r>
            <w:r>
              <w:t xml:space="preserve"> </w:t>
            </w:r>
            <w:r>
              <w:rPr>
                <w:iCs/>
                <w:i/>
              </w:rPr>
              <w:t xml:space="preserve">doğrul-</w:t>
            </w:r>
            <w:r>
              <w:t xml:space="preserve">. So the names are recorded here to head that resemblance off, not to rest anything on it: the case for</w:t>
            </w:r>
            <w:r>
              <w:t xml:space="preserve"> </w:t>
            </w:r>
            <w:r>
              <w:rPr>
                <w:iCs/>
                <w:i/>
              </w:rPr>
              <w:t xml:space="preserve">Doğru</w:t>
            </w:r>
            <w:r>
              <w:t xml:space="preserve"> </w:t>
            </w:r>
            <w:r>
              <w:t xml:space="preserve">stands on the Chinese gloss 賢 and on the attested moral sense of</w:t>
            </w:r>
            <w:r>
              <w:t xml:space="preserve"> </w:t>
            </w:r>
            <w:r>
              <w:rPr>
                <w:iCs/>
                <w:i/>
              </w:rPr>
              <w:t xml:space="preserve">toğru</w:t>
            </w:r>
            <w:r>
              <w:t xml:space="preserve">. The paper does not argue this reading; §9.1 there tests only proposals taken from the literature.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are polyphonic characters: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The word is a headword in both lexicons used here: Kāşgarî has</w:t>
            </w:r>
            <w:r>
              <w:t xml:space="preserve"> </w:t>
            </w:r>
            <w:r>
              <w:rPr>
                <w:iCs/>
                <w:i/>
              </w:rPr>
              <w:t xml:space="preserve">körklüg</w:t>
            </w:r>
            <w:r>
              <w:t xml:space="preserve">, glossed</w:t>
            </w:r>
            <w:r>
              <w:t xml:space="preserve"> </w:t>
            </w:r>
            <w:r>
              <w:rPr>
                <w:iCs/>
                <w:i/>
              </w:rPr>
              <w:t xml:space="preserve">iyi, güzel ve gösterişli</w:t>
            </w:r>
            <w:r>
              <w:t xml:space="preserve">, “good, beautiful and imposing”, and the</w:t>
            </w:r>
            <w:r>
              <w:t xml:space="preserve"> </w:t>
            </w:r>
            <w:r>
              <w:rPr>
                <w:iCs/>
                <w:i/>
              </w:rPr>
              <w:t xml:space="preserve">Codex Cumanicus</w:t>
            </w:r>
            <w:r>
              <w:t xml:space="preserve"> </w:t>
            </w:r>
            <w:r>
              <w:t xml:space="preserve">has</w:t>
            </w:r>
            <w:r>
              <w:t xml:space="preserve"> </w:t>
            </w:r>
            <w:r>
              <w:rPr>
                <w:iCs/>
                <w:i/>
              </w:rPr>
              <w:t xml:space="preserve">körk</w:t>
            </w:r>
            <w:r>
              <w:t xml:space="preserve"> </w:t>
            </w:r>
            <w:r>
              <w:t xml:space="preserve">glossed</w:t>
            </w:r>
            <w:r>
              <w:t xml:space="preserve"> </w:t>
            </w:r>
            <w:r>
              <w:rPr>
                <w:iCs/>
                <w:i/>
              </w:rPr>
              <w:t xml:space="preserve">decus</w:t>
            </w:r>
            <w:r>
              <w:t xml:space="preserve">, glory or dignity rather than prettiness.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teŋridem kız azu teŋri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supplement's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Tamga</w:t>
            </w:r>
          </w:p>
        </w:tc>
        <w:tc>
          <w:tcPr/>
          <w:p>
            <w:pPr>
              <w:pStyle w:val="Compact"/>
              <w:jc w:val="left"/>
            </w:pPr>
            <w:r>
              <w:t xml:space="preserve">the ruler’s seal, and the officer who keeps it</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tam-</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55 of 198, 27.8%, and a source</w:t>
            </w:r>
            <w:r>
              <w:t xml:space="preserve"> </w:t>
            </w:r>
            <w:r>
              <w:rPr>
                <w:iCs/>
                <w:i/>
              </w:rPr>
              <w:t xml:space="preserve">a</w:t>
            </w:r>
            <w:r>
              <w:t xml:space="preserve"> </w:t>
            </w:r>
            <w:r>
              <w:t xml:space="preserve">written with an open vowel is 1045 of 1509, 69.3%. The coda is the weak link and is stated rather than buried: the word carries an</w:t>
            </w:r>
            <w:r>
              <w:t xml:space="preserve"> </w:t>
            </w:r>
            <w:r>
              <w:rPr>
                <w:iCs/>
                <w:i/>
              </w:rPr>
              <w:t xml:space="preserve">-m</w:t>
            </w:r>
            <w:r>
              <w:t xml:space="preserve"> </w:t>
            </w:r>
            <w:r>
              <w:t xml:space="preserve">and the character carries the velar</w:t>
            </w:r>
            <w:r>
              <w:t xml:space="preserve"> </w:t>
            </w:r>
            <w:r>
              <w:rPr>
                <w:iCs/>
                <w:i/>
              </w:rPr>
              <w:t xml:space="preserve">-ŋ</w:t>
            </w:r>
            <w:r>
              <w:t xml:space="preserve">, a change of place which the corpus permits in 15 of 53 cases, 28.3%, but does not favour. 戶</w:t>
            </w:r>
            <w:r>
              <w:t xml:space="preserve"> </w:t>
            </w:r>
            <w:r>
              <w:rPr>
                <w:iCs/>
                <w:i/>
              </w:rPr>
              <w:t xml:space="preserve">gɑᴮ</w:t>
            </w:r>
            <w:r>
              <w:t xml:space="preserve"> </w:t>
            </w:r>
            <w:r>
              <w:t xml:space="preserve">→</w:t>
            </w:r>
            <w:r>
              <w:t xml:space="preserve"> </w:t>
            </w:r>
            <w:r>
              <w:rPr>
                <w:iCs/>
                <w:i/>
              </w:rPr>
              <w:t xml:space="preserve">-ga</w:t>
            </w:r>
            <w:r>
              <w:t xml:space="preserve">: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52 of 90, 57.8%, with the vowel open again. The pair is the corpus device for a medial nasal-plus-velar: given a written</w:t>
            </w:r>
            <w:r>
              <w:t xml:space="preserve"> </w:t>
            </w:r>
            <w:r>
              <w:rPr>
                <w:iCs/>
                <w:i/>
              </w:rPr>
              <w:t xml:space="preserve">-ŋ</w:t>
            </w:r>
            <w:r>
              <w:t xml:space="preserve"> </w:t>
            </w:r>
            <w:r>
              <w:t xml:space="preserve">coda followed by a velar onset, the source had a nasal followed by a velar stop in 26 of 29 cases, and the three exceptions are all one word.</w:t>
            </w:r>
            <w:r>
              <w:t xml:space="preserve"> </w:t>
            </w:r>
            <w:r>
              <w:rPr>
                <w:bCs/>
                <w:b/>
              </w:rPr>
              <w:t xml:space="preserve">The whole reading costs 2.18%, about 1 in 46.</w:t>
            </w:r>
            <w:r>
              <w:t xml:space="preserve"> </w:t>
            </w:r>
            <w:r>
              <w:t xml:space="preserve">That is more expensive than the 1 in 37 which retires</w:t>
            </w:r>
            <w:r>
              <w:t xml:space="preserve"> </w:t>
            </w:r>
            <w:r>
              <w:rPr>
                <w:iCs/>
                <w:i/>
              </w:rPr>
              <w:t xml:space="preserve">Baγatur</w:t>
            </w:r>
            <w:r>
              <w:t xml:space="preserve"> </w:t>
            </w:r>
            <w:r>
              <w:t xml:space="preserve">in §8.1 of the paper, and the figure is given here so that a reader can weigh it rather than take the reading on trust.</w:t>
            </w:r>
            <w:r>
              <w:t xml:space="preserve"> </w:t>
            </w:r>
            <w:r>
              <w:rPr>
                <w:bCs/>
                <w:b/>
              </w:rPr>
              <w:t xml:space="preserve">What these characters cannot write.</w:t>
            </w:r>
            <w:r>
              <w:t xml:space="preserve"> </w:t>
            </w:r>
            <w:r>
              <w:t xml:space="preserve">A word with a single velar nasal and no velar stop, which is why</w:t>
            </w:r>
            <w:r>
              <w:t xml:space="preserve"> </w:t>
            </w:r>
            <w:r>
              <w:rPr>
                <w:iCs/>
                <w:i/>
              </w:rPr>
              <w:t xml:space="preserve">toŋa</w:t>
            </w:r>
            <w:r>
              <w:t xml:space="preserve"> </w:t>
            </w:r>
            <w:r>
              <w:t xml:space="preserve">stood here in earlier drafts and has been moved to 車牙若鞮, where two characters write it directly. The Codex Cumanicus forms that appear to fit this frame,</w:t>
            </w:r>
            <w:r>
              <w:t xml:space="preserve"> </w:t>
            </w:r>
            <w:r>
              <w:rPr>
                <w:iCs/>
                <w:i/>
              </w:rPr>
              <w:t xml:space="preserve">tengis</w:t>
            </w:r>
            <w:r>
              <w:t xml:space="preserve">,</w:t>
            </w:r>
            <w:r>
              <w:t xml:space="preserve"> </w:t>
            </w:r>
            <w:r>
              <w:rPr>
                <w:iCs/>
                <w:i/>
              </w:rPr>
              <w:t xml:space="preserve">tongus</w:t>
            </w:r>
            <w:r>
              <w:t xml:space="preserve">,</w:t>
            </w:r>
            <w:r>
              <w:t xml:space="preserve"> </w:t>
            </w:r>
            <w:r>
              <w:rPr>
                <w:iCs/>
                <w:i/>
              </w:rPr>
              <w:t xml:space="preserve">tangis</w:t>
            </w:r>
            <w:r>
              <w:t xml:space="preserve">, are medieval Latin spellings of a single velar nasal, as the Dīwān’s own</w:t>
            </w:r>
            <w:r>
              <w:t xml:space="preserve"> </w:t>
            </w:r>
            <w:r>
              <w:rPr>
                <w:iCs/>
                <w:i/>
              </w:rPr>
              <w:t xml:space="preserve">teñiz</w:t>
            </w:r>
            <w:r>
              <w:t xml:space="preserve"> </w:t>
            </w:r>
            <w:r>
              <w:t xml:space="preserve">and</w:t>
            </w:r>
            <w:r>
              <w:t xml:space="preserve"> </w:t>
            </w:r>
            <w:r>
              <w:rPr>
                <w:iCs/>
                <w:i/>
              </w:rPr>
              <w:t xml:space="preserve">toñuz</w:t>
            </w:r>
            <w:r>
              <w:t xml:space="preserve"> </w:t>
            </w:r>
            <w:r>
              <w:t xml:space="preserve">show for the same words, and they are excluded for the same reason.</w:t>
            </w:r>
            <w:r>
              <w:br/>
            </w:r>
            <w:r>
              <w:t xml:space="preserve">Reason</w:t>
            </w:r>
            <w:r>
              <w:rPr>
                <w:bCs/>
                <w:b/>
              </w:rPr>
              <w:t xml:space="preserve">Tamga, the seal of the ruler, and by extension the officer who keeps it.</w:t>
            </w:r>
            <w:r>
              <w:t xml:space="preserve"> </w:t>
            </w:r>
            <w:r>
              <w:t xml:space="preserve">當戶 is an administrative office in the Xiongnu hierarchy rather than a ruler’s name, so the register wanted is court vocabulary, and</w:t>
            </w:r>
            <w:r>
              <w:t xml:space="preserve"> </w:t>
            </w:r>
            <w:r>
              <w:rPr>
                <w:iCs/>
                <w:i/>
              </w:rPr>
              <w:t xml:space="preserve">tamğa</w:t>
            </w:r>
            <w:r>
              <w:t xml:space="preserve"> </w:t>
            </w:r>
            <w:r>
              <w:t xml:space="preserve">is exactly that.</w:t>
            </w:r>
            <w:r>
              <w:t xml:space="preserve"> </w:t>
            </w:r>
            <w:r>
              <w:rPr>
                <w:bCs/>
                <w:b/>
              </w:rPr>
              <w:t xml:space="preserve">The sense is attested, though not under the headword.</w:t>
            </w:r>
            <w:r>
              <w:t xml:space="preserve"> </w:t>
            </w:r>
            <w:r>
              <w:t xml:space="preserve">Kāşgarî’s own entry for</w:t>
            </w:r>
            <w:r>
              <w:t xml:space="preserve"> </w:t>
            </w:r>
            <w:r>
              <w:rPr>
                <w:iCs/>
                <w:i/>
              </w:rPr>
              <w:t xml:space="preserve">tamga</w:t>
            </w:r>
            <w:r>
              <w:t xml:space="preserve"> </w:t>
            </w:r>
            <w:r>
              <w:t xml:space="preserve">gives an unrelated sense, a branch of water or an anchorage, but the derivatives in the same dictionary carry the seal throughout:</w:t>
            </w:r>
            <w:r>
              <w:t xml:space="preserve"> </w:t>
            </w:r>
            <w:r>
              <w:rPr>
                <w:iCs/>
                <w:i/>
              </w:rPr>
              <w:t xml:space="preserve">tamgalamak</w:t>
            </w:r>
            <w:r>
              <w:t xml:space="preserve">, “to strike the khan’s seal” (III 353), and</w:t>
            </w:r>
            <w:r>
              <w:t xml:space="preserve"> </w:t>
            </w:r>
            <w:r>
              <w:rPr>
                <w:iCs/>
                <w:i/>
              </w:rPr>
              <w:t xml:space="preserve">tamgalıg</w:t>
            </w:r>
            <w:r>
              <w:t xml:space="preserve"> </w:t>
            </w:r>
            <w:r>
              <w:t xml:space="preserve">and</w:t>
            </w:r>
            <w:r>
              <w:t xml:space="preserve"> </w:t>
            </w:r>
            <w:r>
              <w:rPr>
                <w:iCs/>
                <w:i/>
              </w:rPr>
              <w:t xml:space="preserve">tamgalık</w:t>
            </w:r>
            <w:r>
              <w:t xml:space="preserve">, “objects bearing the khan’s seal” (I 527). Clauson adds an Uyghur civil document,</w:t>
            </w:r>
            <w:r>
              <w:t xml:space="preserve"> </w:t>
            </w:r>
            <w:r>
              <w:rPr>
                <w:iCs/>
                <w:i/>
              </w:rPr>
              <w:t xml:space="preserve">beg tamğası elgiŋde</w:t>
            </w:r>
            <w:r>
              <w:t xml:space="preserve">, “a beg’s seal is in your hand” (TT I 129). So the administrative sense is on record in two independent places, and the later Turkic and Mongol chanceries make</w:t>
            </w:r>
            <w:r>
              <w:t xml:space="preserve"> </w:t>
            </w:r>
            <w:r>
              <w:rPr>
                <w:iCs/>
                <w:i/>
              </w:rPr>
              <w:t xml:space="preserve">tamga</w:t>
            </w:r>
            <w:r>
              <w:t xml:space="preserve"> </w:t>
            </w:r>
            <w:r>
              <w:t xml:space="preserve">the ordinary word for the seal, with</w:t>
            </w:r>
            <w:r>
              <w:t xml:space="preserve"> </w:t>
            </w:r>
            <w:r>
              <w:rPr>
                <w:iCs/>
                <w:i/>
              </w:rPr>
              <w:t xml:space="preserve">tamgacı</w:t>
            </w:r>
            <w:r>
              <w:t xml:space="preserve"> </w:t>
            </w:r>
            <w:r>
              <w:t xml:space="preserve">its keeper.</w:t>
            </w:r>
            <w:r>
              <w:t xml:space="preserve"> </w:t>
            </w:r>
            <w:r>
              <w:rPr>
                <w:bCs/>
                <w:b/>
              </w:rPr>
              <w:t xml:space="preserve">What is not settled.</w:t>
            </w:r>
            <w:r>
              <w:t xml:space="preserve"> </w:t>
            </w:r>
            <w:r>
              <w:t xml:space="preserve">The price, 1 in 46, which is worse than the threshold the paper uses elsewhere, and the reader is told so above. The nasal, which is a change of place rather than a direct correspondence. That the seal sense reaches the headword only through its derivatives, so the chain has one link more than at a row where the dictionary glosses the word itself. And whether the Chinese office 當戶 had anything to do with seals, which the histories do not say and this reading assumes.</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Elti</w:t>
            </w:r>
          </w:p>
        </w:tc>
        <w:tc>
          <w:tcPr/>
          <w:p>
            <w:pPr>
              <w:pStyle w:val="Compact"/>
              <w:jc w:val="left"/>
            </w:pPr>
            <w:r>
              <w:t xml:space="preserve">lady; a woman related by marriage</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el-</w:t>
            </w:r>
            <w:r>
              <w:t xml:space="preserve">: a vowel-initial character whose written -t carries the source liquid. Later Han had no -r or -l in any coda, so a source syllable ending in one was written with a -t or left open: of 37 such syllables in the Sanskrit corpus, 21 were left open and 14 took a -t, 38%. 氏</w:t>
            </w:r>
            <w:r>
              <w:t xml:space="preserve"> </w:t>
            </w:r>
            <w:r>
              <w:rPr>
                <w:iCs/>
                <w:i/>
              </w:rPr>
              <w:t xml:space="preserve">dźeᴮ</w:t>
            </w:r>
            <w:r>
              <w:t xml:space="preserve"> </w:t>
            </w:r>
            <w:r>
              <w:t xml:space="preserve">→</w:t>
            </w:r>
            <w:r>
              <w:t xml:space="preserve"> </w:t>
            </w:r>
            <w:r>
              <w:rPr>
                <w:iCs/>
                <w:i/>
              </w:rPr>
              <w:t xml:space="preserve">-ti</w:t>
            </w:r>
            <w:r>
              <w:t xml:space="preserve">: a dental onset with the vowel free. The first character is not polyphonic: Schuessler’s table gives 閼 the single value</w:t>
            </w:r>
            <w:r>
              <w:t xml:space="preserve"> </w:t>
            </w:r>
            <w:r>
              <w:rPr>
                <w:iCs/>
                <w:i/>
              </w:rPr>
              <w:t xml:space="preserve">ʔɑt</w:t>
            </w:r>
            <w:r>
              <w:t xml:space="preserve">, and Baxter and Sagart give Middle Chinese</w:t>
            </w:r>
            <w:r>
              <w:t xml:space="preserve"> </w:t>
            </w:r>
            <w:r>
              <w:rPr>
                <w:iCs/>
                <w:i/>
              </w:rPr>
              <w:t xml:space="preserve">ʔat</w:t>
            </w:r>
            <w:r>
              <w:t xml:space="preserve"> </w:t>
            </w:r>
            <w:r>
              <w:t xml:space="preserve">from Old Chinese</w:t>
            </w:r>
            <w:r>
              <w:t xml:space="preserve"> </w:t>
            </w:r>
            <w:r>
              <w:rPr>
                <w:iCs/>
                <w:i/>
              </w:rPr>
              <w:t xml:space="preserve">*qˤat</w:t>
            </w:r>
            <w:r>
              <w:t xml:space="preserve">. The -n that the parallel spelling 焉支 carries belongs to 焉, a different character, which Baxter and Sagart give two readings, both in -n. The second character is another matter: the table gives 氏 as</w:t>
            </w:r>
            <w:r>
              <w:t xml:space="preserve"> </w:t>
            </w:r>
            <w:r>
              <w:rPr>
                <w:iCs/>
                <w:i/>
              </w:rPr>
              <w:t xml:space="preserve">dźeᴮ</w:t>
            </w:r>
            <w:r>
              <w:t xml:space="preserve">,</w:t>
            </w:r>
            <w:r>
              <w:t xml:space="preserve"> </w:t>
            </w:r>
            <w:r>
              <w:rPr>
                <w:iCs/>
                <w:i/>
              </w:rPr>
              <w:t xml:space="preserve">gieᴮ</w:t>
            </w:r>
            <w:r>
              <w:t xml:space="preserve">,</w:t>
            </w:r>
            <w:r>
              <w:t xml:space="preserve"> </w:t>
            </w:r>
            <w:r>
              <w:rPr>
                <w:iCs/>
                <w:i/>
              </w:rPr>
              <w:t xml:space="preserve">tśe</w:t>
            </w:r>
            <w:r>
              <w:t xml:space="preserve"> </w:t>
            </w:r>
            <w:r>
              <w:t xml:space="preserve">and</w:t>
            </w:r>
            <w:r>
              <w:t xml:space="preserve"> </w:t>
            </w:r>
            <w:r>
              <w:rPr>
                <w:iCs/>
                <w:i/>
              </w:rPr>
              <w:t xml:space="preserve">kie</w:t>
            </w:r>
            <w:r>
              <w:t xml:space="preserve">, and Baxter and Sagart reconstruct</w:t>
            </w:r>
            <w:r>
              <w:t xml:space="preserve"> </w:t>
            </w:r>
            <w:r>
              <w:rPr>
                <w:iCs/>
                <w:i/>
              </w:rPr>
              <w:t xml:space="preserve">*k.deʔ</w:t>
            </w:r>
            <w:r>
              <w:t xml:space="preserve"> </w:t>
            </w:r>
            <w:r>
              <w:t xml:space="preserve">with a velar preinitial, which is where the velar readings come from. This item is character-anchored in the emission row; the second character is less constrained than that alone suggests.</w:t>
            </w:r>
            <w:r>
              <w:br/>
            </w:r>
            <w:r>
              <w:t xml:space="preserve">Reason</w:t>
            </w:r>
            <w:r>
              <w:rPr>
                <w:bCs/>
                <w:b/>
              </w:rPr>
              <w:t xml:space="preserve">Elti, “lady”.</w:t>
            </w:r>
            <w:r>
              <w:t xml:space="preserve"> </w:t>
            </w:r>
            <w:r>
              <w:t xml:space="preserve">Modern Turkish</w:t>
            </w:r>
            <w:r>
              <w:t xml:space="preserve"> </w:t>
            </w:r>
            <w:r>
              <w:rPr>
                <w:iCs/>
                <w:i/>
              </w:rPr>
              <w:t xml:space="preserve">elti</w:t>
            </w:r>
            <w:r>
              <w:t xml:space="preserve"> </w:t>
            </w:r>
            <w:r>
              <w:t xml:space="preserve">is what each of two brothers’ wives calls the other, and in dialect what two wives of one man call each other. It is not only modern: Clauson 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 fourteenth-century Arabic-Turkish glossary, which is the sense a consort’s title would want. Nişanyan takes Middle Turkic</w:t>
            </w:r>
            <w:r>
              <w:t xml:space="preserve"> </w:t>
            </w:r>
            <w:r>
              <w:rPr>
                <w:iCs/>
                <w:i/>
              </w:rPr>
              <w:t xml:space="preserve">élti</w:t>
            </w:r>
            <w:r>
              <w:t xml:space="preserve"> </w:t>
            </w:r>
            <w:r>
              <w:t xml:space="preserve">“married woman, as a respectful term” and derives it, with a stated doubt, from Old Turkic</w:t>
            </w:r>
            <w:r>
              <w:t xml:space="preserve"> </w:t>
            </w:r>
            <w:r>
              <w:rPr>
                <w:iCs/>
                <w:i/>
              </w:rPr>
              <w:t xml:space="preserve">élt-</w:t>
            </w:r>
            <w:r>
              <w:t xml:space="preserve"> </w:t>
            </w:r>
            <w:r>
              <w:t xml:space="preserve">“to carry, to lead”. If that holds, the word has the shape of</w:t>
            </w:r>
            <w:r>
              <w:t xml:space="preserve"> </w:t>
            </w:r>
            <w:r>
              <w:rPr>
                <w:iCs/>
                <w:i/>
              </w:rPr>
              <w:t xml:space="preserve">kelin</w:t>
            </w:r>
            <w:r>
              <w:t xml:space="preserve"> </w:t>
            </w:r>
            <w:r>
              <w:t xml:space="preserve">“bride”, which Clauson derives from</w:t>
            </w:r>
            <w:r>
              <w:t xml:space="preserve"> </w:t>
            </w:r>
            <w:r>
              <w:rPr>
                <w:iCs/>
                <w:i/>
              </w:rPr>
              <w:t xml:space="preserve">kel-</w:t>
            </w:r>
            <w:r>
              <w:t xml:space="preserve"> </w:t>
            </w:r>
            <w:r>
              <w:t xml:space="preserve">as “one who comes in (to the family)”: a deverbal noun naming a woman by how she entered it. 閼氏 is the title of the chanyu’s principal consort.</w:t>
            </w:r>
            <w:r>
              <w:t xml:space="preserve"> </w:t>
            </w:r>
            <w:r>
              <w:rPr>
                <w:bCs/>
                <w:b/>
              </w:rPr>
              <w:t xml:space="preserve">Why this replaces the earlier proposal in this supplement.</w:t>
            </w:r>
            <w:r>
              <w:t xml:space="preserve"> </w:t>
            </w:r>
            <w:r>
              <w:t xml:space="preserve">The earlier reading was</w:t>
            </w:r>
            <w:r>
              <w:t xml:space="preserve"> </w:t>
            </w:r>
            <w:r>
              <w:rPr>
                <w:iCs/>
                <w:i/>
              </w:rPr>
              <w:t xml:space="preserve">ece</w:t>
            </w:r>
            <w:r>
              <w:t xml:space="preserve"> </w:t>
            </w:r>
            <w:r>
              <w:t xml:space="preserve">“elder sister”, later</w:t>
            </w:r>
            <w:r>
              <w:t xml:space="preserve"> </w:t>
            </w:r>
            <w:r>
              <w:rPr>
                <w:iCs/>
                <w:i/>
              </w:rPr>
              <w:t xml:space="preserve">eci</w:t>
            </w:r>
            <w:r>
              <w:t xml:space="preserve"> </w:t>
            </w:r>
            <w:r>
              <w:t xml:space="preserve">“senior woman, lady”, both of which are in the Kāşgarî index (I, 86 and I, 87) and the second of which is the better semantic fit. Both discard the written -t of 閼, and the corpus makes that expensive: where the source has a single affricate or sibilant between two vowels, the preceding character was open in 134 of 143 junctions, 93.7%, and carried a -t in 2, 1.4%. That is a worse cost than the 1 in 37 the paper uses in §8.1 against a rival reading elsewhere, so consistency required either conceding it or finding a reading that uses the -t.</w:t>
            </w:r>
            <w:r>
              <w:t xml:space="preserve"> </w:t>
            </w:r>
            <w:r>
              <w:rPr>
                <w:iCs/>
                <w:i/>
              </w:rPr>
              <w:t xml:space="preserve">elti</w:t>
            </w:r>
            <w:r>
              <w:t xml:space="preserve"> </w:t>
            </w:r>
            <w:r>
              <w:t xml:space="preserve">uses it, at 38%. The earlier proposal is recorded here rather than removed, since the reasoning that led away from it is the useful part.</w:t>
            </w:r>
            <w:r>
              <w:t xml:space="preserve"> </w:t>
            </w:r>
            <w:r>
              <w:rPr>
                <w:bCs/>
                <w:b/>
              </w:rPr>
              <w:t xml:space="preserve">What is not settled.</w:t>
            </w:r>
            <w:r>
              <w:t xml:space="preserve"> </w:t>
            </w:r>
            <w:r>
              <w:rPr>
                <w:iCs/>
                <w:i/>
              </w:rPr>
              <w:t xml:space="preserve">elti</w:t>
            </w:r>
            <w:r>
              <w:t xml:space="preserve"> </w:t>
            </w:r>
            <w:r>
              <w:t xml:space="preserve">is not in the Türk Dil Kurumu index nor in the Codex Cumanicus, and the fourteenth-century attestation is in the edition Clauson marks “(only)”. Pulleyblank read the title as Turkic and Mongolian</w:t>
            </w:r>
            <w:r>
              <w:t xml:space="preserve"> </w:t>
            </w:r>
            <w:r>
              <w:rPr>
                <w:iCs/>
                <w:i/>
              </w:rPr>
              <w:t xml:space="preserve">qatun</w:t>
            </w:r>
            <w:r>
              <w:t xml:space="preserve">; Vovin rejects that and proposes instead a Yeniseian</w:t>
            </w:r>
            <w:r>
              <w:t xml:space="preserve"> </w:t>
            </w:r>
            <w:r>
              <w:rPr>
                <w:iCs/>
                <w:i/>
              </w:rPr>
              <w:t xml:space="preserve">*alte</w:t>
            </w:r>
            <w:r>
              <w:t xml:space="preserve"> </w:t>
            </w:r>
            <w:r>
              <w:t xml:space="preserve">or</w:t>
            </w:r>
            <w:r>
              <w:t xml:space="preserve"> </w:t>
            </w:r>
            <w:r>
              <w:rPr>
                <w:iCs/>
                <w:i/>
              </w:rPr>
              <w:t xml:space="preserve">*elte</w:t>
            </w:r>
            <w:r>
              <w:t xml:space="preserve"> </w:t>
            </w:r>
            <w:r>
              <w:t xml:space="preserve">“wife”, from Proto-Yeniseian</w:t>
            </w:r>
            <w:r>
              <w:t xml:space="preserve"> </w:t>
            </w:r>
            <w:r>
              <w:rPr>
                <w:iCs/>
                <w:i/>
              </w:rPr>
              <w:t xml:space="preserve">*ʔal(V)it-</w:t>
            </w:r>
            <w:r>
              <w:t xml:space="preserve"> </w:t>
            </w:r>
            <w:r>
              <w:t xml:space="preserve">(Kott</w:t>
            </w:r>
            <w:r>
              <w:t xml:space="preserve"> </w:t>
            </w:r>
            <w:r>
              <w:rPr>
                <w:iCs/>
                <w:i/>
              </w:rPr>
              <w:t xml:space="preserve">alit</w:t>
            </w:r>
            <w:r>
              <w:t xml:space="preserve">, Assan</w:t>
            </w:r>
            <w:r>
              <w:t xml:space="preserve"> </w:t>
            </w:r>
            <w:r>
              <w:rPr>
                <w:iCs/>
                <w:i/>
              </w:rPr>
              <w:t xml:space="preserve">alit</w:t>
            </w:r>
            <w:r>
              <w:t xml:space="preserve">, Arin</w:t>
            </w:r>
            <w:r>
              <w:t xml:space="preserve"> </w:t>
            </w:r>
            <w:r>
              <w:rPr>
                <w:iCs/>
                <w:i/>
              </w:rPr>
              <w:t xml:space="preserve">biqam-alte</w:t>
            </w:r>
            <w:r>
              <w:t xml:space="preserve">), noting that it “could be transcribed in Chinese only as</w:t>
            </w:r>
            <w:r>
              <w:t xml:space="preserve"> </w:t>
            </w:r>
            <w:r>
              <w:rPr>
                <w:iCs/>
                <w:i/>
              </w:rPr>
              <w:t xml:space="preserve">*ʔat-tej</w:t>
            </w:r>
            <w:r>
              <w:t xml:space="preserve"> </w:t>
            </w:r>
            <w:r>
              <w:t xml:space="preserve">or</w:t>
            </w:r>
            <w:r>
              <w:t xml:space="preserve"> </w:t>
            </w:r>
            <w:r>
              <w:rPr>
                <w:iCs/>
                <w:i/>
              </w:rPr>
              <w:t xml:space="preserve">*ʔen-tej</w:t>
            </w:r>
            <w:r>
              <w:t xml:space="preserve">”. He is right about the Chinese and the same spelling writes</w:t>
            </w:r>
            <w:r>
              <w:t xml:space="preserve"> </w:t>
            </w:r>
            <w:r>
              <w:rPr>
                <w:iCs/>
                <w:i/>
              </w:rPr>
              <w:t xml:space="preserve">elti</w:t>
            </w:r>
            <w:r>
              <w:t xml:space="preserve"> </w:t>
            </w:r>
            <w:r>
              <w:t xml:space="preserve">by the same steps, so the transcription does not choose between the two languages. §9.1 of the paper sets that out as a measured case of the negative result of §6.1.</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supplement.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supplement: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9"/>
    <w:bookmarkStart w:id="30"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common in the literature and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Kıyat</w:t>
            </w:r>
          </w:p>
        </w:tc>
        <w:tc>
          <w:tcPr/>
          <w:p>
            <w:pPr>
              <w:pStyle w:val="Compact"/>
              <w:jc w:val="left"/>
            </w:pPr>
            <w:r>
              <w:t xml:space="preserve">floods</w:t>
            </w:r>
          </w:p>
        </w:tc>
      </w:tr>
      <w:tr>
        <w:tc>
          <w:tcPr>
            <w:gridSpan w:val="5"/>
          </w:tcPr>
          <w:p>
            <w:pPr>
              <w:pStyle w:val="Compact"/>
              <w:jc w:val="left"/>
            </w:pPr>
            <w:r>
              <w:t xml:space="preserve">Phonetics</w:t>
            </w:r>
            <w:r>
              <w:t xml:space="preserve">A single character. 羯</w:t>
            </w:r>
            <w:r>
              <w:t xml:space="preserve"> </w:t>
            </w:r>
            <w:r>
              <w:rPr>
                <w:iCs/>
                <w:i/>
              </w:rPr>
              <w:t xml:space="preserve">kɨat</w:t>
            </w:r>
            <w:r>
              <w:t xml:space="preserve"> </w:t>
            </w:r>
            <w:r>
              <w:t xml:space="preserve">→</w:t>
            </w:r>
            <w:r>
              <w:t xml:space="preserve"> </w:t>
            </w:r>
            <w:r>
              <w:rPr>
                <w:iCs/>
                <w:i/>
              </w:rPr>
              <w:t xml:space="preserve">kıyat</w:t>
            </w:r>
            <w:r>
              <w:t xml:space="preserve">: the k- is default and the -t coda is written, so the consonant frame k…t is secure and only the medial glide is free. Fully character-anchored.</w:t>
            </w:r>
            <w:r>
              <w:br/>
            </w:r>
            <w:r>
              <w:t xml:space="preserve">Reason</w:t>
            </w:r>
            <w:r>
              <w:rPr>
                <w:iCs/>
                <w:i/>
              </w:rPr>
              <w:t xml:space="preserve">kıyat</w:t>
            </w:r>
            <w:r>
              <w:t xml:space="preserve">, of flooding. The Jie are recorded as a group within or beside the Xiongnu; the reading is offered for the ethnonym only, and beside rather than against the standing one: 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Pumpokol</w:t>
            </w:r>
            <w:r>
              <w:t xml:space="preserve"> </w:t>
            </w:r>
            <w:r>
              <w:rPr>
                <w:iCs/>
                <w:i/>
              </w:rPr>
              <w:t xml:space="preserve">kit</w:t>
            </w:r>
            <w:r>
              <w:t xml:space="preserve">), which is the Yeniseian self-designation (Vovin 2000,</w:t>
            </w:r>
            <w:r>
              <w:t xml:space="preserve"> </w:t>
            </w:r>
            <w:r>
              <w:rPr>
                <w:iCs/>
                <w:i/>
              </w:rPr>
              <w:t xml:space="preserve">CAJ</w:t>
            </w:r>
            <w:r>
              <w:t xml:space="preserve"> </w:t>
            </w:r>
            <w:r>
              <w:t xml:space="preserve">44/1, p. 91).</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30"/>
    <w:bookmarkStart w:id="31"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these same polyphonic characters. Where an alternative would change a proposed reading, the entry for that item says so.</w:t>
      </w:r>
    </w:p>
    <w:bookmarkEnd w:id="31"/>
    <w:bookmarkStart w:id="32" w:name="X27277151e8f3f4b63710fcfe12873f1a6b9d05b"/>
    <w:p>
      <w:pPr>
        <w:pStyle w:val="Heading2"/>
      </w:pPr>
      <w:r>
        <w:t xml:space="preserve">S1.12</w:t>
      </w:r>
      <w:r>
        <w:t xml:space="preserve"> </w:t>
      </w:r>
      <w:r>
        <w:t xml:space="preserve">The two reconstructions of each character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w:t>
            </w:r>
          </w:p>
        </w:tc>
        <w:tc>
          <w:tcPr/>
          <w:p>
            <w:pPr>
              <w:pStyle w:val="Compact"/>
              <w:jc w:val="left"/>
            </w:pPr>
            <w:r>
              <w:t xml:space="preserve">Later Han</w:t>
            </w:r>
            <w:r>
              <w:br/>
            </w:r>
            <w:r>
              <w:t xml:space="preserve">(Schuessler)</w:t>
            </w:r>
          </w:p>
        </w:tc>
        <w:tc>
          <w:tcPr/>
          <w:p>
            <w:pPr>
              <w:pStyle w:val="Compact"/>
              <w:jc w:val="left"/>
            </w:pPr>
            <w:r>
              <w:t xml:space="preserve">Old Chinese</w:t>
            </w:r>
            <w:r>
              <w:br/>
            </w:r>
            <w:r>
              <w:t xml:space="preserve">(Baxter &amp; Sagart)</w:t>
            </w:r>
          </w:p>
        </w:tc>
        <w:tc>
          <w:tcPr/>
          <w:p>
            <w:pPr>
              <w:pStyle w:val="Compact"/>
              <w:jc w:val="left"/>
            </w:pPr>
            <w:r>
              <w:t xml:space="preserve">Onset class</w:t>
            </w:r>
          </w:p>
        </w:tc>
        <w:tc>
          <w:tcPr/>
          <w:p>
            <w:pPr>
              <w:pStyle w:val="Compact"/>
              <w:jc w:val="left"/>
            </w:pPr>
            <w:r>
              <w:t xml:space="preserve">Coda class</w:t>
            </w:r>
          </w:p>
        </w:tc>
      </w:tr>
      <w:tr>
        <w:tc>
          <w:tcPr/>
          <w:p>
            <w:pPr>
              <w:pStyle w:val="Compact"/>
              <w:jc w:val="left"/>
            </w:pPr>
            <w:r>
              <w:t xml:space="preserve">粥</w:t>
            </w:r>
          </w:p>
        </w:tc>
        <w:tc>
          <w:tcPr/>
          <w:p>
            <w:pPr>
              <w:pStyle w:val="Compact"/>
              <w:jc w:val="left"/>
            </w:pPr>
            <w:r>
              <w:t xml:space="preserve">tśuk</w:t>
            </w:r>
          </w:p>
        </w:tc>
        <w:tc>
          <w:tcPr/>
          <w:p>
            <w:pPr>
              <w:pStyle w:val="Compact"/>
              <w:jc w:val="left"/>
            </w:pPr>
            <w:r>
              <w:t xml:space="preserve">t-quk</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軍</w:t>
            </w:r>
          </w:p>
        </w:tc>
        <w:tc>
          <w:tcPr/>
          <w:p>
            <w:pPr>
              <w:pStyle w:val="Compact"/>
              <w:jc w:val="left"/>
            </w:pPr>
            <w:r>
              <w:t xml:space="preserve">kun</w:t>
            </w:r>
          </w:p>
        </w:tc>
        <w:tc>
          <w:tcPr/>
          <w:p>
            <w:pPr>
              <w:pStyle w:val="Compact"/>
              <w:jc w:val="left"/>
            </w:pPr>
            <w:r>
              <w:t xml:space="preserve">[k]ʷəәr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[g]i[ŋ]</w:t>
            </w:r>
          </w:p>
        </w:tc>
        <w:tc>
          <w:tcPr/>
          <w:p>
            <w:pPr>
              <w:pStyle w:val="Compact"/>
              <w:jc w:val="left"/>
            </w:pPr>
            <w:r>
              <w:t xml:space="preserve">palatal → velar</w:t>
            </w:r>
          </w:p>
        </w:tc>
        <w:tc>
          <w:tcPr/>
          <w:p>
            <w:pPr>
              <w:pStyle w:val="Compact"/>
              <w:jc w:val="left"/>
            </w:pPr>
            <w:r>
              <w:t xml:space="preserve">dental nasal → velar nasal</w:t>
            </w:r>
          </w:p>
        </w:tc>
      </w:tr>
      <w:tr>
        <w:tc>
          <w:tcPr/>
          <w:p>
            <w:pPr>
              <w:pStyle w:val="Compact"/>
              <w:jc w:val="left"/>
            </w:pPr>
            <w:r>
              <w:t xml:space="preserve">稚</w:t>
            </w:r>
          </w:p>
        </w:tc>
        <w:tc>
          <w:tcPr/>
          <w:p>
            <w:pPr>
              <w:pStyle w:val="Compact"/>
              <w:jc w:val="left"/>
            </w:pPr>
            <w:r>
              <w:t xml:space="preserve">ḍi</w:t>
            </w:r>
          </w:p>
        </w:tc>
        <w:tc>
          <w:tcPr/>
          <w:p>
            <w:pPr>
              <w:pStyle w:val="Compact"/>
              <w:jc w:val="left"/>
            </w:pPr>
            <w:r>
              <w:t xml:space="preserve">lrəәj-s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維</w:t>
            </w:r>
          </w:p>
        </w:tc>
        <w:tc>
          <w:tcPr/>
          <w:p>
            <w:pPr>
              <w:pStyle w:val="Compact"/>
              <w:jc w:val="left"/>
            </w:pPr>
            <w:r>
              <w:t xml:space="preserve">wi</w:t>
            </w:r>
          </w:p>
        </w:tc>
        <w:tc>
          <w:tcPr/>
          <w:p>
            <w:pPr>
              <w:pStyle w:val="Compact"/>
              <w:jc w:val="left"/>
            </w:pPr>
            <w:r>
              <w:t xml:space="preserve">ɢʷij</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詹</w:t>
            </w:r>
          </w:p>
        </w:tc>
        <w:tc>
          <w:tcPr/>
          <w:p>
            <w:pPr>
              <w:pStyle w:val="Compact"/>
              <w:jc w:val="left"/>
            </w:pPr>
            <w:r>
              <w:t xml:space="preserve">tśam</w:t>
            </w:r>
          </w:p>
        </w:tc>
        <w:tc>
          <w:tcPr/>
          <w:p>
            <w:pPr>
              <w:pStyle w:val="Compact"/>
              <w:jc w:val="left"/>
            </w:pPr>
            <w:r>
              <w:t xml:space="preserve">[t]am</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衍</w:t>
            </w:r>
          </w:p>
        </w:tc>
        <w:tc>
          <w:tcPr/>
          <w:p>
            <w:pPr>
              <w:pStyle w:val="Compact"/>
              <w:jc w:val="left"/>
            </w:pPr>
            <w:r>
              <w:t xml:space="preserve">jan</w:t>
            </w:r>
          </w:p>
        </w:tc>
        <w:tc>
          <w:tcPr/>
          <w:p>
            <w:pPr>
              <w:pStyle w:val="Compact"/>
              <w:jc w:val="left"/>
            </w:pPr>
            <w:r>
              <w:t xml:space="preserve">N-q(r)anʔ</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權</w:t>
            </w:r>
          </w:p>
        </w:tc>
        <w:tc>
          <w:tcPr/>
          <w:p>
            <w:pPr>
              <w:pStyle w:val="Compact"/>
              <w:jc w:val="left"/>
            </w:pPr>
            <w:r>
              <w:t xml:space="preserve">gyan</w:t>
            </w:r>
          </w:p>
        </w:tc>
        <w:tc>
          <w:tcPr/>
          <w:p>
            <w:pPr>
              <w:pStyle w:val="Compact"/>
              <w:jc w:val="left"/>
            </w:pPr>
            <w:r>
              <w:t xml:space="preserve">[g]ʷrar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韓</w:t>
            </w:r>
          </w:p>
        </w:tc>
        <w:tc>
          <w:tcPr/>
          <w:p>
            <w:pPr>
              <w:pStyle w:val="Compact"/>
              <w:jc w:val="left"/>
            </w:pPr>
            <w:r>
              <w:t xml:space="preserve">gɑn</w:t>
            </w:r>
          </w:p>
        </w:tc>
        <w:tc>
          <w:tcPr/>
          <w:p>
            <w:pPr>
              <w:pStyle w:val="Compact"/>
              <w:jc w:val="left"/>
            </w:pPr>
            <w:r>
              <w:t xml:space="preserve">[g]ˤar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səә.ɢA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ke</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若</w:t>
            </w:r>
          </w:p>
        </w:tc>
        <w:tc>
          <w:tcPr/>
          <w:p>
            <w:pPr>
              <w:pStyle w:val="Compact"/>
              <w:jc w:val="left"/>
            </w:pPr>
            <w:r>
              <w:t xml:space="preserve">ńɑk</w:t>
            </w:r>
          </w:p>
        </w:tc>
        <w:tc>
          <w:tcPr/>
          <w:p>
            <w:pPr>
              <w:pStyle w:val="Compact"/>
              <w:jc w:val="left"/>
            </w:pPr>
            <w:r>
              <w:t xml:space="preserve">nak</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[t.qʰ](r)A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[g]ew</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尸</w:t>
            </w:r>
          </w:p>
        </w:tc>
        <w:tc>
          <w:tcPr/>
          <w:p>
            <w:pPr>
              <w:pStyle w:val="Compact"/>
              <w:jc w:val="left"/>
            </w:pPr>
            <w:r>
              <w:t xml:space="preserve">śi</w:t>
            </w:r>
          </w:p>
        </w:tc>
        <w:tc>
          <w:tcPr/>
          <w:p>
            <w:pPr>
              <w:pStyle w:val="Compact"/>
              <w:jc w:val="left"/>
            </w:pPr>
            <w:r>
              <w:t xml:space="preserve">l̥̥[əә]j</w:t>
            </w:r>
          </w:p>
        </w:tc>
        <w:tc>
          <w:tcPr/>
          <w:p>
            <w:pPr>
              <w:pStyle w:val="Compact"/>
              <w:jc w:val="left"/>
            </w:pPr>
            <w:r>
              <w:t xml:space="preserve">palatal → liquid</w:t>
            </w:r>
          </w:p>
        </w:tc>
        <w:tc>
          <w:tcPr/>
          <w:p>
            <w:pPr>
              <w:pStyle w:val="Compact"/>
              <w:jc w:val="left"/>
            </w:pPr>
            <w:r>
              <w:t xml:space="preserve">—</w:t>
            </w:r>
          </w:p>
        </w:tc>
      </w:tr>
      <w:tr>
        <w:tc>
          <w:tcPr/>
          <w:p>
            <w:pPr>
              <w:pStyle w:val="Compact"/>
              <w:jc w:val="left"/>
            </w:pPr>
            <w:r>
              <w:t xml:space="preserve">道</w:t>
            </w:r>
          </w:p>
        </w:tc>
        <w:tc>
          <w:tcPr/>
          <w:p>
            <w:pPr>
              <w:pStyle w:val="Compact"/>
              <w:jc w:val="left"/>
            </w:pPr>
            <w:r>
              <w:t xml:space="preserve">dou</w:t>
            </w:r>
          </w:p>
        </w:tc>
        <w:tc>
          <w:tcPr/>
          <w:p>
            <w:pPr>
              <w:pStyle w:val="Compact"/>
              <w:jc w:val="left"/>
            </w:pPr>
            <w:r>
              <w:t xml:space="preserve">lˤuʔ-s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dar</w:t>
            </w:r>
          </w:p>
        </w:tc>
        <w:tc>
          <w:tcPr/>
          <w:p>
            <w:pPr>
              <w:pStyle w:val="Compact"/>
              <w:jc w:val="left"/>
            </w:pPr>
            <w:r>
              <w:t xml:space="preserve">palatal → dental</w:t>
            </w:r>
          </w:p>
        </w:tc>
        <w:tc>
          <w:tcPr/>
          <w:p>
            <w:pPr>
              <w:pStyle w:val="Compact"/>
              <w:jc w:val="left"/>
            </w:pPr>
            <w:r>
              <w:t xml:space="preserve">dental nasal → liquid</w:t>
            </w:r>
          </w:p>
        </w:tc>
      </w:tr>
      <w:tr>
        <w:tc>
          <w:tcPr/>
          <w:p>
            <w:pPr>
              <w:pStyle w:val="Compact"/>
              <w:jc w:val="left"/>
            </w:pPr>
            <w:r>
              <w:t xml:space="preserve">于</w:t>
            </w:r>
          </w:p>
        </w:tc>
        <w:tc>
          <w:tcPr/>
          <w:p>
            <w:pPr>
              <w:pStyle w:val="Compact"/>
              <w:jc w:val="left"/>
            </w:pPr>
            <w:r>
              <w:t xml:space="preserve">wɑ</w:t>
            </w:r>
          </w:p>
        </w:tc>
        <w:tc>
          <w:tcPr/>
          <w:p>
            <w:pPr>
              <w:pStyle w:val="Compact"/>
              <w:jc w:val="left"/>
            </w:pPr>
            <w:r>
              <w:t xml:space="preserve">ɢʷ(r)a</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塗</w:t>
            </w:r>
          </w:p>
        </w:tc>
        <w:tc>
          <w:tcPr/>
          <w:p>
            <w:pPr>
              <w:pStyle w:val="Compact"/>
              <w:jc w:val="left"/>
            </w:pPr>
            <w:r>
              <w:t xml:space="preserve">dɑ</w:t>
            </w:r>
          </w:p>
        </w:tc>
        <w:tc>
          <w:tcPr/>
          <w:p>
            <w:pPr>
              <w:pStyle w:val="Compact"/>
              <w:jc w:val="left"/>
            </w:pPr>
            <w:r>
              <w:t xml:space="preserve">lˤa</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閼</w:t>
            </w:r>
          </w:p>
        </w:tc>
        <w:tc>
          <w:tcPr/>
          <w:p>
            <w:pPr>
              <w:pStyle w:val="Compact"/>
              <w:jc w:val="left"/>
            </w:pPr>
            <w:r>
              <w:t xml:space="preserve">ʔɑt</w:t>
            </w:r>
          </w:p>
        </w:tc>
        <w:tc>
          <w:tcPr/>
          <w:p>
            <w:pPr>
              <w:pStyle w:val="Compact"/>
              <w:jc w:val="left"/>
            </w:pPr>
            <w:r>
              <w:t xml:space="preserve">qˤat</w:t>
            </w:r>
          </w:p>
        </w:tc>
        <w:tc>
          <w:tcPr/>
          <w:p>
            <w:pPr>
              <w:pStyle w:val="Compact"/>
              <w:jc w:val="left"/>
            </w:pPr>
            <w:r>
              <w:t xml:space="preserve">glottal → velar</w:t>
            </w:r>
          </w:p>
        </w:tc>
        <w:tc>
          <w:tcPr/>
          <w:p>
            <w:pPr>
              <w:pStyle w:val="Compact"/>
              <w:jc w:val="left"/>
            </w:pPr>
            <w:r>
              <w:t xml:space="preserve">—</w:t>
            </w:r>
          </w:p>
        </w:tc>
      </w:tr>
      <w:tr>
        <w:tc>
          <w:tcPr/>
          <w:p>
            <w:pPr>
              <w:pStyle w:val="Compact"/>
              <w:jc w:val="left"/>
            </w:pPr>
            <w:r>
              <w:t xml:space="preserve">氏</w:t>
            </w:r>
          </w:p>
        </w:tc>
        <w:tc>
          <w:tcPr/>
          <w:p>
            <w:pPr>
              <w:pStyle w:val="Compact"/>
              <w:jc w:val="left"/>
            </w:pPr>
            <w:r>
              <w:t xml:space="preserve">dźe</w:t>
            </w:r>
          </w:p>
        </w:tc>
        <w:tc>
          <w:tcPr/>
          <w:p>
            <w:pPr>
              <w:pStyle w:val="Compact"/>
              <w:jc w:val="left"/>
            </w:pPr>
            <w:r>
              <w:t xml:space="preserve">k.deʔ</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路</w:t>
            </w:r>
          </w:p>
        </w:tc>
        <w:tc>
          <w:tcPr/>
          <w:p>
            <w:pPr>
              <w:pStyle w:val="Compact"/>
              <w:jc w:val="left"/>
            </w:pPr>
            <w:r>
              <w:t xml:space="preserve">lɑ</w:t>
            </w:r>
          </w:p>
        </w:tc>
        <w:tc>
          <w:tcPr/>
          <w:p>
            <w:pPr>
              <w:pStyle w:val="Compact"/>
              <w:jc w:val="left"/>
            </w:pPr>
            <w:r>
              <w:t xml:space="preserve">Cəә.rˤak-s</w:t>
            </w:r>
          </w:p>
        </w:tc>
        <w:tc>
          <w:tcPr/>
          <w:p>
            <w:pPr>
              <w:pStyle w:val="Compact"/>
              <w:jc w:val="left"/>
            </w:pPr>
            <w:r>
              <w:t xml:space="preserve">—</w:t>
            </w:r>
          </w:p>
        </w:tc>
        <w:tc>
          <w:tcPr/>
          <w:p>
            <w:pPr>
              <w:pStyle w:val="Compact"/>
              <w:jc w:val="left"/>
            </w:pPr>
            <w:r>
              <w:t xml:space="preserve">open → velar stop</w:t>
            </w:r>
          </w:p>
        </w:tc>
      </w:tr>
    </w:tbl>
    <w:p>
      <w:pPr>
        <w:pStyle w:val="BodyText"/>
      </w:pPr>
      <w:r>
        <w:t xml:space="preserve">Table S8</w:t>
      </w:r>
      <w:r>
        <w:t xml:space="preserve">The 22 characters of the record, of the 60 present in both reconstructions, where the two give a different class of segment in at least one position; the other 38 agree. This is the measurement §11 of the paper reports, at 37%. It is not a correction to Appendix A: Baxter and Sagart reconstruct a stage several centuries before the transcriptions and Schuessler one several centuries after, so the two bracket the moment of writing rather than dating it, and this table is the width of that bracket. Their</w:t>
      </w:r>
      <w:r>
        <w:t xml:space="preserve"> </w:t>
      </w:r>
      <w:r>
        <w:rPr>
          <w:iCs/>
          <w:i/>
        </w:rPr>
        <w:t xml:space="preserve">*-s</w:t>
      </w:r>
      <w:r>
        <w:t xml:space="preserve"> </w:t>
      </w:r>
      <w:r>
        <w:t xml:space="preserve">and</w:t>
      </w:r>
      <w:r>
        <w:t xml:space="preserve"> </w:t>
      </w:r>
      <w:r>
        <w:rPr>
          <w:iCs/>
          <w:i/>
        </w:rPr>
        <w:t xml:space="preserve">*-ʔ</w:t>
      </w:r>
      <w:r>
        <w:t xml:space="preserve"> </w:t>
      </w:r>
      <w:r>
        <w:t xml:space="preserve">are treated as having become tones by the Han and are not counted as codas, and a trailing</w:t>
      </w:r>
      <w:r>
        <w:t xml:space="preserve"> </w:t>
      </w:r>
      <w:r>
        <w:rPr>
          <w:iCs/>
          <w:i/>
        </w:rPr>
        <w:t xml:space="preserve">*-j</w:t>
      </w:r>
      <w:r>
        <w:t xml:space="preserve"> </w:t>
      </w:r>
      <w:r>
        <w:t xml:space="preserve">or</w:t>
      </w:r>
      <w:r>
        <w:t xml:space="preserve"> </w:t>
      </w:r>
      <w:r>
        <w:rPr>
          <w:iCs/>
          <w:i/>
        </w:rPr>
        <w:t xml:space="preserve">*-w</w:t>
      </w:r>
      <w:r>
        <w:t xml:space="preserve"> </w:t>
      </w:r>
      <w:r>
        <w:t xml:space="preserve">is read as the offglide of a diphthong rather than as a consonant. Generated from</w:t>
      </w:r>
      <w:r>
        <w:t xml:space="preserve"> </w:t>
      </w:r>
      <w:r>
        <w:rPr>
          <w:rStyle w:val="VerbatimChar"/>
        </w:rPr>
        <w:t xml:space="preserve">data/derived/period_depth.csv</w:t>
      </w:r>
      <w:r>
        <w:t xml:space="preserve">, which the numbered script step 43 writes.</w:t>
      </w:r>
    </w:p>
    <w:bookmarkEnd w:id="32"/>
    <w:bookmarkStart w:id="33" w:name="s1.13-how-to-disagree"/>
    <w:p>
      <w:pPr>
        <w:pStyle w:val="Heading2"/>
      </w:pPr>
      <w:r>
        <w:t xml:space="preserve">S1.13</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For the reader who disagrees with our proposed names, we suggest disagreeing not with "this is</w:t>
      </w:r>
      <w:r>
        <w:t xml:space="preserve"> </w:t>
      </w:r>
      <w:r>
        <w:t xml:space="preserve">unlikely", since most of them are, but with "this word is not attested before date X", or "this</w:t>
      </w:r>
      <w:r>
        <w:t xml:space="preserve"> </w:t>
      </w:r>
      <w:r>
        <w:t xml:space="preserve">suffix does not attach to that stem", or "the Chinese character cannot carry that coda". Those</w:t>
      </w:r>
      <w:r>
        <w:t xml:space="preserve"> </w:t>
      </w:r>
      <w:r>
        <w:t xml:space="preserve">are the objections that would be useful for the author.</w:t>
      </w:r>
    </w:p>
    <w:bookmarkEnd w:id="33"/>
    <w:bookmarkStart w:id="34" w:name="s1.14-status"/>
    <w:p>
      <w:pPr>
        <w:pStyle w:val="Heading2"/>
      </w:pPr>
      <w:r>
        <w:t xml:space="preserve">S1.14</w:t>
      </w:r>
      <w:r>
        <w:t xml:space="preserve"> </w:t>
      </w:r>
      <w:r>
        <w:t xml:space="preserve">Status</w:t>
      </w:r>
    </w:p>
    <w:p>
      <w:pPr>
        <w:pStyle w:val="FirstParagraph"/>
      </w:pPr>
      <w:r>
        <w:t xml:space="preserve">Thirty-seven of the forty readings in Tables S2 to S6 carry the same label in the</w:t>
      </w:r>
      <w:r>
        <w:t xml:space="preserve"> </w:t>
      </w:r>
      <w:r>
        <w:t xml:space="preserve">machine-readable file:</w:t>
      </w:r>
      <w:r>
        <w:t xml:space="preserve"> </w:t>
      </w:r>
      <w:r>
        <w:rPr>
          <w:iCs/>
          <w:i/>
        </w:rPr>
        <w:t xml:space="preserve">author's proposal; not supported by any measurement in the</w:t>
      </w:r>
      <w:r>
        <w:rPr>
          <w:iCs/>
          <w:i/>
        </w:rPr>
        <w:t xml:space="preserve"> </w:t>
      </w:r>
      <w:r>
        <w:rPr>
          <w:iCs/>
          <w:i/>
        </w:rPr>
        <w:t xml:space="preserve">paper</w:t>
      </w:r>
      <w:r>
        <w:t xml:space="preserve">. That label is the honest summary of them, and it is not weakened by the fact that</w:t>
      </w:r>
      <w:r>
        <w:t xml:space="preserve"> </w:t>
      </w:r>
      <w:r>
        <w:t xml:space="preserve">some are more attractive than others. Three rows carry a different status, and §S1.1 names them:</w:t>
      </w:r>
      <w:r>
        <w:t xml:space="preserve"> </w:t>
      </w:r>
      <w:r>
        <w:t xml:space="preserve">若鞮</w:t>
      </w:r>
      <w:r>
        <w:t xml:space="preserve"> </w:t>
      </w:r>
      <w:r>
        <w:t xml:space="preserve">as</w:t>
      </w:r>
      <w:r>
        <w:t xml:space="preserve"> </w:t>
      </w:r>
      <w:r>
        <w:rPr>
          <w:iCs/>
          <w:i/>
        </w:rPr>
        <w:t xml:space="preserve">İnakt</w:t>
      </w:r>
      <w:r>
        <w:t xml:space="preserve">, which the paper argues and which meets its</w:t>
      </w:r>
      <w:r>
        <w:t xml:space="preserve"> </w:t>
      </w:r>
      <w:r>
        <w:t xml:space="preserve">standard;</w:t>
      </w:r>
      <w:r>
        <w:t xml:space="preserve"> </w:t>
      </w:r>
      <w:r>
        <w:t xml:space="preserve">徑路</w:t>
      </w:r>
      <w:r>
        <w:t xml:space="preserve"> </w:t>
      </w:r>
      <w:r>
        <w:t xml:space="preserve">as</w:t>
      </w:r>
      <w:r>
        <w:t xml:space="preserve"> </w:t>
      </w:r>
      <w:r>
        <w:rPr>
          <w:iCs/>
          <w:i/>
        </w:rPr>
        <w:t xml:space="preserve">Kıngrak</w:t>
      </w:r>
      <w:r>
        <w:t xml:space="preserve">, a comparison taken from the</w:t>
      </w:r>
      <w:r>
        <w:t xml:space="preserve"> </w:t>
      </w:r>
      <w:r>
        <w:t xml:space="preserve">literature rather than made here, which the paper then tests; and one compound that is read</w:t>
      </w:r>
      <w:r>
        <w:t xml:space="preserve"> </w:t>
      </w:r>
      <w:r>
        <w:t xml:space="preserve">through its constituent rows.</w:t>
      </w:r>
    </w:p>
    <w:p>
      <w:pPr>
        <w:pStyle w:val="BodyText"/>
      </w:pPr>
      <w:r>
        <w:t xml:space="preserve">Nine rows changed status while this supplement was being written, and the changes are</w:t>
      </w:r>
      <w:r>
        <w:t xml:space="preserve"> </w:t>
      </w:r>
      <w:r>
        <w:t xml:space="preserve">recorded here rather than quietly absorbed.</w:t>
      </w:r>
      <w:r>
        <w:t xml:space="preserve"> </w:t>
      </w:r>
      <w:r>
        <w:t xml:space="preserve">孤塗</w:t>
      </w:r>
      <w:r>
        <w:t xml:space="preserve"> </w:t>
      </w:r>
      <w:r>
        <w:t xml:space="preserve">and</w:t>
      </w:r>
      <w:r>
        <w:t xml:space="preserve"> </w:t>
      </w:r>
      <w:r>
        <w:t xml:space="preserve">谷蠡</w:t>
      </w:r>
      <w:r>
        <w:t xml:space="preserve"> </w:t>
      </w:r>
      <w:r>
        <w:t xml:space="preserve">had no proposal at all in earlier drafts and now carry one.</w:t>
      </w:r>
      <w:r>
        <w:t xml:space="preserve"> </w:t>
      </w:r>
      <w:r>
        <w:t xml:space="preserve">冒頓</w:t>
      </w:r>
      <w:r>
        <w:t xml:space="preserve"> </w:t>
      </w:r>
      <w:r>
        <w:t xml:space="preserve">was argued in the paper in an earlier draft and is now an author's</w:t>
      </w:r>
      <w:r>
        <w:t xml:space="preserve"> </w:t>
      </w:r>
      <w:r>
        <w:t xml:space="preserve">proposal like the others: §9.2 of the paper prices the three values its second character can</w:t>
      </w:r>
      <w:r>
        <w:t xml:space="preserve"> </w:t>
      </w:r>
      <w:r>
        <w:t xml:space="preserve">take and does not choose among them, and the proposal made here is set out in S1.4 with its</w:t>
      </w:r>
      <w:r>
        <w:t xml:space="preserve"> </w:t>
      </w:r>
      <w:r>
        <w:t xml:space="preserve">objections.</w:t>
      </w:r>
      <w:r>
        <w:t xml:space="preserve"> </w:t>
      </w:r>
      <w:r>
        <w:t xml:space="preserve">屠耆</w:t>
      </w:r>
      <w:r>
        <w:t xml:space="preserve"> </w:t>
      </w:r>
      <w:r>
        <w:t xml:space="preserve">was carried as a comparison taken from the literature and</w:t>
      </w:r>
      <w:r>
        <w:t xml:space="preserve"> </w:t>
      </w:r>
      <w:r>
        <w:t xml:space="preserve">tested in the paper, and is now an author’s proposal like the others: the reading could not</w:t>
      </w:r>
      <w:r>
        <w:t xml:space="preserve"> </w:t>
      </w:r>
      <w:r>
        <w:t xml:space="preserve">be traced to any published source, and the paper no longer argues it.</w:t>
      </w:r>
      <w:r>
        <w:t xml:space="preserve"> </w:t>
      </w:r>
      <w:r>
        <w:t xml:space="preserve">閼氏</w:t>
      </w:r>
      <w:r>
        <w:t xml:space="preserve">,</w:t>
      </w:r>
      <w:r>
        <w:t xml:space="preserve"> </w:t>
      </w:r>
      <w:r>
        <w:t xml:space="preserve">單于</w:t>
      </w:r>
      <w:r>
        <w:t xml:space="preserve"> </w:t>
      </w:r>
      <w:r>
        <w:t xml:space="preserve">and</w:t>
      </w:r>
      <w:r>
        <w:t xml:space="preserve"> </w:t>
      </w:r>
      <w:r>
        <w:t xml:space="preserve">軍臣</w:t>
      </w:r>
      <w:r>
        <w:t xml:space="preserve"> </w:t>
      </w:r>
      <w:r>
        <w:t xml:space="preserve">carry different readings from the ones earlier drafts gave them, in each case because a</w:t>
      </w:r>
      <w:r>
        <w:t xml:space="preserve"> </w:t>
      </w:r>
      <w:r>
        <w:t xml:space="preserve">measurement made since told against the earlier reading; the entries state what the measurement</w:t>
      </w:r>
      <w:r>
        <w:t xml:space="preserve"> </w:t>
      </w:r>
      <w:r>
        <w:t xml:space="preserve">was. At</w:t>
      </w:r>
      <w:r>
        <w:t xml:space="preserve"> </w:t>
      </w:r>
      <w:r>
        <w:t xml:space="preserve">軍臣</w:t>
      </w:r>
      <w:r>
        <w:t xml:space="preserve"> </w:t>
      </w:r>
      <w:r>
        <w:t xml:space="preserve">it was that a source voiceless affricate written with a</w:t>
      </w:r>
      <w:r>
        <w:t xml:space="preserve"> </w:t>
      </w:r>
      <w:r>
        <w:t xml:space="preserve">voiced</w:t>
      </w:r>
      <w:r>
        <w:t xml:space="preserve"> </w:t>
      </w:r>
      <w:r>
        <w:t xml:space="preserve">dź-</w:t>
      </w:r>
      <w:r>
        <w:t xml:space="preserve"> </w:t>
      </w:r>
      <w:r>
        <w:t xml:space="preserve">is 0 of 48, which retired</w:t>
      </w:r>
      <w:r>
        <w:t xml:space="preserve"> </w:t>
      </w:r>
      <w:r>
        <w:rPr>
          <w:iCs/>
          <w:i/>
        </w:rPr>
        <w:t xml:space="preserve">Künçin</w:t>
      </w:r>
      <w:r>
        <w:t xml:space="preserve"> </w:t>
      </w:r>
      <w:r>
        <w:t xml:space="preserve">and sent the</w:t>
      </w:r>
      <w:r>
        <w:t xml:space="preserve"> </w:t>
      </w:r>
      <w:r>
        <w:t xml:space="preserve">reading to the second of the character’s two tabulated values. At</w:t>
      </w:r>
      <w:r>
        <w:t xml:space="preserve"> </w:t>
      </w:r>
      <w:r>
        <w:t xml:space="preserve">車牙若鞮</w:t>
      </w:r>
      <w:r>
        <w:t xml:space="preserve"> </w:t>
      </w:r>
      <w:r>
        <w:t xml:space="preserve">it was that a source vowel-initial syllable written with a</w:t>
      </w:r>
      <w:r>
        <w:t xml:space="preserve"> </w:t>
      </w:r>
      <w:r>
        <w:t xml:space="preserve">Chinese</w:t>
      </w:r>
      <w:r>
        <w:t xml:space="preserve"> </w:t>
      </w:r>
      <w:r>
        <w:t xml:space="preserve">ŋ-</w:t>
      </w:r>
      <w:r>
        <w:t xml:space="preserve"> </w:t>
      </w:r>
      <w:r>
        <w:t xml:space="preserve">is 0 of 140, which retired</w:t>
      </w:r>
      <w:r>
        <w:t xml:space="preserve"> </w:t>
      </w:r>
      <w:r>
        <w:rPr>
          <w:iCs/>
          <w:i/>
        </w:rPr>
        <w:t xml:space="preserve">Çöge-Ok</w:t>
      </w:r>
      <w:r>
        <w:t xml:space="preserve">; the reading</w:t>
      </w:r>
      <w:r>
        <w:t xml:space="preserve"> </w:t>
      </w:r>
      <w:r>
        <w:t xml:space="preserve">that replaces it,</w:t>
      </w:r>
      <w:r>
        <w:t xml:space="preserve"> </w:t>
      </w:r>
      <w:r>
        <w:rPr>
          <w:iCs/>
          <w:i/>
        </w:rPr>
        <w:t xml:space="preserve">Tunga</w:t>
      </w:r>
      <w:r>
        <w:t xml:space="preserve">, was carried at</w:t>
      </w:r>
      <w:r>
        <w:t xml:space="preserve"> </w:t>
      </w:r>
      <w:r>
        <w:t xml:space="preserve">當戶</w:t>
      </w:r>
      <w:r>
        <w:t xml:space="preserve"> </w:t>
      </w:r>
      <w:r>
        <w:t xml:space="preserve">in earlier</w:t>
      </w:r>
      <w:r>
        <w:t xml:space="preserve"> </w:t>
      </w:r>
      <w:r>
        <w:t xml:space="preserve">drafts and is moved here because those characters write a nasal followed by a velar stop and</w:t>
      </w:r>
      <w:r>
        <w:t xml:space="preserve"> </w:t>
      </w:r>
      <w:r>
        <w:t xml:space="preserve">this word has a single nasal.</w:t>
      </w:r>
      <w:r>
        <w:t xml:space="preserve"> </w:t>
      </w:r>
      <w:r>
        <w:t xml:space="preserve">當戶</w:t>
      </w:r>
      <w:r>
        <w:t xml:space="preserve"> </w:t>
      </w:r>
      <w:r>
        <w:t xml:space="preserve">carries</w:t>
      </w:r>
      <w:r>
        <w:t xml:space="preserve"> </w:t>
      </w:r>
      <w:r>
        <w:rPr>
          <w:iCs/>
          <w:i/>
        </w:rPr>
        <w:t xml:space="preserve">Tamga</w:t>
      </w:r>
      <w:r>
        <w:t xml:space="preserve"> </w:t>
      </w:r>
      <w:r>
        <w:t xml:space="preserve">in its</w:t>
      </w:r>
      <w:r>
        <w:t xml:space="preserve"> </w:t>
      </w:r>
      <w:r>
        <w:t xml:space="preserve">place, with its price stated in the entry.</w:t>
      </w:r>
    </w:p>
    <w:bookmarkEnd w:id="34"/>
    <w:bookmarkStart w:id="35" w:name="X920b618bdb15a0b956ff25f8471bda180ffadd5"/>
    <w:p>
      <w:pPr>
        <w:pStyle w:val="Heading2"/>
      </w:pPr>
      <w:r>
        <w:t xml:space="preserve">S1.15</w:t>
      </w:r>
      <w:r>
        <w:t xml:space="preserve"> </w:t>
      </w:r>
      <w:r>
        <w:t xml:space="preserve">Sources referred to in this supplement</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 Page references are to the 2011 printing.</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Yūsuf Khāṣṣ Ḥājib (1069–70).</w:t>
      </w:r>
      <w:r>
        <w:t xml:space="preserve"> </w:t>
      </w:r>
      <w:r>
        <w:rPr>
          <w:iCs/>
          <w:i/>
        </w:rPr>
        <w:t xml:space="preserve">Kutadgu Bilig</w:t>
      </w:r>
      <w:r>
        <w:t xml:space="preserve">. Searched in the Kabalcı edition (Istanbul, second printing 2008), which reproduces Reşid Rahmeti Arat's transcription and translation with the index prepared under Muharrem Ergin.</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Nişanyan, S.</w:t>
      </w:r>
      <w:r>
        <w:t xml:space="preserve"> </w:t>
      </w:r>
      <w:r>
        <w:rPr>
          <w:iCs/>
          <w:i/>
        </w:rPr>
        <w:t xml:space="preserve">Nişanyan Sözlük: Çağdaş Türkçenin Etimolojisi</w:t>
      </w:r>
      <w:r>
        <w:t xml:space="preserve">, s.v.</w:t>
      </w:r>
      <w:r>
        <w:t xml:space="preserve"> </w:t>
      </w:r>
      <w:r>
        <w:rPr>
          <w:iCs/>
          <w:i/>
        </w:rPr>
        <w:t xml:space="preserve">elti</w:t>
      </w:r>
      <w:r>
        <w:t xml:space="preserve">. nisanyansozluk.com</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Tekin, T. (1993).</w:t>
      </w:r>
      <w:r>
        <w:t xml:space="preserve"> </w:t>
      </w:r>
      <w:r>
        <w:rPr>
          <w:iCs/>
          <w:i/>
        </w:rPr>
        <w:t xml:space="preserve">Irk Bitig: The Book of Omens</w:t>
      </w:r>
      <w:r>
        <w:t xml:space="preserve">. Turcologica 18. Wiesbaden: Harrassowitz.</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p>
      <w:pPr>
        <w:numPr>
          <w:ilvl w:val="0"/>
          <w:numId w:val="1004"/>
        </w:numPr>
        <w:pStyle w:val="Compact"/>
      </w:pPr>
      <w:r>
        <w:t xml:space="preserve">Vovin, A. (2000). Did the Xiong-nu speak a Yeniseian language?</w:t>
      </w:r>
      <w:r>
        <w:t xml:space="preserve"> </w:t>
      </w:r>
      <w:r>
        <w:rPr>
          <w:iCs/>
          <w:i/>
        </w:rPr>
        <w:t xml:space="preserve">Central Asiatic Journal</w:t>
      </w:r>
      <w:r>
        <w:t xml:space="preserve"> </w:t>
      </w:r>
      <w:r>
        <w:t xml:space="preserve">44/1: 87–104.</w:t>
      </w:r>
    </w:p>
    <w:p>
      <w:pPr>
        <w:numPr>
          <w:ilvl w:val="0"/>
          <w:numId w:val="1004"/>
        </w:numPr>
        <w:pStyle w:val="Compact"/>
      </w:pPr>
      <w:r>
        <w:t xml:space="preserve">Vovin, A. (2003). Did the Xiongnu speak a Yeniseian language? Part 2: Vocabulary. In</w:t>
      </w:r>
      <w:r>
        <w:t xml:space="preserve"> </w:t>
      </w:r>
      <w:r>
        <w:rPr>
          <w:iCs/>
          <w:i/>
        </w:rPr>
        <w:t xml:space="preserve">Altaica Budapestinensia MMII</w:t>
      </w:r>
      <w:r>
        <w:t xml:space="preserve">, pp. 389–394.</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2026-09-05T07:23:32Z</dcterms:created>
  <dcterms:modified xsi:type="dcterms:W3CDTF">2026-09-05T07:23:32Z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