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1"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generated the following.</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1,017 verified Chinese–Sanskrit pairs separated out of a 27,110-entry Buddhist</w:t>
      </w:r>
      <w:r>
        <w:t xml:space="preserve"> </w:t>
      </w:r>
      <w:r>
        <w:t xml:space="preserve">dictionary that mixes phonetic spellings with translations.</w:t>
      </w:r>
      <w:r>
        <w:t xml:space="preserve"> </w:t>
      </w:r>
      <w:r>
        <w:rPr>
          <w:bCs/>
          <w:b/>
        </w:rPr>
        <w:t xml:space="preserve">Two medieval Turkic</w:t>
      </w:r>
      <w:r>
        <w:rPr>
          <w:bCs/>
          <w:b/>
        </w:rPr>
        <w:t xml:space="preserve"> </w:t>
      </w:r>
      <w:r>
        <w:rPr>
          <w:bCs/>
          <w:b/>
        </w:rPr>
        <w:t xml:space="preserve">lexicons</w:t>
      </w:r>
      <w:r>
        <w:t xml:space="preserve"> </w:t>
      </w:r>
      <w:r>
        <w:t xml:space="preserve">in machine-readable form, for which we found no downloadable dataset: 6,820</w:t>
      </w:r>
      <w:r>
        <w:t xml:space="preserve"> </w:t>
      </w:r>
      <w:r>
        <w:t xml:space="preserve">glossed headwords from the Türk Dil Kurumu index to Kāşgarî's</w:t>
      </w:r>
      <w:r>
        <w:t xml:space="preserve"> </w:t>
      </w:r>
      <w:r>
        <w:rPr>
          <w:iCs/>
          <w:i/>
        </w:rPr>
        <w:t xml:space="preserve">Dīwān Lughāt al-Turk</w:t>
      </w:r>
      <w:r>
        <w:t xml:space="preserve"> </w:t>
      </w:r>
      <w:r>
        <w:t xml:space="preserve">(1072–77), and 2,110 from Kuun's 1880 edition of the</w:t>
      </w:r>
      <w:r>
        <w:t xml:space="preserve"> </w:t>
      </w:r>
      <w:r>
        <w:rPr>
          <w:iCs/>
          <w:i/>
        </w:rPr>
        <w:t xml:space="preserve">Codex Cumanicus</w:t>
      </w:r>
      <w:r>
        <w:t xml:space="preserve">.</w:t>
      </w:r>
      <w:r>
        <w:t xml:space="preserve"> </w:t>
      </w:r>
      <w:r>
        <w:rPr>
          <w:bCs/>
          <w:b/>
        </w:rPr>
        <w:t xml:space="preserve">A working</w:t>
      </w:r>
      <w:r>
        <w:rPr>
          <w:bCs/>
          <w:b/>
        </w:rPr>
        <w:t xml:space="preserve"> </w:t>
      </w:r>
      <w:r>
        <w:rPr>
          <w:bCs/>
          <w:b/>
        </w:rPr>
        <w:t xml:space="preserve">channel model</w:t>
      </w:r>
      <w:r>
        <w:t xml:space="preserve">, which on held-out data reconstructs 31% of Turkic words exactly and 84%</w:t>
      </w:r>
      <w:r>
        <w:t xml:space="preserve"> </w:t>
      </w:r>
      <w:r>
        <w:t xml:space="preserve">within two segments.</w:t>
      </w:r>
      <w:r>
        <w:t xml:space="preserve"> </w:t>
      </w:r>
      <w:r>
        <w:rPr>
          <w:bCs/>
          <w:b/>
        </w:rPr>
        <w:t xml:space="preserve">One positive reading</w:t>
      </w:r>
      <w:r>
        <w:t xml:space="preserve"> </w:t>
      </w:r>
      <w:r>
        <w:t xml:space="preserve">that survives every test we can apply:</w:t>
      </w:r>
      <w:r>
        <w:t xml:space="preserve"> </w:t>
      </w:r>
      <w:r>
        <w:t xml:space="preserve">若鞮</w:t>
      </w:r>
      <w:r>
        <w:t xml:space="preserve">, the element closing the formal names of six later chanyu, reads as</w:t>
      </w:r>
      <w:r>
        <w:t xml:space="preserve"> </w:t>
      </w:r>
      <w:r>
        <w:rPr>
          <w:iCs/>
          <w:i/>
        </w:rPr>
        <w:t xml:space="preserve">Inakt</w:t>
      </w:r>
      <w:r>
        <w:t xml:space="preserve"> </w:t>
      </w:r>
      <w:r>
        <w:t xml:space="preserve">"the faithful ones", since the</w:t>
      </w:r>
      <w:r>
        <w:t xml:space="preserve"> </w:t>
      </w:r>
      <w:r>
        <w:rPr>
          <w:iCs/>
          <w:i/>
        </w:rPr>
        <w:t xml:space="preserve">Hou Hanshu</w:t>
      </w:r>
      <w:r>
        <w:t xml:space="preserve"> </w:t>
      </w:r>
      <w:r>
        <w:t xml:space="preserve">glosses it</w:t>
      </w:r>
      <w:r>
        <w:t xml:space="preserve"> </w:t>
      </w:r>
      <w:r>
        <w:t xml:space="preserve">孝</w:t>
      </w:r>
      <w:r>
        <w:t xml:space="preserve"> </w:t>
      </w:r>
      <w:r>
        <w:t xml:space="preserve">"filial", the</w:t>
      </w:r>
      <w:r>
        <w:t xml:space="preserve"> </w:t>
      </w:r>
      <w:r>
        <w:rPr>
          <w:iCs/>
          <w:i/>
        </w:rPr>
        <w:t xml:space="preserve">Codex Cumanicus</w:t>
      </w:r>
      <w:r>
        <w:t xml:space="preserve"> </w:t>
      </w:r>
      <w:r>
        <w:t xml:space="preserve">glosses</w:t>
      </w:r>
      <w:r>
        <w:t xml:space="preserve"> </w:t>
      </w:r>
      <w:r>
        <w:rPr>
          <w:iCs/>
          <w:i/>
        </w:rPr>
        <w:t xml:space="preserve">inak</w:t>
      </w:r>
      <w:r>
        <w:t xml:space="preserve"> </w:t>
      </w:r>
      <w:r>
        <w:t xml:space="preserve">as</w:t>
      </w:r>
      <w:r>
        <w:t xml:space="preserve"> </w:t>
      </w:r>
      <w:r>
        <w:rPr>
          <w:iCs/>
          <w:i/>
        </w:rPr>
        <w:t xml:space="preserve">fidelis</w:t>
      </w:r>
      <w:r>
        <w:t xml:space="preserve">, and the plural in</w:t>
      </w:r>
      <w:r>
        <w:t xml:space="preserve"> </w:t>
      </w:r>
      <w:r>
        <w:t xml:space="preserve">-t</w:t>
      </w:r>
      <w:r>
        <w:t xml:space="preserve"> </w:t>
      </w:r>
      <w:r>
        <w:t xml:space="preserve">is an Old Turkic formation used</w:t>
      </w:r>
      <w:r>
        <w:t xml:space="preserve"> </w:t>
      </w:r>
      <w:r>
        <w:t xml:space="preserve">with titles.</w:t>
      </w:r>
      <w:r>
        <w:t xml:space="preserve"> </w:t>
      </w:r>
      <w:r>
        <w:rPr>
          <w:bCs/>
          <w:b/>
        </w:rPr>
        <w:t xml:space="preserve">And a result about the most consequential name in the record</w:t>
      </w:r>
      <w:r>
        <w:t xml:space="preserve">: the</w:t>
      </w:r>
      <w:r>
        <w:t xml:space="preserve"> </w:t>
      </w:r>
      <w:r>
        <w:t xml:space="preserve">century-old disagreement over</w:t>
      </w:r>
      <w:r>
        <w:t xml:space="preserve"> </w:t>
      </w:r>
      <w:r>
        <w:t xml:space="preserve">冒頓</w:t>
      </w:r>
      <w:r>
        <w:t xml:space="preserve">, between the standard</w:t>
      </w:r>
      <w:r>
        <w:t xml:space="preserve"> </w:t>
      </w:r>
      <w:r>
        <w:rPr>
          <w:iCs/>
          <w:i/>
        </w:rPr>
        <w:t xml:space="preserve">Baγatur</w:t>
      </w:r>
      <w:r>
        <w:t xml:space="preserve"> </w:t>
      </w:r>
      <w:r>
        <w:t xml:space="preserve">and our</w:t>
      </w:r>
      <w:r>
        <w:t xml:space="preserve"> </w:t>
      </w:r>
      <w:r>
        <w:rPr>
          <w:iCs/>
          <w:i/>
        </w:rPr>
        <w:t xml:space="preserve">Bögü Tın</w:t>
      </w:r>
      <w:r>
        <w:t xml:space="preserve"> </w:t>
      </w:r>
      <w:r>
        <w:t xml:space="preserve">"sage spirit", turns on which of two Later Han</w:t>
      </w:r>
      <w:r>
        <w:t xml:space="preserve"> </w:t>
      </w:r>
      <w:r>
        <w:t xml:space="preserve">readings of a single character is taken, a choice no published reading of the name states and</w:t>
      </w:r>
      <w:r>
        <w:t xml:space="preserve"> </w:t>
      </w:r>
      <w:r>
        <w:t xml:space="preserve">one the transcription evidence cannot make. And</w:t>
      </w:r>
      <w:r>
        <w:t xml:space="preserve"> </w:t>
      </w:r>
      <w:r>
        <w:rPr>
          <w:bCs/>
          <w:b/>
        </w:rPr>
        <w:t xml:space="preserve">a set of measured negative results</w:t>
      </w:r>
      <w:r>
        <w:t xml:space="preserve">: language</w:t>
      </w:r>
      <w:r>
        <w:t xml:space="preserve"> </w:t>
      </w:r>
      <w:r>
        <w:t xml:space="preserve">attribution from transcription evidence is not supportable on available reference data, and</w:t>
      </w:r>
      <w:r>
        <w:t xml:space="preserve"> </w:t>
      </w:r>
      <w:r>
        <w:t xml:space="preserve">full reconstruction of the Xiongnu names is not supportable at the density of evidence that survives: 1.4 observations per character, against the 60 that made the same method work on</w:t>
      </w:r>
      <w:r>
        <w:t xml:space="preserve"> </w:t>
      </w:r>
      <w:r>
        <w:t xml:space="preserve">Mongolian.</w:t>
      </w:r>
    </w:p>
    <w:p>
      <w:pPr>
        <w:pStyle w:val="BodyText"/>
      </w:pPr>
      <w:r>
        <w:t xml:space="preserve">The measurements also answer the question the field has carried unresolved since 1973. Doerfer</w:t>
      </w:r>
      <w:r>
        <w:t xml:space="preserve"> </w:t>
      </w:r>
      <w:r>
        <w:t xml:space="preserve">argued that chance resemblance is pervasive in long-range comparison; his reviewer sharpened it</w:t>
      </w:r>
      <w:r>
        <w:t xml:space="preserve"> </w:t>
      </w:r>
      <w:r>
        <w:t xml:space="preserve">into a threshold problem:</w:t>
      </w:r>
      <w:r>
        <w:t xml:space="preserve"> </w:t>
      </w:r>
      <w:r>
        <w:rPr>
          <w:iCs/>
          <w:i/>
        </w:rPr>
        <w:t xml:space="preserve">is it a sound law if 49% of cases show one correspondence and 51% another?</w:t>
      </w:r>
      <w:r>
        <w:t xml:space="preserve"> </w:t>
      </w:r>
      <w:r>
        <w:t xml:space="preserve">He proposed three classes that nobody could then apply, for want of numbers.</w:t>
      </w:r>
      <w:r>
        <w:t xml:space="preserve"> </w:t>
      </w:r>
      <w:r>
        <w:t xml:space="preserve">Section 7 applies them, with confidence intervals, and finds that the threshold cannot be a</w:t>
      </w:r>
      <w:r>
        <w:t xml:space="preserve"> </w:t>
      </w:r>
      <w:r>
        <w:t xml:space="preserve">constant: it is the baseline of the component being measured, and it moves with how many</w:t>
      </w:r>
      <w:r>
        <w:t xml:space="preserve"> </w:t>
      </w:r>
      <w:r>
        <w:t xml:space="preserve">outcomes that 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and are not in</w:t>
      </w:r>
      <w:r>
        <w:t xml:space="preserve"> </w:t>
      </w:r>
      <w:r>
        <w:t xml:space="preserve">dispute here. The harder question is the one after it. Given a period reading, can the original</w:t>
      </w:r>
      <w:r>
        <w:t xml:space="preserve"> </w:t>
      </w:r>
      <w:r>
        <w:t xml:space="preserve">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and it is worth saying so at the</w:t>
      </w:r>
      <w:r>
        <w:t xml:space="preserve"> </w:t>
      </w:r>
      <w:r>
        <w:t xml:space="preserve">outset.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 review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the reviewer</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w:t>
      </w:r>
      <w:r>
        <w:t xml:space="preserve"> </w:t>
      </w:r>
      <w:r>
        <w:t xml:space="preserve">datasets: three of transcription pairs, and two lexicons of Turkic itself. We release or make</w:t>
      </w:r>
      <w:r>
        <w:t xml:space="preserve"> </w:t>
      </w:r>
      <w:r>
        <w:t xml:space="preserve">reproducible all of them; §12 sets out which is which and why.</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1,017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w:t>
      </w:r>
      <w:r>
        <w:t xml:space="preserve"> </w:t>
      </w:r>
      <w:r>
        <w:t xml:space="preserve">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w:t>
      </w:r>
      <w:r>
        <w:t xml:space="preserve"> </w:t>
      </w:r>
      <w:r>
        <w:t xml:space="preserve">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1,017</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60 for the corpus where the same method reaches 36.9%</w:t>
      </w:r>
      <w:r>
        <w:t xml:space="preserve"> </w:t>
      </w:r>
      <w:r>
        <w:t xml:space="preserve">exactly.</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rival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a known answer.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the reviewer's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the reviewer's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t xml:space="preserve">So the fifty-year-old question has a shape that the fifty-year-old debate could not see. The</w:t>
      </w:r>
      <w:r>
        <w:t xml:space="preserve"> </w:t>
      </w:r>
      <w:r>
        <w:t xml:space="preserve">threshold is not a constant. It is the baseline of the component in question, and it moves with</w:t>
      </w:r>
      <w:r>
        <w:t xml:space="preserve"> </w:t>
      </w:r>
      <w:r>
        <w:t xml:space="preserve">how many outcomes that component has.</w:t>
      </w:r>
    </w:p>
    <w:bookmarkEnd w:id="37"/>
    <w:bookmarkStart w:id="41" w:name="three-measurements-of-scribal-practice"/>
    <w:p>
      <w:pPr>
        <w:pStyle w:val="Heading2"/>
      </w:pPr>
      <w:r>
        <w:t xml:space="preserve">8</w:t>
      </w:r>
      <w:r>
        <w:t xml:space="preserve"> </w:t>
      </w:r>
      <w:r>
        <w:t xml:space="preserve">Three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w:t>
      </w:r>
      <w:r>
        <w:t xml:space="preserve"> </w:t>
      </w:r>
      <w:r>
        <w:t xml:space="preserve">the Turkic reading the substitution is load-bearing.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37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(57%), used a</w:t>
      </w:r>
      <w:r>
        <w:t xml:space="preserve"> </w:t>
      </w:r>
      <w:r>
        <w:t xml:space="preserve">-t</w:t>
      </w:r>
      <w:r>
        <w:t xml:space="preserve"> </w:t>
      </w:r>
      <w:r>
        <w:t xml:space="preserve">coda</w:t>
      </w:r>
      <w:r>
        <w:t xml:space="preserve"> </w:t>
      </w:r>
      <w:r>
        <w:rPr>
          <w:bCs/>
          <w:b/>
        </w:rPr>
        <w:t xml:space="preserve">14</w:t>
      </w:r>
      <w:r>
        <w:t xml:space="preserve"> </w:t>
      </w:r>
      <w:r>
        <w:t xml:space="preserve">times (38%):</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1,017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w:t>
      </w:r>
      <w:r>
        <w:t xml:space="preserve"> </w:t>
      </w:r>
      <w:r>
        <w:t xml:space="preserve">kept in view: 3 of 22 is four cases short of nothing, and the interval is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End w:id="41"/>
    <w:bookmarkStart w:id="44"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pStyle w:val="FirstParagraph"/>
      </w:pPr>
      <w:r>
        <w:t xml:space="preserve">Three of four hold, with the fourth named.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reading of our own,</w:t>
      </w:r>
      <w:r>
        <w:t xml:space="preserve"> </w:t>
      </w:r>
      <w:r>
        <w:t xml:space="preserve">冒頓</w:t>
      </w:r>
      <w:r>
        <w:t xml:space="preserve"> </w:t>
      </w:r>
      <w:r>
        <w:t xml:space="preserve">as</w:t>
      </w:r>
      <w:r>
        <w:t xml:space="preserve"> </w:t>
      </w:r>
      <w:r>
        <w:rPr>
          <w:iCs/>
          <w:i/>
        </w:rPr>
        <w:t xml:space="preserve">Bögü Tın</w:t>
      </w:r>
      <w:r>
        <w:t xml:space="preserve">, meets this</w:t>
      </w:r>
      <w:r>
        <w:t xml:space="preserve"> </w:t>
      </w:r>
      <w:r>
        <w:t xml:space="preserve">standard on one of the two Later Han readings of</w:t>
      </w:r>
      <w:r>
        <w:t xml:space="preserve"> </w:t>
      </w:r>
      <w:r>
        <w:t xml:space="preserve">頓</w:t>
      </w:r>
      <w:r>
        <w:t xml:space="preserve">, and §9.2 sets out</w:t>
      </w:r>
      <w:r>
        <w:t xml:space="preserve"> </w:t>
      </w:r>
      <w:r>
        <w:t xml:space="preserve">what that turns on.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t xml:space="preserve">We supply S1 for the record, not for review. It has the status of a laboratory notebook</w:t>
      </w:r>
      <w:r>
        <w:t xml:space="preserve"> </w:t>
      </w:r>
      <w:r>
        <w:t xml:space="preserve">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2"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w:t>
      </w:r>
      <w:r>
        <w:t xml:space="preserve"> </w:t>
      </w:r>
      <w:r>
        <w:t xml:space="preserve">and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kırpa:k</w:t>
      </w:r>
      <w:r>
        <w:t xml:space="preserve"> </w:t>
      </w:r>
      <w:r>
        <w:t xml:space="preserve">and is corrected in the margin to</w:t>
      </w:r>
      <w:r>
        <w:t xml:space="preserve"> </w:t>
      </w:r>
      <w:r>
        <w:rPr>
          <w:iCs/>
          <w:i/>
        </w:rPr>
        <w:t xml:space="preserve">kıŋra:k</w:t>
      </w:r>
      <w:r>
        <w:t xml:space="preserve">. So this form rests on a marginal emendation rather than the text as</w:t>
      </w:r>
      <w:r>
        <w:t xml:space="preserve"> </w:t>
      </w:r>
      <w:r>
        <w:t xml:space="preserve">written. The emendation is not the only support for it: Hirth took the word from living Turki</w:t>
      </w:r>
      <w:r>
        <w:t xml:space="preserve"> </w:t>
      </w:r>
      <w:r>
        <w:t xml:space="preserve">dialects in 1908, and the Teleut and Kirghiz survivals cited above are independent of the</w:t>
      </w:r>
      <w:r>
        <w:t xml:space="preserve"> </w:t>
      </w:r>
      <w:r>
        <w:t xml:space="preserve">Dīwān's manuscript altogether.</w:t>
      </w:r>
      <w:r>
        <w:t xml:space="preserve"> </w:t>
      </w:r>
      <w:r>
        <w:rPr>
          <w:iCs/>
          <w:i/>
        </w:rPr>
        <w:t xml:space="preserve">kıñır</w:t>
      </w:r>
      <w:r>
        <w:t xml:space="preserve">, on the other hand, fits the transcription exactly, at three</w:t>
      </w:r>
      <w:r>
        <w:t xml:space="preserve"> </w:t>
      </w:r>
      <w:r>
        <w:t xml:space="preserve">consonants with nothing supplied;</w:t>
      </w:r>
      <w:r>
        <w:t xml:space="preserve"> </w:t>
      </w:r>
      <w:r>
        <w:rPr>
          <w:iCs/>
          <w:i/>
        </w:rPr>
        <w:t xml:space="preserve">kıñrak</w:t>
      </w:r>
      <w:r>
        <w:t xml:space="preserve">, which means a knife, needs the</w:t>
      </w:r>
      <w:r>
        <w:t xml:space="preserve"> </w:t>
      </w:r>
      <w:r>
        <w:t xml:space="preserve">unwritten final</w:t>
      </w:r>
      <w:r>
        <w:t xml:space="preserve"> </w:t>
      </w:r>
      <w:r>
        <w:t xml:space="preserve">-k</w:t>
      </w:r>
      <w:r>
        <w:t xml:space="preserve"> </w:t>
      </w:r>
      <w:r>
        <w:t xml:space="preserve">that Table 7 licenses at 30%. The form that fits best</w:t>
      </w:r>
      <w:r>
        <w:t xml:space="preserve"> </w:t>
      </w:r>
      <w:r>
        <w:t xml:space="preserve">does not mean "blade", and the form that means "blade" does 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Unusually, that account is testable with the same machinery, and it does not survive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t xml:space="preserve">We have not seen the exact Iranian etymon its proponents advance, so the test applies</w:t>
      </w:r>
      <w:r>
        <w:t xml:space="preserve"> </w:t>
      </w:r>
      <w:r>
        <w:t xml:space="preserve">only to the form named. Our channel establishes what a transcription</w:t>
      </w:r>
      <w:r>
        <w:t xml:space="preserve"> </w:t>
      </w:r>
      <w:r>
        <w:rPr>
          <w:iCs/>
          <w:i/>
        </w:rPr>
        <w:t xml:space="preserve">permits</w:t>
      </w:r>
      <w:r>
        <w:t xml:space="preserve">, never what it requires: a Turkic reading surviving does not make a Turkic</w:t>
      </w:r>
      <w:r>
        <w:t xml:space="preserve"> </w:t>
      </w:r>
      <w:r>
        <w:t xml:space="preserve">source the only one available. This is Doerfer's objection in its sharpest form. The honest report is that the Turkic candidate survives its test and the Iranian one, as stated, does not.</w:t>
      </w:r>
    </w:p>
    <w:p>
      <w:pPr>
        <w:pStyle w:val="BodyText"/>
      </w:pPr>
      <w:r>
        <w:rPr>
          <w:bCs/>
          <w:b/>
        </w:rPr>
        <w:t xml:space="preserve">The second is</w:t>
      </w:r>
      <w:r>
        <w:rPr>
          <w:bCs/>
          <w:b/>
        </w:rPr>
        <w:t xml:space="preserve"> </w:t>
      </w:r>
      <w:r>
        <w:rPr>
          <w:bCs/>
          <w:b/>
        </w:rPr>
        <w:t xml:space="preserve">屠耆</w:t>
      </w:r>
      <w:r>
        <w:t xml:space="preserve"> </w:t>
      </w:r>
      <w:r>
        <w:t xml:space="preserve">dɑ gɨ</w:t>
      </w:r>
      <w:r>
        <w:t xml:space="preserve">,</w:t>
      </w:r>
      <w:r>
        <w:t xml:space="preserve"> </w:t>
      </w:r>
      <w:r>
        <w:t xml:space="preserve">which the Chinese sources gloss</w:t>
      </w:r>
      <w:r>
        <w:t xml:space="preserve"> </w:t>
      </w:r>
      <w:r>
        <w:t xml:space="preserve">賢</w:t>
      </w:r>
      <w:r>
        <w:t xml:space="preserve"> </w:t>
      </w:r>
      <w:r>
        <w:t xml:space="preserve">"worthy, wise" and which appears in</w:t>
      </w:r>
      <w:r>
        <w:t xml:space="preserve"> </w:t>
      </w:r>
      <w:r>
        <w:t xml:space="preserve">左右屠耆王</w:t>
      </w:r>
      <w:r>
        <w:t xml:space="preserve">, the Wise Kings of the Left and Right. The Turkic-hypothesis</w:t>
      </w:r>
      <w:r>
        <w:t xml:space="preserve"> </w:t>
      </w:r>
      <w:r>
        <w:t xml:space="preserve">literature reads it</w:t>
      </w:r>
      <w:r>
        <w:t xml:space="preserve"> </w:t>
      </w:r>
      <w:r>
        <w:rPr>
          <w:iCs/>
          <w:i/>
        </w:rPr>
        <w:t xml:space="preserve">*toγrï</w:t>
      </w:r>
      <w:r>
        <w:t xml:space="preserve">.</w:t>
      </w:r>
      <w:r>
        <w:t xml:space="preserve"> </w:t>
      </w:r>
      <w:r>
        <w:t xml:space="preserve">耆</w:t>
      </w:r>
      <w:r>
        <w:t xml:space="preserve"> </w:t>
      </w:r>
      <w:r>
        <w:t xml:space="preserve">is one of the daggered</w:t>
      </w:r>
      <w:r>
        <w:t xml:space="preserve"> </w:t>
      </w:r>
      <w:r>
        <w:t xml:space="preserve">characters: the table gives</w:t>
      </w:r>
      <w:r>
        <w:t xml:space="preserve"> </w:t>
      </w:r>
      <w:r>
        <w:t xml:space="preserve">gɨ</w:t>
      </w:r>
      <w:r>
        <w:t xml:space="preserve">,</w:t>
      </w:r>
      <w:r>
        <w:t xml:space="preserve"> </w:t>
      </w:r>
      <w:r>
        <w:t xml:space="preserve">kiᴮ</w:t>
      </w:r>
      <w:r>
        <w:t xml:space="preserve"> </w:t>
      </w:r>
      <w:r>
        <w:t xml:space="preserve">and</w:t>
      </w:r>
      <w:r>
        <w:t xml:space="preserve"> </w:t>
      </w:r>
      <w:r>
        <w:t xml:space="preserve">tśiᴮ</w:t>
      </w:r>
      <w:r>
        <w:t xml:space="preserve">, and the comparison below uses the first. The second would serve</w:t>
      </w:r>
      <w:r>
        <w:t xml:space="preserve"> </w:t>
      </w:r>
      <w:r>
        <w:t xml:space="preserve">it equally well; the third would not. The</w:t>
      </w:r>
      <w:r>
        <w:t xml:space="preserve"> </w:t>
      </w:r>
      <w:r>
        <w:rPr>
          <w:iCs/>
          <w:i/>
        </w:rPr>
        <w:t xml:space="preserve">Codex Cumanicus</w:t>
      </w:r>
      <w:r>
        <w:t xml:space="preserve"> </w:t>
      </w:r>
      <w:r>
        <w:t xml:space="preserve">has</w:t>
      </w:r>
      <w:r>
        <w:t xml:space="preserve"> </w:t>
      </w:r>
      <w:r>
        <w:rPr>
          <w:iCs/>
          <w:i/>
        </w:rPr>
        <w:t xml:space="preserve">Togru</w:t>
      </w:r>
      <w:r>
        <w:t xml:space="preserve"> </w:t>
      </w:r>
      <w:r>
        <w:t xml:space="preserve">glossed as</w:t>
      </w:r>
      <w:r>
        <w:t xml:space="preserve"> </w:t>
      </w:r>
      <w:r>
        <w:rPr>
          <w:iCs/>
          <w:i/>
        </w:rPr>
        <w:t xml:space="preserve">rectus</w:t>
      </w:r>
      <w:r>
        <w:t xml:space="preserve">, and the skeleton matches at the same single step, a Chinese</w:t>
      </w:r>
      <w:r>
        <w:t xml:space="preserve"> </w:t>
      </w:r>
      <w:r>
        <w:t xml:space="preserve">l-</w:t>
      </w:r>
      <w:r>
        <w:t xml:space="preserve"> </w:t>
      </w:r>
      <w:r>
        <w:t xml:space="preserve">for a source</w:t>
      </w:r>
      <w:r>
        <w:t xml:space="preserve"> </w:t>
      </w:r>
      <w:r>
        <w:t xml:space="preserve">r-</w:t>
      </w:r>
      <w:r>
        <w:t xml:space="preserve">.</w:t>
      </w:r>
    </w:p>
    <w:p>
      <w:pPr>
        <w:pStyle w:val="BodyText"/>
      </w:pPr>
      <w:r>
        <w:t xml:space="preserve">The semantic fit is closer than "straight" alone suggests. 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w:t>
      </w:r>
      <w:r>
        <w:t xml:space="preserve"> </w:t>
      </w:r>
      <w:r>
        <w:t xml:space="preserve">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w:t>
      </w:r>
      <w:hyperlink w:anchor="r4">
        <w:r>
          <w:rPr>
            <w:rStyle w:val="Hyperlink"/>
            <w:vertAlign w:val="superscript"/>
          </w:rPr>
          <w:t xml:space="preserve">4</w:t>
        </w:r>
      </w:hyperlink>
      <w:r>
        <w:t xml:space="preserve"> </w:t>
      </w:r>
      <w:r>
        <w:t xml:space="preserve">The word survives across the whole family and as modern Turkish</w:t>
      </w:r>
      <w:r>
        <w:t xml:space="preserve"> </w:t>
      </w:r>
      <w:r>
        <w:rPr>
          <w:iCs/>
          <w:i/>
        </w:rPr>
        <w:t xml:space="preserve">doğru</w:t>
      </w:r>
      <w:r>
        <w:t xml:space="preserve">. So, the comparison</w:t>
      </w:r>
      <w:r>
        <w:t xml:space="preserve"> </w:t>
      </w:r>
      <w:r>
        <w:t xml:space="preserve">is not between</w:t>
      </w:r>
      <w:r>
        <w:t xml:space="preserve"> </w:t>
      </w:r>
      <w:r>
        <w:t xml:space="preserve">賢</w:t>
      </w:r>
      <w:r>
        <w:t xml:space="preserve"> </w:t>
      </w:r>
      <w:r>
        <w:t xml:space="preserve">"worthy" and a word for physical straightness, but</w:t>
      </w:r>
      <w:r>
        <w:t xml:space="preserve"> </w:t>
      </w:r>
      <w:r>
        <w:t xml:space="preserve">between</w:t>
      </w:r>
      <w:r>
        <w:t xml:space="preserve"> </w:t>
      </w:r>
      <w:r>
        <w:t xml:space="preserve">賢</w:t>
      </w:r>
      <w:r>
        <w:t xml:space="preserve"> </w:t>
      </w:r>
      <w:r>
        <w:t xml:space="preserve">and a word whose ordinary sense is "upright, honest,</w:t>
      </w:r>
      <w:r>
        <w:t xml:space="preserve"> </w:t>
      </w:r>
      <w:r>
        <w:t xml:space="preserve">trustworthy".</w:t>
      </w:r>
    </w:p>
    <w:p>
      <w:pPr>
        <w:pStyle w:val="BodyText"/>
      </w:pPr>
      <w:r>
        <w:t xml:space="preserve">The root family also yields names, which is the argument §9 makes for</w:t>
      </w:r>
      <w:r>
        <w:t xml:space="preserve"> </w:t>
      </w:r>
      <w:r>
        <w:rPr>
          <w:iCs/>
          <w:i/>
        </w:rPr>
        <w:t xml:space="preserve">inak</w:t>
      </w:r>
      <w:r>
        <w:t xml:space="preserve">: Kāşgarî</w:t>
      </w:r>
      <w:r>
        <w:t xml:space="preserve"> </w:t>
      </w:r>
      <w:r>
        <w:t xml:space="preserve">records that men are called</w:t>
      </w:r>
      <w:r>
        <w:t xml:space="preserve"> </w:t>
      </w:r>
      <w:r>
        <w:rPr>
          <w:iCs/>
          <w:i/>
        </w:rPr>
        <w:t xml:space="preserve">Toğrıl</w:t>
      </w:r>
      <w:r>
        <w:t xml:space="preserve"> </w:t>
      </w:r>
      <w:r>
        <w:t xml:space="preserve">after a bird of prey, an</w:t>
      </w:r>
      <w:r>
        <w:t xml:space="preserve"> </w:t>
      </w:r>
      <w:r>
        <w:rPr>
          <w:iCs/>
          <w:i/>
        </w:rPr>
        <w:t xml:space="preserve">Alp Toğrul Tégin</w:t>
      </w:r>
      <w:r>
        <w:t xml:space="preserve"> </w:t>
      </w:r>
      <w:r>
        <w:t xml:space="preserve">appears in a Uyghur list of proper names, and the first Seljuk sultan bore the name. What remains</w:t>
      </w:r>
      <w:r>
        <w:t xml:space="preserve"> </w:t>
      </w:r>
      <w:r>
        <w:t xml:space="preserve">soft is the vowel, and the fact that 144 attested headwords fit this frame, so the transcription</w:t>
      </w:r>
      <w:r>
        <w:t xml:space="preserve"> </w:t>
      </w:r>
      <w:r>
        <w:t xml:space="preserve">does little to narrow the choice.</w:t>
      </w:r>
    </w:p>
    <w:p>
      <w:pPr>
        <w:pStyle w:val="BodyText"/>
      </w:pPr>
      <w:r>
        <w:t xml:space="preserve">So, two existing comparisons survive tests that 32 of our own readings fail, and one of the two</w:t>
      </w:r>
      <w:r>
        <w:t xml:space="preserve"> </w:t>
      </w:r>
      <w:r>
        <w:t xml:space="preserve">has a rival etymology our method cannot rule out. That asymmetry is the point of this section. The</w:t>
      </w:r>
      <w:r>
        <w:t xml:space="preserve"> </w:t>
      </w:r>
      <w:r>
        <w:t xml:space="preserve">channel cannot generate supported readings at this data density, but it can judge ones already on the table, and deciding on other people's proposals is a use of it that the accuracy figures</w:t>
      </w:r>
      <w:r>
        <w:t xml:space="preserve"> </w:t>
      </w:r>
      <w:r>
        <w:t xml:space="preserve">actually license.</w:t>
      </w:r>
    </w:p>
    <w:bookmarkEnd w:id="42"/>
    <w:bookmarkStart w:id="43"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The counts of §8.1 constrain a reading of</w:t>
      </w:r>
      <w:r>
        <w:t xml:space="preserve"> </w:t>
      </w:r>
      <w:r>
        <w:t xml:space="preserve">冒頓</w:t>
      </w:r>
      <w:r>
        <w:t xml:space="preserve"> </w:t>
      </w:r>
      <w:r>
        <w:t xml:space="preserve">from both ends.</w:t>
      </w:r>
      <w:r>
        <w:t xml:space="preserve"> </w:t>
      </w:r>
      <w:r>
        <w:t xml:space="preserve">冒頓</w:t>
      </w:r>
      <w:r>
        <w:t xml:space="preserve"> </w:t>
      </w:r>
      <w:r>
        <w:t xml:space="preserve">is the most consequential name in the record, and the frame it fixes</w:t>
      </w:r>
      <w:r>
        <w:t xml:space="preserve"> </w:t>
      </w:r>
      <w:r>
        <w:t xml:space="preserve">looks unusually tight, because</w:t>
      </w:r>
      <w:r>
        <w:t xml:space="preserve"> </w:t>
      </w:r>
      <w:r>
        <w:rPr>
          <w:bCs/>
          <w:b/>
        </w:rPr>
        <w:t xml:space="preserve">both codas are written</w:t>
      </w:r>
      <w:r>
        <w:t xml:space="preserve">. The second of them,</w:t>
      </w:r>
      <w:r>
        <w:t xml:space="preserve"> </w:t>
      </w:r>
      <w:r>
        <w:t xml:space="preserve">however, is not a single value. Schuessler's table gives</w:t>
      </w:r>
      <w:r>
        <w:t xml:space="preserve"> </w:t>
      </w:r>
      <w:r>
        <w:t xml:space="preserve">頓</w:t>
      </w:r>
      <w:r>
        <w:t xml:space="preserve"> </w:t>
      </w:r>
      <w:r>
        <w:t xml:space="preserve">two Later Han</w:t>
      </w:r>
      <w:r>
        <w:t xml:space="preserve"> </w:t>
      </w:r>
      <w:r>
        <w:t xml:space="preserve">readings,</w:t>
      </w:r>
      <w:r>
        <w:t xml:space="preserve"> </w:t>
      </w:r>
      <w:r>
        <w:t xml:space="preserve">tuənᶜ</w:t>
      </w:r>
      <w:r>
        <w:t xml:space="preserve"> </w:t>
      </w:r>
      <w:r>
        <w:t xml:space="preserve">and</w:t>
      </w:r>
      <w:r>
        <w:t xml:space="preserve"> </w:t>
      </w:r>
      <w:r>
        <w:t xml:space="preserve">tuət</w:t>
      </w:r>
      <w:r>
        <w:t xml:space="preserve">, one ending in a nasal</w:t>
      </w:r>
      <w:r>
        <w:t xml:space="preserve"> </w:t>
      </w:r>
      <w:r>
        <w:t xml:space="preserve">and one in a stop, and the reconstruction column of Appendix A prints the first. That choice,</w:t>
      </w:r>
      <w:r>
        <w:t xml:space="preserve"> </w:t>
      </w:r>
      <w:r>
        <w:t xml:space="preserve">which no published reading of this name states, is what separates our proposal from the</w:t>
      </w:r>
      <w:r>
        <w:t xml:space="preserve"> </w:t>
      </w:r>
      <w:r>
        <w:t xml:space="preserve">field's.</w:t>
      </w:r>
    </w:p>
    <w:p>
      <w:pPr>
        <w:pStyle w:val="BodyText"/>
      </w:pPr>
      <w:r>
        <w:rPr>
          <w:bCs/>
          <w:b/>
        </w:rPr>
        <w:t xml:space="preserve">The first character has a documented Turkic value.</w:t>
      </w:r>
      <w:r>
        <w:t xml:space="preserve"> </w:t>
      </w:r>
      <w:r>
        <w:t xml:space="preserve">This is not an inference</w:t>
      </w:r>
      <w:r>
        <w:t xml:space="preserve"> </w:t>
      </w:r>
      <w:r>
        <w:t xml:space="preserve">from a rate, and it holds whichever reading of</w:t>
      </w:r>
      <w:r>
        <w:t xml:space="preserve"> </w:t>
      </w:r>
      <w:r>
        <w:t xml:space="preserve">頓</w:t>
      </w:r>
      <w:r>
        <w:t xml:space="preserve"> </w:t>
      </w:r>
      <w:r>
        <w:t xml:space="preserve">is taken. In the Later</w:t>
      </w:r>
      <w:r>
        <w:t xml:space="preserve"> </w:t>
      </w:r>
      <w:r>
        <w:t xml:space="preserve">Han table</w:t>
      </w:r>
      <w:r>
        <w:t xml:space="preserve"> </w:t>
      </w:r>
      <w:r>
        <w:t xml:space="preserve">冒</w:t>
      </w:r>
      <w:r>
        <w:t xml:space="preserve"> </w:t>
      </w:r>
      <w:r>
        <w:t xml:space="preserve">and</w:t>
      </w:r>
      <w:r>
        <w:t xml:space="preserve"> </w:t>
      </w:r>
      <w:r>
        <w:t xml:space="preserve">默</w:t>
      </w:r>
      <w:r>
        <w:t xml:space="preserve"> </w:t>
      </w:r>
      <w:r>
        <w:t xml:space="preserve">have the</w:t>
      </w:r>
      <w:r>
        <w:t xml:space="preserve"> </w:t>
      </w:r>
      <w:r>
        <w:rPr>
          <w:iCs/>
          <w:i/>
        </w:rPr>
        <w:t xml:space="preserve">same</w:t>
      </w:r>
      <w:r>
        <w:t xml:space="preserve"> </w:t>
      </w:r>
      <w:r>
        <w:t xml:space="preserve">reading,</w:t>
      </w:r>
      <w:r>
        <w:t xml:space="preserve"> </w:t>
      </w:r>
      <w:r>
        <w:t xml:space="preserve">mək</w:t>
      </w:r>
      <w:r>
        <w:t xml:space="preserve">. And</w:t>
      </w:r>
      <w:r>
        <w:t xml:space="preserve"> </w:t>
      </w:r>
      <w:r>
        <w:t xml:space="preserve">默</w:t>
      </w:r>
      <w:r>
        <w:t xml:space="preserve">啜</w:t>
      </w:r>
      <w:r>
        <w:t xml:space="preserve">,</w:t>
      </w:r>
      <w:r>
        <w:t xml:space="preserve"> </w:t>
      </w:r>
      <w:r>
        <w:t xml:space="preserve">the 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w:t>
      </w:r>
      <w:r>
        <w:t xml:space="preserve"> </w:t>
      </w:r>
      <w:r>
        <w:t xml:space="preserve">the final vowel of</w:t>
      </w:r>
      <w:r>
        <w:t xml:space="preserve"> </w:t>
      </w:r>
      <w:r>
        <w:rPr>
          <w:iCs/>
          <w:i/>
        </w:rPr>
        <w:t xml:space="preserve">bögü</w:t>
      </w:r>
      <w:r>
        <w:t xml:space="preserve"> </w:t>
      </w:r>
      <w:r>
        <w:t xml:space="preserve">not written at all. The same substitution is on record more than once in Turkic onomastics, and the characters used</w:t>
      </w:r>
      <w:r>
        <w:t xml:space="preserve"> </w:t>
      </w:r>
      <w:r>
        <w:t xml:space="preserve">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w:t>
      </w:r>
      <w:r>
        <w:t xml:space="preserve"> </w:t>
      </w:r>
      <w:r>
        <w:t xml:space="preserve">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w:t>
      </w:r>
      <w:r>
        <w:t xml:space="preserve"> </w:t>
      </w:r>
      <w:r>
        <w:t xml:space="preserve">冒</w:t>
      </w:r>
      <w:r>
        <w:t xml:space="preserve"> </w:t>
      </w:r>
      <w:r>
        <w:t xml:space="preserve">is itself listed with a second reading,</w:t>
      </w:r>
      <w:r>
        <w:t xml:space="preserve"> </w:t>
      </w:r>
      <w:r>
        <w:t xml:space="preserve">mouᶜ</w:t>
      </w:r>
      <w:r>
        <w:t xml:space="preserve">, and the two attested spellings of</w:t>
      </w:r>
      <w:r>
        <w:t xml:space="preserve"> </w:t>
      </w:r>
      <w:r>
        <w:rPr>
          <w:iCs/>
          <w:i/>
        </w:rPr>
        <w:t xml:space="preserve">bögü</w:t>
      </w:r>
      <w:r>
        <w:t xml:space="preserve"> </w:t>
      </w:r>
      <w:r>
        <w:t xml:space="preserve">fall either side</w:t>
      </w:r>
      <w:r>
        <w:t xml:space="preserve"> </w:t>
      </w:r>
      <w:r>
        <w:t xml:space="preserve">of that split:</w:t>
      </w:r>
      <w:r>
        <w:t xml:space="preserve"> </w:t>
      </w:r>
      <w:r>
        <w:t xml:space="preserve">默</w:t>
      </w:r>
      <w:r>
        <w:t xml:space="preserve"> </w:t>
      </w:r>
      <w:r>
        <w:t xml:space="preserve">matches</w:t>
      </w:r>
      <w:r>
        <w:t xml:space="preserve"> </w:t>
      </w:r>
      <w:r>
        <w:t xml:space="preserve">冒</w:t>
      </w:r>
      <w:r>
        <w:t xml:space="preserve">'s first reading</w:t>
      </w:r>
      <w:r>
        <w:t xml:space="preserve"> </w:t>
      </w:r>
      <w:r>
        <w:t xml:space="preserve">exactly, and</w:t>
      </w:r>
      <w:r>
        <w:t xml:space="preserve"> </w:t>
      </w:r>
      <w:r>
        <w:t xml:space="preserve">牟</w:t>
      </w:r>
      <w:r>
        <w:t xml:space="preserve"> </w:t>
      </w:r>
      <w:r>
        <w:t xml:space="preserve">mu</w:t>
      </w:r>
      <w:r>
        <w:t xml:space="preserve"> </w:t>
      </w:r>
      <w:r>
        <w:t xml:space="preserve">is the nearer of the two to</w:t>
      </w:r>
      <w:r>
        <w:t xml:space="preserve"> </w:t>
      </w:r>
      <w:r>
        <w:t xml:space="preserve">its second. Whichever row of</w:t>
      </w:r>
      <w:r>
        <w:t xml:space="preserve"> </w:t>
      </w:r>
      <w:r>
        <w:t xml:space="preserve">冒</w:t>
      </w:r>
      <w:r>
        <w:t xml:space="preserve"> </w:t>
      </w:r>
      <w:r>
        <w:t xml:space="preserve">is taken, there is a Turkic precedent</w:t>
      </w:r>
      <w:r>
        <w:t xml:space="preserve"> </w:t>
      </w:r>
      <w:r>
        <w:t xml:space="preserve">for that character writing</w:t>
      </w:r>
      <w:r>
        <w:t xml:space="preserve"> </w:t>
      </w:r>
      <w:r>
        <w:rPr>
          <w:iCs/>
          <w:i/>
        </w:rPr>
        <w:t xml:space="preserve">bögü</w:t>
      </w:r>
      <w:r>
        <w:t xml:space="preserve">.</w:t>
      </w:r>
    </w:p>
    <w:p>
      <w:pPr>
        <w:pStyle w:val="BodyText"/>
      </w:pPr>
      <w:r>
        <w:rPr>
          <w:bCs/>
          <w:b/>
        </w:rPr>
        <w:t xml:space="preserve">Each step of that is separately licensed by the corpora.</w:t>
      </w:r>
      <w:r>
        <w:t xml:space="preserve"> </w:t>
      </w:r>
      <w:r>
        <w:t xml:space="preserve">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only in 47 of the 1,017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it has two readings.</w:t>
      </w:r>
      <w:r>
        <w:t xml:space="preserve"> </w:t>
      </w:r>
      <w:r>
        <w:t xml:space="preserve">On</w:t>
      </w:r>
      <w:r>
        <w:t xml:space="preserve"> </w:t>
      </w:r>
      <w:r>
        <w:t xml:space="preserve">tuənᶜ</w:t>
      </w:r>
      <w:r>
        <w:t xml:space="preserve"> </w:t>
      </w:r>
      <w:r>
        <w:t xml:space="preserve">the frame ends in a nasal. The two lexicons then supply</w:t>
      </w:r>
      <w:r>
        <w:t xml:space="preserve"> </w:t>
      </w:r>
      <w:r>
        <w:rPr>
          <w:iCs/>
          <w:i/>
        </w:rPr>
        <w:t xml:space="preserve">tın</w:t>
      </w:r>
      <w:r>
        <w:t xml:space="preserve"> </w:t>
      </w:r>
      <w:r>
        <w:t xml:space="preserve">"spirit, breath" (Codex</w:t>
      </w:r>
      <w:r>
        <w:t xml:space="preserve"> </w:t>
      </w:r>
      <w:r>
        <w:rPr>
          <w:iCs/>
          <w:i/>
        </w:rPr>
        <w:t xml:space="preserve">Tin</w:t>
      </w:r>
      <w:r>
        <w:t xml:space="preserve">,</w:t>
      </w:r>
      <w:r>
        <w:t xml:space="preserve"> </w:t>
      </w:r>
      <w:r>
        <w:rPr>
          <w:iCs/>
          <w:i/>
        </w:rPr>
        <w:t xml:space="preserve">anima</w:t>
      </w:r>
      <w:r>
        <w:t xml:space="preserve">),</w:t>
      </w:r>
      <w:r>
        <w:t xml:space="preserve"> </w:t>
      </w:r>
      <w:r>
        <w:rPr>
          <w:iCs/>
          <w:i/>
        </w:rPr>
        <w:t xml:space="preserve">tün</w:t>
      </w:r>
      <w:r>
        <w:t xml:space="preserve"> </w:t>
      </w:r>
      <w:r>
        <w:t xml:space="preserve">"night" (Codex</w:t>
      </w:r>
      <w:r>
        <w:t xml:space="preserve"> </w:t>
      </w:r>
      <w:r>
        <w:rPr>
          <w:iCs/>
          <w:i/>
        </w:rPr>
        <w:t xml:space="preserve">Tun</w:t>
      </w:r>
      <w:r>
        <w:t xml:space="preserve">,</w:t>
      </w:r>
      <w:r>
        <w:t xml:space="preserve"> </w:t>
      </w:r>
      <w:r>
        <w:rPr>
          <w:iCs/>
          <w:i/>
        </w:rPr>
        <w:t xml:space="preserve">nox</w:t>
      </w:r>
      <w:r>
        <w:t xml:space="preserve">),</w:t>
      </w:r>
      <w:r>
        <w:t xml:space="preserve"> </w:t>
      </w:r>
      <w:r>
        <w:rPr>
          <w:iCs/>
          <w:i/>
        </w:rPr>
        <w:t xml:space="preserve">tan</w:t>
      </w:r>
      <w:r>
        <w:t xml:space="preserve"> </w:t>
      </w:r>
      <w:r>
        <w:t xml:space="preserve">"dawn" and</w:t>
      </w:r>
      <w:r>
        <w:t xml:space="preserve"> </w:t>
      </w:r>
      <w:r>
        <w:rPr>
          <w:iCs/>
          <w:i/>
        </w:rPr>
        <w:t xml:space="preserve">tun</w:t>
      </w:r>
      <w:r>
        <w:t xml:space="preserve"> </w:t>
      </w:r>
      <w:r>
        <w:t xml:space="preserve">"rest", every one of them</w:t>
      </w:r>
      <w:r>
        <w:t xml:space="preserve"> </w:t>
      </w:r>
      <w:r>
        <w:t xml:space="preserve">matching with nothing inserted and nothing discarded, and the name reads</w:t>
      </w:r>
      <w:r>
        <w:t xml:space="preserve"> </w:t>
      </w:r>
      <w:r>
        <w:rPr>
          <w:iCs/>
          <w:i/>
          <w:bCs/>
          <w:b/>
        </w:rPr>
        <w:t xml:space="preserve">Bögü Tın</w:t>
      </w:r>
      <w:r>
        <w:t xml:space="preserve">, "sage spirit". On that branch</w:t>
      </w:r>
      <w:r>
        <w:t xml:space="preserve"> </w:t>
      </w:r>
      <w:r>
        <w:rPr>
          <w:iCs/>
          <w:i/>
        </w:rPr>
        <w:t xml:space="preserve">Baγatur</w:t>
      </w:r>
      <w:r>
        <w:t xml:space="preserve">, the field's</w:t>
      </w:r>
      <w:r>
        <w:t xml:space="preserve"> </w:t>
      </w:r>
      <w:r>
        <w:t xml:space="preserve">answer for a century, fails on the one point such a frame decides cleanly: it ends in</w:t>
      </w:r>
      <w:r>
        <w:t xml:space="preserve"> </w:t>
      </w:r>
      <w:r>
        <w:t xml:space="preserve">-r</w:t>
      </w:r>
      <w:r>
        <w:t xml:space="preserve"> </w:t>
      </w:r>
      <w:r>
        <w:t xml:space="preserve">against a written</w:t>
      </w:r>
      <w:r>
        <w:t xml:space="preserve"> </w:t>
      </w:r>
      <w:r>
        <w:t xml:space="preserve">-n</w:t>
      </w:r>
      <w:r>
        <w:t xml:space="preserve">, a spelling that occurs</w:t>
      </w:r>
      <w:r>
        <w:t xml:space="preserve"> </w:t>
      </w:r>
      <w:r>
        <w:t xml:space="preserve">once in 37 opportunities.</w:t>
      </w:r>
    </w:p>
    <w:p>
      <w:pPr>
        <w:pStyle w:val="BodyText"/>
      </w:pPr>
      <w:r>
        <w:t xml:space="preserve">On</w:t>
      </w:r>
      <w:r>
        <w:t xml:space="preserve"> </w:t>
      </w:r>
      <w:r>
        <w:t xml:space="preserve">tuət</w:t>
      </w:r>
      <w:r>
        <w:t xml:space="preserve"> </w:t>
      </w:r>
      <w:r>
        <w:t xml:space="preserve">the frame ends in a stop, and both verdicts reverse. A source</w:t>
      </w:r>
      <w:r>
        <w:t xml:space="preserve"> </w:t>
      </w:r>
      <w:r>
        <w:t xml:space="preserve">syllable in</w:t>
      </w:r>
      <w:r>
        <w:t xml:space="preserve"> </w:t>
      </w:r>
      <w:r>
        <w:t xml:space="preserve">-r</w:t>
      </w:r>
      <w:r>
        <w:t xml:space="preserve"> </w:t>
      </w:r>
      <w:r>
        <w:t xml:space="preserve">is written with a</w:t>
      </w:r>
      <w:r>
        <w:t xml:space="preserve"> </w:t>
      </w:r>
      <w:r>
        <w:t xml:space="preserve">-t</w:t>
      </w:r>
      <w:r>
        <w:t xml:space="preserve"> </w:t>
      </w:r>
      <w:r>
        <w:t xml:space="preserve">coda in 14</w:t>
      </w:r>
      <w:r>
        <w:t xml:space="preserve"> </w:t>
      </w:r>
      <w:r>
        <w:t xml:space="preserve">of those same 37 opportunities, 38%, so</w:t>
      </w:r>
      <w:r>
        <w:t xml:space="preserve"> </w:t>
      </w:r>
      <w:r>
        <w:rPr>
          <w:iCs/>
          <w:i/>
        </w:rPr>
        <w:t xml:space="preserve">Baγatur</w:t>
      </w:r>
      <w:r>
        <w:t xml:space="preserve"> </w:t>
      </w:r>
      <w:r>
        <w:t xml:space="preserve">is not merely permitted but ordinary. And</w:t>
      </w:r>
      <w:r>
        <w:t xml:space="preserve"> </w:t>
      </w:r>
      <w:r>
        <w:t xml:space="preserve">our own second element becomes</w:t>
      </w:r>
      <w:r>
        <w:t xml:space="preserve"> </w:t>
      </w:r>
      <w:r>
        <w:rPr>
          <w:iCs/>
          <w:i/>
        </w:rPr>
        <w:t xml:space="preserve">tut</w:t>
      </w:r>
      <w:r>
        <w:t xml:space="preserve"> </w:t>
      </w:r>
      <w:r>
        <w:t xml:space="preserve">rather than</w:t>
      </w:r>
      <w:r>
        <w:t xml:space="preserve"> </w:t>
      </w:r>
      <w:r>
        <w:rPr>
          <w:iCs/>
          <w:i/>
        </w:rPr>
        <w:t xml:space="preserve">tın</w:t>
      </w:r>
      <w:r>
        <w:t xml:space="preserve">, which the lexicons do not</w:t>
      </w:r>
      <w:r>
        <w:t xml:space="preserve"> </w:t>
      </w:r>
      <w:r>
        <w:t xml:space="preserve">support in the same way.</w:t>
      </w:r>
    </w:p>
    <w:p>
      <w:pPr>
        <w:pStyle w:val="BodyText"/>
      </w:pPr>
      <w:r>
        <w:rPr>
          <w:bCs/>
          <w:b/>
        </w:rPr>
        <w:t xml:space="preserve">The disagreement is smaller than it looks, and it is not phonological.</w:t>
      </w:r>
      <w:r>
        <w:t xml:space="preserve"> </w:t>
      </w:r>
      <w:r>
        <w:t xml:space="preserve">Two</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of two rows of Schuessler's table is taken for one character, and</w:t>
      </w:r>
      <w:r>
        <w:t xml:space="preserve"> </w:t>
      </w:r>
      <w:r>
        <w:t xml:space="preserve">the transcription evidence cannot choose between them, because both rows describe the same</w:t>
      </w:r>
      <w:r>
        <w:t xml:space="preserve"> </w:t>
      </w:r>
      <w:r>
        <w:t xml:space="preserve">character on the same page. What the channel contributes here is not a reading but the location</w:t>
      </w:r>
      <w:r>
        <w:t xml:space="preserve"> </w:t>
      </w:r>
      <w:r>
        <w:t xml:space="preserve">of the disagreement.</w:t>
      </w:r>
    </w:p>
    <w:p>
      <w:pPr>
        <w:pStyle w:val="BodyText"/>
      </w:pPr>
      <w:r>
        <w:t xml:space="preserve">The conventional pronunciation of the compound,</w:t>
      </w:r>
      <w:r>
        <w:t xml:space="preserve"> </w:t>
      </w:r>
      <w:r>
        <w:rPr>
          <w:iCs/>
          <w:i/>
        </w:rPr>
        <w:t xml:space="preserve">Mòdú</w:t>
      </w:r>
      <w:r>
        <w:t xml:space="preserve">, points to the stop rather than</w:t>
      </w:r>
      <w:r>
        <w:t xml:space="preserve"> </w:t>
      </w:r>
      <w:r>
        <w:t xml:space="preserve">the nasal, which favours</w:t>
      </w:r>
      <w:r>
        <w:t xml:space="preserve"> </w:t>
      </w:r>
      <w:r>
        <w:rPr>
          <w:iCs/>
          <w:i/>
        </w:rPr>
        <w:t xml:space="preserve">Baγatur</w:t>
      </w:r>
      <w:r>
        <w:t xml:space="preserve">, and we record that rather than passing over it. It is</w:t>
      </w:r>
      <w:r>
        <w:t xml:space="preserve"> </w:t>
      </w:r>
      <w:r>
        <w:t xml:space="preserve">a reading tradition rather than a measurement, and it is not ours to adjudicate.</w:t>
      </w:r>
    </w:p>
    <w:p>
      <w:pPr>
        <w:pStyle w:val="BodyText"/>
      </w:pPr>
      <w:r>
        <w:rPr>
          <w:bCs/>
          <w:b/>
        </w:rPr>
        <w:t xml:space="preserve">Measured against the standard of §9,</w:t>
      </w:r>
      <w:r>
        <w:t xml:space="preserve"> </w:t>
      </w:r>
      <w:r>
        <w:t xml:space="preserve">and on the</w:t>
      </w:r>
      <w:r>
        <w:t xml:space="preserve"> </w:t>
      </w:r>
      <w:r>
        <w:t xml:space="preserve">tuənᶜ</w:t>
      </w:r>
      <w:r>
        <w:t xml:space="preserve"> </w:t>
      </w:r>
      <w:r>
        <w:t xml:space="preserve">branch only: the sense of both elements of</w:t>
      </w:r>
      <w:r>
        <w:t xml:space="preserve"> </w:t>
      </w:r>
      <w:r>
        <w:rPr>
          <w:iCs/>
          <w:i/>
        </w:rPr>
        <w:t xml:space="preserve">Bögü Tın</w:t>
      </w:r>
      <w:r>
        <w:t xml:space="preserve"> </w:t>
      </w:r>
      <w:r>
        <w:t xml:space="preserve">is</w:t>
      </w:r>
      <w:r>
        <w:t xml:space="preserve"> </w:t>
      </w:r>
      <w:r>
        <w:t xml:space="preserve">attested independently of any Chinese source; the morphology is the commonest Turkic name shape,</w:t>
      </w:r>
      <w:r>
        <w:t xml:space="preserve"> </w:t>
      </w:r>
      <w:r>
        <w:t xml:space="preserve">two nouns in apposition, as in Alp Arslan or</w:t>
      </w:r>
      <w:r>
        <w:t xml:space="preserve"> </w:t>
      </w:r>
      <w:r>
        <w:rPr>
          <w:iCs/>
          <w:i/>
        </w:rPr>
        <w:t xml:space="preserve">Bögü-Çor</w:t>
      </w:r>
      <w:r>
        <w:t xml:space="preserve"> </w:t>
      </w:r>
      <w:r>
        <w:t xml:space="preserve">itself; and the objection that</w:t>
      </w:r>
      <w:r>
        <w:t xml:space="preserve"> </w:t>
      </w:r>
      <w:r>
        <w:t xml:space="preserve">would have killed it, a Chinese</w:t>
      </w:r>
      <w:r>
        <w:t xml:space="preserve"> </w:t>
      </w:r>
      <w:r>
        <w:t xml:space="preserve">m-</w:t>
      </w:r>
      <w:r>
        <w:t xml:space="preserve"> </w:t>
      </w:r>
      <w:r>
        <w:t xml:space="preserve">for a foreign</w:t>
      </w:r>
      <w:r>
        <w:t xml:space="preserve"> </w:t>
      </w:r>
      <w:r>
        <w:t xml:space="preserve">b-</w:t>
      </w:r>
      <w:r>
        <w:t xml:space="preserve">, was measured and dissolved rather than asserted away. What remains</w:t>
      </w:r>
      <w:r>
        <w:t xml:space="preserve"> </w:t>
      </w:r>
      <w:r>
        <w:t xml:space="preserve">unexplained is stated: the compound</w:t>
      </w:r>
      <w:r>
        <w:t xml:space="preserve"> </w:t>
      </w:r>
      <w:r>
        <w:rPr>
          <w:iCs/>
          <w:i/>
        </w:rPr>
        <w:t xml:space="preserve">bögü tın</w:t>
      </w:r>
      <w:r>
        <w:t xml:space="preserve"> </w:t>
      </w:r>
      <w:r>
        <w:t xml:space="preserve">is not itself attested, only its two halves;</w:t>
      </w:r>
      <w:r>
        <w:t xml:space="preserve"> </w:t>
      </w:r>
      <w:r>
        <w:t xml:space="preserve">the vowel of the second element is not recoverable, so</w:t>
      </w:r>
      <w:r>
        <w:t xml:space="preserve"> </w:t>
      </w:r>
      <w:r>
        <w:rPr>
          <w:iCs/>
          <w:i/>
        </w:rPr>
        <w:t xml:space="preserve">tün</w:t>
      </w:r>
      <w:r>
        <w:t xml:space="preserve">,</w:t>
      </w:r>
      <w:r>
        <w:t xml:space="preserve"> </w:t>
      </w:r>
      <w:r>
        <w:rPr>
          <w:iCs/>
          <w:i/>
        </w:rPr>
        <w:t xml:space="preserve">tan</w:t>
      </w:r>
      <w:r>
        <w:t xml:space="preserve"> </w:t>
      </w:r>
      <w:r>
        <w:t xml:space="preserve">and</w:t>
      </w:r>
      <w:r>
        <w:t xml:space="preserve"> </w:t>
      </w:r>
      <w:r>
        <w:rPr>
          <w:iCs/>
          <w:i/>
        </w:rPr>
        <w:t xml:space="preserve">tun</w:t>
      </w:r>
      <w:r>
        <w:t xml:space="preserve"> </w:t>
      </w:r>
      <w:r>
        <w:t xml:space="preserve">are equally available and choosing</w:t>
      </w:r>
      <w:r>
        <w:t xml:space="preserve"> </w:t>
      </w:r>
      <w:r>
        <w:rPr>
          <w:iCs/>
          <w:i/>
        </w:rPr>
        <w:t xml:space="preserve">tın</w:t>
      </w:r>
      <w:r>
        <w:t xml:space="preserve"> </w:t>
      </w:r>
      <w:r>
        <w:t xml:space="preserve">is a semantic preference rather than a</w:t>
      </w:r>
      <w:r>
        <w:t xml:space="preserve"> </w:t>
      </w:r>
      <w:r>
        <w:t xml:space="preserve">phonological result; and the tone category of</w:t>
      </w:r>
      <w:r>
        <w:t xml:space="preserve"> </w:t>
      </w:r>
      <w:r>
        <w:t xml:space="preserve">頓</w:t>
      </w:r>
      <w:r>
        <w:t xml:space="preserve"> </w:t>
      </w:r>
      <w:r>
        <w:t xml:space="preserve">is not used. We prefer</w:t>
      </w:r>
      <w:r>
        <w:t xml:space="preserve"> </w:t>
      </w:r>
      <w:r>
        <w:rPr>
          <w:iCs/>
          <w:i/>
        </w:rPr>
        <w:t xml:space="preserve">tın</w:t>
      </w:r>
      <w:r>
        <w:t xml:space="preserve"> </w:t>
      </w:r>
      <w:r>
        <w:t xml:space="preserve">among the four because of what</w:t>
      </w:r>
      <w:r>
        <w:t xml:space="preserve"> </w:t>
      </w:r>
      <w:r>
        <w:rPr>
          <w:iCs/>
          <w:i/>
        </w:rPr>
        <w:t xml:space="preserve">bögü</w:t>
      </w:r>
      <w:r>
        <w:t xml:space="preserve"> </w:t>
      </w:r>
      <w:r>
        <w:t xml:space="preserve">is: Kāşgarî glosses it</w:t>
      </w:r>
      <w:r>
        <w:t xml:space="preserve"> </w:t>
      </w:r>
      <w:r>
        <w:rPr>
          <w:iCs/>
          <w:i/>
        </w:rPr>
        <w:t xml:space="preserve">bilgin, akıllı, hakim</w:t>
      </w:r>
      <w:r>
        <w:t xml:space="preserve">. Clauson says the word "seems to connote both wisdom and mysterious</w:t>
      </w:r>
      <w:r>
        <w:t xml:space="preserve"> </w:t>
      </w:r>
      <w:r>
        <w:t xml:space="preserve">spiritual power", and it was borrowed early into Mongolian as</w:t>
      </w:r>
      <w:r>
        <w:t xml:space="preserve"> </w:t>
      </w:r>
      <w:r>
        <w:rPr>
          <w:iCs/>
          <w:i/>
        </w:rPr>
        <w:t xml:space="preserve">böge</w:t>
      </w:r>
      <w:r>
        <w:t xml:space="preserve">, the ordinary word for</w:t>
      </w:r>
      <w:r>
        <w:t xml:space="preserve"> </w:t>
      </w:r>
      <w:r>
        <w:t xml:space="preserve">a shaman. It appears in regnal styles across the record:</w:t>
      </w:r>
      <w:r>
        <w:t xml:space="preserve"> </w:t>
      </w:r>
      <w:r>
        <w:rPr>
          <w:iCs/>
          <w:i/>
        </w:rPr>
        <w:t xml:space="preserve">Teŋri Bögü Teŋriken</w:t>
      </w:r>
      <w:r>
        <w:t xml:space="preserve"> </w:t>
      </w:r>
      <w:r>
        <w:t xml:space="preserve">in the Old</w:t>
      </w:r>
      <w:r>
        <w:t xml:space="preserve"> </w:t>
      </w:r>
      <w:r>
        <w:t xml:space="preserve">Turkic inscriptions, Bögü Qaghan of the Uyghurs (</w:t>
      </w:r>
      <w:r>
        <w:t xml:space="preserve">牟羽</w:t>
      </w:r>
      <w:r>
        <w:t xml:space="preserve"> </w:t>
      </w:r>
      <w:r>
        <w:t xml:space="preserve">in the Chinese</w:t>
      </w:r>
      <w:r>
        <w:t xml:space="preserve"> </w:t>
      </w:r>
      <w:r>
        <w:t xml:space="preserve">sources), and Bögü-Çor of the Türks (</w:t>
      </w:r>
      <w:r>
        <w:t xml:space="preserve">默啜</w:t>
      </w:r>
      <w:r>
        <w:t xml:space="preserve">).</w:t>
      </w:r>
    </w:p>
    <w:p>
      <w:pPr>
        <w:pStyle w:val="BodyText"/>
      </w:pPr>
      <w:r>
        <w:t xml:space="preserve">The choice is not peculiar to this name. Across the record,</w:t>
      </w:r>
      <w:r>
        <w:t xml:space="preserve"> </w:t>
      </w:r>
      <w:r>
        <w:rPr>
          <w:bCs/>
          <w:b/>
        </w:rPr>
        <w:t xml:space="preserve">46 of 107 characters</w:t>
      </w:r>
      <w:r>
        <w:rPr>
          <w:bCs/>
          <w:b/>
        </w:rPr>
        <w:t xml:space="preserve"> </w:t>
      </w:r>
      <w:r>
        <w:rPr>
          <w:bCs/>
          <w:b/>
        </w:rPr>
        <w:t xml:space="preserve">carry more than one Later Han reading, and in all 46 the value printed in Appendix A is the</w:t>
      </w:r>
      <w:r>
        <w:rPr>
          <w:bCs/>
          <w:b/>
        </w:rPr>
        <w:t xml:space="preserve"> </w:t>
      </w:r>
      <w:r>
        <w:rPr>
          <w:bCs/>
          <w:b/>
        </w:rPr>
        <w:t xml:space="preserve">first row of the table</w:t>
      </w:r>
      <w:r>
        <w:t xml:space="preserve"> </w:t>
      </w:r>
      <w:r>
        <w:t xml:space="preserve">(§11).</w:t>
      </w:r>
      <w:r>
        <w:t xml:space="preserve"> </w:t>
      </w:r>
      <w:r>
        <w:t xml:space="preserve">冒頓</w:t>
      </w:r>
      <w:r>
        <w:t xml:space="preserve"> </w:t>
      </w:r>
      <w:r>
        <w:t xml:space="preserve">is the case where that</w:t>
      </w:r>
      <w:r>
        <w:t xml:space="preserve"> </w:t>
      </w:r>
      <w:r>
        <w:t xml:space="preserve">choice carries the most weight. The claim this section makes is therefore bounded:</w:t>
      </w:r>
      <w:r>
        <w:t xml:space="preserve"> </w:t>
      </w:r>
      <w:r>
        <w:rPr>
          <w:iCs/>
          <w:i/>
        </w:rPr>
        <w:t xml:space="preserve">Bögü Tın</w:t>
      </w:r>
      <w:r>
        <w:t xml:space="preserve"> </w:t>
      </w:r>
      <w:r>
        <w:t xml:space="preserve">survives every test we can apply on one of the two readings of</w:t>
      </w:r>
      <w:r>
        <w:t xml:space="preserve"> </w:t>
      </w:r>
      <w:r>
        <w:t xml:space="preserve">頓</w:t>
      </w:r>
      <w:r>
        <w:t xml:space="preserve">, the field's reading survives on the other, and the transcription</w:t>
      </w:r>
      <w:r>
        <w:t xml:space="preserve"> </w:t>
      </w:r>
      <w:r>
        <w:t xml:space="preserve">evidence does not choose between them. The material for choosing, the counts, the corpora, and</w:t>
      </w:r>
      <w:r>
        <w:t xml:space="preserve"> </w:t>
      </w:r>
      <w:r>
        <w:t xml:space="preserve">the scripts, is in the repository that we provided.</w:t>
      </w:r>
    </w:p>
    <w:bookmarkEnd w:id="43"/>
    <w:bookmarkEnd w:id="44"/>
    <w:bookmarkStart w:id="45"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9</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5"/>
    <w:bookmarkStart w:id="46"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and we have not had it checked for</w:t>
      </w:r>
      <w:r>
        <w:t xml:space="preserve"> </w:t>
      </w:r>
      <w:r>
        <w:t xml:space="preserve">this paper. The Later Han readings are Schuessler's, the etymologies discussed are</w:t>
      </w:r>
      <w:r>
        <w:t xml:space="preserve"> </w:t>
      </w:r>
      <w:r>
        <w:t xml:space="preserve">from the published literature, and the identifications in Table 9 are the established</w:t>
      </w:r>
      <w:r>
        <w:t xml:space="preserve"> </w:t>
      </w:r>
      <w:r>
        <w:t xml:space="preserve">consensus. A specialist reading would strengthen the paper and might revise judgments in</w:t>
      </w:r>
      <w:r>
        <w:t xml:space="preserve"> </w:t>
      </w:r>
      <w:r>
        <w:t xml:space="preserve">§6 and §9.</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w:t>
      </w:r>
      <w:r>
        <w:t xml:space="preserve"> </w:t>
      </w:r>
      <w:r>
        <w:t xml:space="preserve">Schuessler, Pulleyblank and Níng are three scholars with three notations, and Baxter and Sagart</w:t>
      </w:r>
      <w:r>
        <w:t xml:space="preserve"> </w:t>
      </w:r>
      <w:r>
        <w:t xml:space="preserve">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So some of the apparent</w:t>
      </w:r>
      <w:r>
        <w:t xml:space="preserve"> </w:t>
      </w:r>
      <w:r>
        <w:t xml:space="preserve">disagreement between them is notational rather than substantive. A single table is also not</w:t>
      </w:r>
      <w:r>
        <w:t xml:space="preserve"> </w:t>
      </w:r>
      <w:r>
        <w:t xml:space="preserve">single-valued:</w:t>
      </w:r>
      <w:r>
        <w:t xml:space="preserve"> </w:t>
      </w:r>
      <w:r>
        <w:rPr>
          <w:bCs/>
          <w:b/>
        </w:rPr>
        <w:t xml:space="preserve">46 of the 107 characters in the record carry more than one Later Han</w:t>
      </w:r>
      <w:r>
        <w:rPr>
          <w:bCs/>
          <w:b/>
        </w:rPr>
        <w:t xml:space="preserve"> </w:t>
      </w:r>
      <w:r>
        <w:rPr>
          <w:bCs/>
          <w:b/>
        </w:rPr>
        <w:t xml:space="preserve">reading</w:t>
      </w:r>
      <w:r>
        <w:t xml:space="preserve">, and Appendix A prints the first tabulated row in all 46. Where the alternative</w:t>
      </w:r>
      <w:r>
        <w:t xml:space="preserve"> </w:t>
      </w:r>
      <w:r>
        <w:t xml:space="preserve">would change a 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46"/>
    <w:bookmarkStart w:id="47"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1–23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for the record</w:t>
      </w:r>
      <w:r>
        <w:t xml:space="preserve"> </w:t>
      </w:r>
      <w:r>
        <w:t xml:space="preserve">under §9 and do not offer it as a result of this paper.</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1–9.</w:t>
      </w:r>
    </w:p>
    <w:p>
      <w:pPr>
        <w:pStyle w:val="BodyText"/>
      </w:pPr>
      <w:r>
        <w:rPr>
          <w:bCs/>
          <w:b/>
        </w:rPr>
        <w:t xml:space="preserve">Withheld, with the extraction script released instead.</w:t>
      </w:r>
      <w:r>
        <w:t xml:space="preserve"> </w:t>
      </w:r>
      <w:r>
        <w:t xml:space="preserve">Four derived files</w:t>
      </w:r>
      <w:r>
        <w:t xml:space="preserve"> </w:t>
      </w:r>
      <w:r>
        <w:t xml:space="preserve">inherit restrictions from their sources: the Turkic pairs, from Ligeti's glossaries</w:t>
      </w:r>
      <w:r>
        <w:t xml:space="preserve"> </w:t>
      </w:r>
      <w:r>
        <w:t xml:space="preserve">(© Akadémiai Kiadó); the Kāşgarî lexicon, from a modern Türk Dil Kurumu edition; and two files</w:t>
      </w:r>
      <w:r>
        <w:t xml:space="preserve"> </w:t>
      </w:r>
      <w:r>
        <w:t xml:space="preserve">built on that lexicon: the Old Turkic echo results and the candidate-space listing, the latter</w:t>
      </w:r>
      <w:r>
        <w:t xml:space="preserve"> </w:t>
      </w:r>
      <w:r>
        <w:t xml:space="preserve">also quoting Clauson's</w:t>
      </w:r>
      <w:r>
        <w:t xml:space="preserve"> </w:t>
      </w:r>
      <w:r>
        <w:rPr>
          <w:iCs/>
          <w:i/>
        </w:rPr>
        <w:t xml:space="preserve">Etymological Dictionary</w:t>
      </w:r>
      <w:r>
        <w:t xml:space="preserve"> </w:t>
      </w:r>
      <w:r>
        <w:t xml:space="preserve">verbatim in a context column.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47"/>
    <w:bookmarkStart w:id="50"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 character for which Schuessler's table gives more than one</w:t>
      </w:r>
      <w:r>
        <w:t xml:space="preserve"> </w:t>
      </w:r>
      <w:r>
        <w:t xml:space="preserve">Later Han reading; the first tabulated row is the one printed.</w:t>
      </w:r>
      <w:r>
        <w:t xml:space="preserve"> </w:t>
      </w:r>
      <w:r>
        <w:rPr>
          <w:bCs/>
          <w:b/>
        </w:rPr>
        <w:t xml:space="preserve">46 of the 107 characters</w:t>
      </w:r>
      <w:r>
        <w:rPr>
          <w:bCs/>
          <w:b/>
        </w:rPr>
        <w:t xml:space="preserve"> </w:t>
      </w:r>
      <w:r>
        <w:rPr>
          <w:bCs/>
          <w:b/>
        </w:rPr>
        <w:t xml:space="preserve">in the record are so marked</w:t>
      </w:r>
      <w:r>
        <w:t xml:space="preserve">, and where the alternative would change a proposed reading it</w:t>
      </w:r>
      <w:r>
        <w:t xml:space="preserve"> </w:t>
      </w:r>
      <w:r>
        <w:t xml:space="preserve">is named in the Supplementary Material rather than left to the dagger.</w:t>
      </w:r>
      <w:r>
        <w:t xml:space="preserve"> </w:t>
      </w:r>
      <w:r>
        <w:t xml:space="preserve">若鞮</w:t>
      </w:r>
      <w:r>
        <w:t xml:space="preserve"> </w:t>
      </w:r>
      <w:r>
        <w:t xml:space="preserve">is listed once, shaded, rather than repeated in the six titles that</w:t>
      </w:r>
      <w:r>
        <w:t xml:space="preserve"> </w:t>
      </w:r>
      <w:r>
        <w:t xml:space="preserve">carry it.</w:t>
      </w:r>
    </w:p>
    <w:bookmarkStart w:id="48"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Punu, plus both forms of the ruling clan name:</w:t>
      </w:r>
      <w:r>
        <w:t xml:space="preserve"> </w:t>
      </w:r>
      <w:r>
        <w:t xml:space="preserve">攣鞮</w:t>
      </w:r>
      <w:r>
        <w:t xml:space="preserve"> </w:t>
      </w:r>
      <w:r>
        <w:t xml:space="preserve">in the</w:t>
      </w:r>
      <w:r>
        <w:t xml:space="preserve"> </w:t>
      </w:r>
      <w:r>
        <w:rPr>
          <w:iCs/>
          <w:i/>
        </w:rPr>
        <w:t xml:space="preserve">Shiji</w:t>
      </w:r>
      <w:r>
        <w:t xml:space="preserve"> </w:t>
      </w:r>
      <w:r>
        <w:t xml:space="preserve">and</w:t>
      </w:r>
      <w:r>
        <w:t xml:space="preserve"> </w:t>
      </w:r>
      <w:r>
        <w:rPr>
          <w:iCs/>
          <w:i/>
        </w:rPr>
        <w:t xml:space="preserve">Hanshu</w:t>
      </w:r>
      <w:r>
        <w:t xml:space="preserve">,</w:t>
      </w:r>
      <w:r>
        <w:t xml:space="preserve"> </w:t>
      </w:r>
      <w:r>
        <w:t xml:space="preserve">虛連題</w:t>
      </w:r>
      <w:r>
        <w:t xml:space="preserve"> </w:t>
      </w:r>
      <w:r>
        <w:t xml:space="preserve">in the</w:t>
      </w:r>
      <w:r>
        <w:t xml:space="preserve"> </w:t>
      </w:r>
      <w:r>
        <w:rPr>
          <w:iCs/>
          <w:i/>
        </w:rPr>
        <w:t xml:space="preserve">Hou Hanshu</w:t>
      </w:r>
      <w:r>
        <w:t xml:space="preserve">.</w:t>
      </w:r>
    </w:p>
    <w:bookmarkEnd w:id="48"/>
    <w:bookmarkStart w:id="49"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49"/>
    <w:bookmarkEnd w:id="50"/>
    <w:bookmarkStart w:id="80" w:name="b-references"/>
    <w:p>
      <w:pPr>
        <w:pStyle w:val="Heading2"/>
      </w:pPr>
      <w:r>
        <w:t xml:space="preserve">B</w:t>
      </w:r>
      <w:r>
        <w:t xml:space="preserve"> </w:t>
      </w:r>
      <w:r>
        <w:t xml:space="preserve">References</w:t>
      </w:r>
    </w:p>
    <w:p>
      <w:pPr>
        <w:numPr>
          <w:ilvl w:val="0"/>
          <w:numId w:val="1003"/>
        </w:numPr>
        <w:pStyle w:val="Compact"/>
      </w:pPr>
      <w:bookmarkStart w:id="51"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1"/>
    </w:p>
    <w:p>
      <w:pPr>
        <w:numPr>
          <w:ilvl w:val="0"/>
          <w:numId w:val="1003"/>
        </w:numPr>
        <w:pStyle w:val="Compact"/>
      </w:pPr>
      <w:bookmarkStart w:id="52" w:name="r2"/>
      <w:r>
        <w:t xml:space="preserve">Baxter, W. H. &amp; Sagart, L. (2014).</w:t>
      </w:r>
      <w:r>
        <w:t xml:space="preserve"> </w:t>
      </w:r>
      <w:r>
        <w:rPr>
          <w:iCs/>
          <w:i/>
        </w:rPr>
        <w:t xml:space="preserve">Old Chinese: A New Reconstruction</w:t>
      </w:r>
      <w:r>
        <w:t xml:space="preserve">. Oxford University Press.</w:t>
      </w:r>
      <w:bookmarkEnd w:id="52"/>
    </w:p>
    <w:p>
      <w:pPr>
        <w:numPr>
          <w:ilvl w:val="0"/>
          <w:numId w:val="1003"/>
        </w:numPr>
        <w:pStyle w:val="Compact"/>
      </w:pPr>
      <w:bookmarkStart w:id="53"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3"/>
    </w:p>
    <w:p>
      <w:pPr>
        <w:numPr>
          <w:ilvl w:val="0"/>
          <w:numId w:val="1003"/>
        </w:numPr>
        <w:pStyle w:val="Compact"/>
      </w:pPr>
      <w:bookmarkStart w:id="54" w:name="r4"/>
      <w:r>
        <w:t xml:space="preserve">Clauson, G. (1972).</w:t>
      </w:r>
      <w:r>
        <w:t xml:space="preserve"> </w:t>
      </w:r>
      <w:r>
        <w:rPr>
          <w:iCs/>
          <w:i/>
        </w:rPr>
        <w:t xml:space="preserve">An Etymological Dictionary of Pre-Thirteenth-Century Turkish</w:t>
      </w:r>
      <w:r>
        <w:t xml:space="preserve">. Oxford: Clarendon Press.</w:t>
      </w:r>
      <w:bookmarkEnd w:id="54"/>
    </w:p>
    <w:p>
      <w:pPr>
        <w:numPr>
          <w:ilvl w:val="0"/>
          <w:numId w:val="1003"/>
        </w:numPr>
        <w:pStyle w:val="Compact"/>
      </w:pPr>
      <w:bookmarkStart w:id="55"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5"/>
    </w:p>
    <w:p>
      <w:pPr>
        <w:numPr>
          <w:ilvl w:val="0"/>
          <w:numId w:val="1003"/>
        </w:numPr>
        <w:pStyle w:val="Compact"/>
      </w:pPr>
      <w:bookmarkStart w:id="56" w:name="r6"/>
      <w:r>
        <w:t xml:space="preserve">Doerfer, G. (1973). Zur Sprache der Hunnen.</w:t>
      </w:r>
      <w:r>
        <w:t xml:space="preserve"> </w:t>
      </w:r>
      <w:r>
        <w:rPr>
          <w:iCs/>
          <w:i/>
        </w:rPr>
        <w:t xml:space="preserve">Central Asiatic Journal</w:t>
      </w:r>
      <w:r>
        <w:t xml:space="preserve"> </w:t>
      </w:r>
      <w:r>
        <w:t xml:space="preserve">17: 1–50.</w:t>
      </w:r>
      <w:bookmarkEnd w:id="56"/>
    </w:p>
    <w:p>
      <w:pPr>
        <w:numPr>
          <w:ilvl w:val="0"/>
          <w:numId w:val="1003"/>
        </w:numPr>
        <w:pStyle w:val="Compact"/>
      </w:pPr>
      <w:bookmarkStart w:id="57" w:name="r7"/>
      <w:r>
        <w:t xml:space="preserve">Erdal, M. (2004).</w:t>
      </w:r>
      <w:r>
        <w:t xml:space="preserve"> </w:t>
      </w:r>
      <w:r>
        <w:rPr>
          <w:iCs/>
          <w:i/>
        </w:rPr>
        <w:t xml:space="preserve">A Grammar of Old Turkic</w:t>
      </w:r>
      <w:r>
        <w:t xml:space="preserve">. Leiden: Brill.</w:t>
      </w:r>
      <w:bookmarkEnd w:id="57"/>
    </w:p>
    <w:p>
      <w:pPr>
        <w:numPr>
          <w:ilvl w:val="0"/>
          <w:numId w:val="1003"/>
        </w:numPr>
        <w:pStyle w:val="Compact"/>
      </w:pPr>
      <w:bookmarkStart w:id="58"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58"/>
    </w:p>
    <w:p>
      <w:pPr>
        <w:numPr>
          <w:ilvl w:val="0"/>
          <w:numId w:val="1003"/>
        </w:numPr>
        <w:pStyle w:val="Compact"/>
      </w:pPr>
      <w:bookmarkStart w:id="59" w:name="r9"/>
      <w:r>
        <w:t xml:space="preserve">Golden, P. B. (1992).</w:t>
      </w:r>
      <w:r>
        <w:t xml:space="preserve"> </w:t>
      </w:r>
      <w:r>
        <w:rPr>
          <w:iCs/>
          <w:i/>
        </w:rPr>
        <w:t xml:space="preserve">An Introduction to the History of the Turkic Peoples</w:t>
      </w:r>
      <w:r>
        <w:t xml:space="preserve">. Wiesbaden: Harrassowitz.</w:t>
      </w:r>
      <w:bookmarkEnd w:id="59"/>
    </w:p>
    <w:p>
      <w:pPr>
        <w:numPr>
          <w:ilvl w:val="0"/>
          <w:numId w:val="1003"/>
        </w:numPr>
        <w:pStyle w:val="Compact"/>
      </w:pPr>
      <w:bookmarkStart w:id="60" w:name="r10"/>
      <w:r>
        <w:t xml:space="preserve">Hú Zhènhuá &amp; Huáng Rùnhuá (1984). 《高昌舘杂字：明代汉文回鹘文分类词汇》. Běijīng: Mínzú chūbǎnshè.</w:t>
      </w:r>
      <w:bookmarkEnd w:id="60"/>
    </w:p>
    <w:p>
      <w:pPr>
        <w:numPr>
          <w:ilvl w:val="0"/>
          <w:numId w:val="1003"/>
        </w:numPr>
        <w:pStyle w:val="Compact"/>
      </w:pPr>
      <w:bookmarkStart w:id="61"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1"/>
    </w:p>
    <w:p>
      <w:pPr>
        <w:numPr>
          <w:ilvl w:val="0"/>
          <w:numId w:val="1003"/>
        </w:numPr>
        <w:pStyle w:val="Compact"/>
      </w:pPr>
      <w:bookmarkStart w:id="62"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bookmarkEnd w:id="62"/>
    </w:p>
    <w:p>
      <w:pPr>
        <w:numPr>
          <w:ilvl w:val="0"/>
          <w:numId w:val="1003"/>
        </w:numPr>
        <w:pStyle w:val="Compact"/>
      </w:pPr>
      <w:bookmarkStart w:id="63"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3"/>
    </w:p>
    <w:p>
      <w:pPr>
        <w:numPr>
          <w:ilvl w:val="0"/>
          <w:numId w:val="1003"/>
        </w:numPr>
        <w:pStyle w:val="Compact"/>
      </w:pPr>
      <w:bookmarkStart w:id="64"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4"/>
    </w:p>
    <w:p>
      <w:pPr>
        <w:numPr>
          <w:ilvl w:val="0"/>
          <w:numId w:val="1003"/>
        </w:numPr>
        <w:pStyle w:val="Compact"/>
      </w:pPr>
      <w:bookmarkStart w:id="65" w:name="r15"/>
      <w:r>
        <w:t xml:space="preserve">[Unsigned review] (1974). Lautgesetz und Zufall [review of Doerfer 1973].</w:t>
      </w:r>
      <w:r>
        <w:t xml:space="preserve"> </w:t>
      </w:r>
      <w:r>
        <w:rPr>
          <w:iCs/>
          <w:i/>
        </w:rPr>
        <w:t xml:space="preserve">Anthropos</w:t>
      </w:r>
      <w:r>
        <w:t xml:space="preserve"> </w:t>
      </w:r>
      <w:r>
        <w:t xml:space="preserve">69: 263–271. JSTOR 40458521.</w:t>
      </w:r>
      <w:bookmarkEnd w:id="65"/>
    </w:p>
    <w:p>
      <w:pPr>
        <w:numPr>
          <w:ilvl w:val="0"/>
          <w:numId w:val="1003"/>
        </w:numPr>
        <w:pStyle w:val="Compact"/>
      </w:pPr>
      <w:bookmarkStart w:id="66"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66"/>
    </w:p>
    <w:p>
      <w:pPr>
        <w:numPr>
          <w:ilvl w:val="0"/>
          <w:numId w:val="1003"/>
        </w:numPr>
        <w:pStyle w:val="Compact"/>
      </w:pPr>
      <w:bookmarkStart w:id="67"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67"/>
    </w:p>
    <w:p>
      <w:pPr>
        <w:numPr>
          <w:ilvl w:val="0"/>
          <w:numId w:val="1003"/>
        </w:numPr>
        <w:pStyle w:val="Compact"/>
      </w:pPr>
      <w:bookmarkStart w:id="68"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68"/>
    </w:p>
    <w:p>
      <w:pPr>
        <w:numPr>
          <w:ilvl w:val="0"/>
          <w:numId w:val="1003"/>
        </w:numPr>
        <w:pStyle w:val="Compact"/>
      </w:pPr>
      <w:bookmarkStart w:id="69" w:name="r19"/>
      <w:r>
        <w:t xml:space="preserve">Pulleyblank, E. G. (1962). The consonantal system of Old Chinese.</w:t>
      </w:r>
      <w:r>
        <w:t xml:space="preserve"> </w:t>
      </w:r>
      <w:r>
        <w:rPr>
          <w:iCs/>
          <w:i/>
        </w:rPr>
        <w:t xml:space="preserve">Asia Major</w:t>
      </w:r>
      <w:r>
        <w:t xml:space="preserve"> </w:t>
      </w:r>
      <w:r>
        <w:t xml:space="preserve">9: 58–144, 206–265.</w:t>
      </w:r>
      <w:bookmarkEnd w:id="69"/>
    </w:p>
    <w:p>
      <w:pPr>
        <w:numPr>
          <w:ilvl w:val="0"/>
          <w:numId w:val="1003"/>
        </w:numPr>
        <w:pStyle w:val="Compact"/>
      </w:pPr>
      <w:bookmarkStart w:id="70"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0"/>
    </w:p>
    <w:p>
      <w:pPr>
        <w:numPr>
          <w:ilvl w:val="0"/>
          <w:numId w:val="1003"/>
        </w:numPr>
        <w:pStyle w:val="Compact"/>
      </w:pPr>
      <w:bookmarkStart w:id="71"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1"/>
    </w:p>
    <w:p>
      <w:pPr>
        <w:numPr>
          <w:ilvl w:val="0"/>
          <w:numId w:val="1003"/>
        </w:numPr>
        <w:pStyle w:val="Compact"/>
      </w:pPr>
      <w:bookmarkStart w:id="72"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2"/>
    </w:p>
    <w:p>
      <w:pPr>
        <w:numPr>
          <w:ilvl w:val="0"/>
          <w:numId w:val="1003"/>
        </w:numPr>
        <w:pStyle w:val="Compact"/>
      </w:pPr>
      <w:bookmarkStart w:id="73" w:name="r23"/>
      <w:r>
        <w:t xml:space="preserve">Speer, R. (2022).</w:t>
      </w:r>
      <w:r>
        <w:t xml:space="preserve"> </w:t>
      </w:r>
      <w:r>
        <w:rPr>
          <w:iCs/>
          <w:i/>
        </w:rPr>
        <w:t xml:space="preserve">wordfreq</w:t>
      </w:r>
      <w:r>
        <w:t xml:space="preserve">: word frequency data for 40+ languages, v3 [software]. Zenodo, doi:10.5281/zenodo.7199437</w:t>
      </w:r>
      <w:bookmarkEnd w:id="73"/>
    </w:p>
    <w:p>
      <w:pPr>
        <w:numPr>
          <w:ilvl w:val="0"/>
          <w:numId w:val="1003"/>
        </w:numPr>
        <w:pStyle w:val="Compact"/>
      </w:pPr>
      <w:bookmarkStart w:id="74"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4"/>
    </w:p>
    <w:p>
      <w:pPr>
        <w:numPr>
          <w:ilvl w:val="0"/>
          <w:numId w:val="1003"/>
        </w:numPr>
        <w:pStyle w:val="Compact"/>
      </w:pPr>
      <w:bookmarkStart w:id="75"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5"/>
    </w:p>
    <w:p>
      <w:pPr>
        <w:numPr>
          <w:ilvl w:val="0"/>
          <w:numId w:val="1003"/>
        </w:numPr>
        <w:pStyle w:val="Compact"/>
      </w:pPr>
      <w:bookmarkStart w:id="76"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76"/>
    </w:p>
    <w:p>
      <w:pPr>
        <w:numPr>
          <w:ilvl w:val="0"/>
          <w:numId w:val="1003"/>
        </w:numPr>
        <w:pStyle w:val="Compact"/>
      </w:pPr>
      <w:bookmarkStart w:id="77" w:name="r27"/>
      <w:r>
        <w:t xml:space="preserve">Vovin, A. (2000). Did the Xiong-nu speak a Yeniseian language?</w:t>
      </w:r>
      <w:r>
        <w:t xml:space="preserve"> </w:t>
      </w:r>
      <w:r>
        <w:rPr>
          <w:iCs/>
          <w:i/>
        </w:rPr>
        <w:t xml:space="preserve">Central Asiatic Journal</w:t>
      </w:r>
      <w:r>
        <w:t xml:space="preserve"> </w:t>
      </w:r>
      <w:r>
        <w:t xml:space="preserve">44(1): 87–104.</w:t>
      </w:r>
      <w:bookmarkEnd w:id="77"/>
    </w:p>
    <w:p>
      <w:pPr>
        <w:numPr>
          <w:ilvl w:val="0"/>
          <w:numId w:val="1003"/>
        </w:numPr>
        <w:pStyle w:val="Compact"/>
      </w:pPr>
      <w:bookmarkStart w:id="78"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78"/>
    </w:p>
    <w:p>
      <w:pPr>
        <w:numPr>
          <w:ilvl w:val="0"/>
          <w:numId w:val="1003"/>
        </w:numPr>
        <w:pStyle w:val="Compact"/>
      </w:pPr>
      <w:bookmarkStart w:id="79" w:name="r29"/>
      <w:r>
        <w:t xml:space="preserve">Wittek, A. et al. (2020). ASJP Database v19. Zenodo, doi:10.5281/zenodo.3843469</w:t>
      </w:r>
      <w:bookmarkEnd w:id="79"/>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2026-09-03T08:14:27Z</dcterms:created>
  <dcterms:modified xsi:type="dcterms:W3CDTF">2026-09-03T08:14:27Z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