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34" w:name="candidate-readings-of-the-xiongnu-record"/>
    <w:p>
      <w:pPr>
        <w:pStyle w:val="Heading1"/>
      </w:pPr>
      <w:r>
        <w:t xml:space="preserve">Candidate readings of the Xiongnu record</w:t>
      </w:r>
    </w:p>
    <w:p>
      <w:pPr>
        <w:pStyle w:val="FirstParagraph"/>
      </w:pPr>
      <w:r>
        <w:t xml:space="preserve">Thirty-four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file-is"/>
    <w:p>
      <w:pPr>
        <w:pStyle w:val="Heading2"/>
      </w:pPr>
      <w:r>
        <w:t xml:space="preserve">S1.1</w:t>
      </w:r>
      <w:r>
        <w:t xml:space="preserve"> </w:t>
      </w:r>
      <w:r>
        <w:t xml:space="preserve">What this file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Two</w:t>
      </w:r>
      <w:r>
        <w:t xml:space="preserve"> </w:t>
      </w:r>
      <w:r>
        <w:t xml:space="preserve">readings are argued in the paper itself and meet its standard: 若鞮 as</w:t>
      </w:r>
      <w:r>
        <w:t xml:space="preserve"> </w:t>
      </w:r>
      <w:r>
        <w:rPr>
          <w:iCs/>
          <w:i/>
        </w:rPr>
        <w:t xml:space="preserve">Inakt</w:t>
      </w:r>
      <w:r>
        <w:t xml:space="preserve"> </w:t>
      </w:r>
      <w:r>
        <w:t xml:space="preserve">(§9) and 冒頓 as</w:t>
      </w:r>
      <w:r>
        <w:t xml:space="preserve"> </w:t>
      </w:r>
      <w:r>
        <w:rPr>
          <w:iCs/>
          <w:i/>
        </w:rPr>
        <w:t xml:space="preserve">Bögü Tın</w:t>
      </w:r>
      <w:r>
        <w:t xml:space="preserve"> </w:t>
      </w:r>
      <w:r>
        <w:t xml:space="preserve">(§9.2).</w:t>
      </w:r>
      <w:r>
        <w:t xml:space="preserve"> </w:t>
      </w:r>
      <w:r>
        <w:rPr>
          <w:bCs/>
          <w:b/>
        </w:rPr>
        <w:t xml:space="preserve">Two</w:t>
      </w:r>
      <w:r>
        <w:t xml:space="preserve"> </w:t>
      </w:r>
      <w:r>
        <w:t xml:space="preserve">carry a comparison taken from the literature rather than made by us, which the paper then tests: 徑路 as</w:t>
      </w:r>
      <w:r>
        <w:t xml:space="preserve"> </w:t>
      </w:r>
      <w:r>
        <w:rPr>
          <w:iCs/>
          <w:i/>
        </w:rPr>
        <w:t xml:space="preserve">Kıngrak</w:t>
      </w:r>
      <w:r>
        <w:t xml:space="preserve"> </w:t>
      </w:r>
      <w:r>
        <w:t xml:space="preserve">and 屠耆 as</w:t>
      </w:r>
      <w:r>
        <w:t xml:space="preserve"> </w:t>
      </w:r>
      <w:r>
        <w:rPr>
          <w:iCs/>
          <w:i/>
        </w:rPr>
        <w:t xml:space="preserve">Doğru</w:t>
      </w:r>
      <w:r>
        <w:t xml:space="preserve"> </w:t>
      </w:r>
      <w:r>
        <w:t xml:space="preserve">(§9.1).</w:t>
      </w:r>
      <w:r>
        <w:t xml:space="preserve"> </w:t>
      </w:r>
      <w:r>
        <w:rPr>
          <w:bCs/>
          <w:b/>
        </w:rPr>
        <w:t xml:space="preserve">Two</w:t>
      </w:r>
      <w:r>
        <w:t xml:space="preserve"> </w:t>
      </w:r>
      <w:r>
        <w:t xml:space="preserve">await a reading, with the frame and the candidate space set out so that one can be proposed. One is a compound pointing at its constituent rows. The remaining</w:t>
      </w:r>
      <w:r>
        <w:t xml:space="preserve"> </w:t>
      </w:r>
      <w:r>
        <w:rPr>
          <w:bCs/>
          <w:b/>
        </w:rPr>
        <w:t xml:space="preserve">thirty-three</w:t>
      </w:r>
      <w:r>
        <w:t xml:space="preserve"> </w:t>
      </w:r>
      <w:r>
        <w:t xml:space="preserve">are ours, and none of them meets the standard.</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bookmarkEnd w:id="20"/>
    <w:bookmarkStart w:id="21"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file,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1"/>
    <w:bookmarkStart w:id="22"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Süleyman I</w:t>
      </w:r>
      <w:r>
        <w:t xml:space="preserve"> </w:t>
      </w:r>
      <w:r>
        <w:rPr>
          <w:iCs/>
          <w:i/>
        </w:rPr>
        <w:t xml:space="preserve">Kanunî</w:t>
      </w:r>
      <w:r>
        <w:t xml:space="preserve"> </w:t>
      </w:r>
      <w:r>
        <w:t xml:space="preserve">"the lawgiver",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2"/>
    <w:bookmarkStart w:id="23" w:name="Xe80227901dd899df288d337dce8a63ffdc5eaf5"/>
    <w:p>
      <w:pPr>
        <w:pStyle w:val="Heading2"/>
      </w:pPr>
      <w:r>
        <w:t xml:space="preserve">S1.4</w:t>
      </w:r>
      <w:r>
        <w:t xml:space="preserve"> </w:t>
      </w:r>
      <w:r>
        <w:t xml:space="preserve">The two readings argued in the paper</w:t>
      </w:r>
    </w:p>
    <w:p>
      <w:pPr>
        <w:pStyle w:val="FirstParagraph"/>
      </w:pPr>
      <w:r>
        <w:t xml:space="preserve">Two readings in this file are argued in the paper rather than merely recorded, because they are</w:t>
      </w:r>
      <w:r>
        <w:t xml:space="preserve"> </w:t>
      </w:r>
      <w:r>
        <w:t xml:space="preserve">supported differently from everything else in it. The first is the 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w:t>
      </w:r>
      <w:r>
        <w:t xml:space="preserve"> </w:t>
      </w:r>
      <w:r>
        <w:t xml:space="preserve">冒頓</w:t>
      </w:r>
      <w:r>
        <w:t xml:space="preserve"> </w:t>
      </w:r>
      <w:r>
        <w:t xml:space="preserve">mək tuənᶜ</w:t>
      </w:r>
      <w:r>
        <w:t xml:space="preserve">, the founder of</w:t>
      </w:r>
      <w:r>
        <w:t xml:space="preserve"> </w:t>
      </w:r>
      <w:r>
        <w:t xml:space="preserve">the confederation, read</w:t>
      </w:r>
      <w:r>
        <w:t xml:space="preserve"> </w:t>
      </w:r>
      <w:r>
        <w:rPr>
          <w:iCs/>
          <w:i/>
          <w:bCs/>
          <w:b/>
        </w:rPr>
        <w:t xml:space="preserve">Bögü Tın</w:t>
      </w:r>
      <w:r>
        <w:t xml:space="preserve">, "sage spirit" (§9.2). This is where the method yields a positive reading of a Xiongnu name, and it rests on four things</w:t>
      </w:r>
      <w:r>
        <w:t xml:space="preserve"> </w:t>
      </w:r>
      <w:r>
        <w:t xml:space="preserve">rather than a resemblance:</w:t>
      </w:r>
    </w:p>
    <w:p>
      <w:pPr>
        <w:numPr>
          <w:ilvl w:val="0"/>
          <w:numId w:val="1002"/>
        </w:numPr>
        <w:pStyle w:val="Compact"/>
      </w:pPr>
      <w:r>
        <w:rPr>
          <w:bCs/>
          <w:b/>
        </w:rPr>
        <w:t xml:space="preserve">The frame is tight.</w:t>
      </w:r>
      <w:r>
        <w:t xml:space="preserve"> </w:t>
      </w:r>
      <w:r>
        <w:t xml:space="preserve">Both codas are written, the</w:t>
      </w:r>
      <w:r>
        <w:t xml:space="preserve"> </w:t>
      </w:r>
      <w:r>
        <w:t xml:space="preserve">-k</w:t>
      </w:r>
      <w:r>
        <w:t xml:space="preserve"> </w:t>
      </w:r>
      <w:r>
        <w:t xml:space="preserve">of</w:t>
      </w:r>
      <w:r>
        <w:t xml:space="preserve"> </w:t>
      </w:r>
      <w:r>
        <w:t xml:space="preserve">冒</w:t>
      </w:r>
      <w:r>
        <w:t xml:space="preserve"> </w:t>
      </w:r>
      <w:r>
        <w:t xml:space="preserve">and the</w:t>
      </w:r>
      <w:r>
        <w:t xml:space="preserve"> </w:t>
      </w:r>
      <w:r>
        <w:t xml:space="preserve">-n</w:t>
      </w:r>
      <w:r>
        <w:t xml:space="preserve"> </w:t>
      </w:r>
      <w:r>
        <w:t xml:space="preserve">of</w:t>
      </w:r>
      <w:r>
        <w:t xml:space="preserve"> </w:t>
      </w:r>
      <w:r>
        <w:t xml:space="preserve">頓</w:t>
      </w:r>
      <w:r>
        <w:t xml:space="preserve">, so both must correspond to</w:t>
      </w:r>
      <w:r>
        <w:t xml:space="preserve"> </w:t>
      </w:r>
      <w:r>
        <w:t xml:space="preserve">something. That fixes four consonants ending in a nasal.</w:t>
      </w:r>
    </w:p>
    <w:p>
      <w:pPr>
        <w:numPr>
          <w:ilvl w:val="0"/>
          <w:numId w:val="1002"/>
        </w:numPr>
        <w:pStyle w:val="Compact"/>
      </w:pPr>
      <w:r>
        <w:rPr>
          <w:bCs/>
          <w:b/>
        </w:rPr>
        <w:t xml:space="preserve">The first character has a documented Turkic value.</w:t>
      </w:r>
      <w:r>
        <w:t xml:space="preserve"> </w:t>
      </w:r>
      <w:r>
        <w:t xml:space="preserve">冒</w:t>
      </w:r>
      <w:r>
        <w:t xml:space="preserve"> </w:t>
      </w:r>
      <w:r>
        <w:t xml:space="preserve">and</w:t>
      </w:r>
      <w:r>
        <w:t xml:space="preserve"> </w:t>
      </w:r>
      <w:r>
        <w:t xml:space="preserve">默</w:t>
      </w:r>
      <w:r>
        <w:t xml:space="preserve"> </w:t>
      </w:r>
      <w:r>
        <w:t xml:space="preserve">share the Later Han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w:t>
      </w:r>
      <w:r>
        <w:t xml:space="preserve"> </w:t>
      </w:r>
      <w:r>
        <w:t xml:space="preserve">personal name of Qapaghan Qaghan. That syllable is on record writing</w:t>
      </w:r>
      <w:r>
        <w:t xml:space="preserve"> </w:t>
      </w:r>
      <w:r>
        <w:rPr>
          <w:iCs/>
          <w:i/>
        </w:rPr>
        <w:t xml:space="preserve">bögü</w:t>
      </w:r>
      <w:r>
        <w:t xml:space="preserve"> </w:t>
      </w:r>
      <w:r>
        <w:t xml:space="preserve">in a Turkic</w:t>
      </w:r>
      <w:r>
        <w:t xml:space="preserve"> </w:t>
      </w:r>
      <w:r>
        <w:t xml:space="preserve">ruler's name.</w:t>
      </w:r>
    </w:p>
    <w:p>
      <w:pPr>
        <w:numPr>
          <w:ilvl w:val="0"/>
          <w:numId w:val="1002"/>
        </w:numPr>
        <w:pStyle w:val="Compact"/>
      </w:pPr>
      <w:r>
        <w:rPr>
          <w:bCs/>
          <w:b/>
        </w:rPr>
        <w:t xml:space="preserve">Every step is separately licensed by a count.</w:t>
      </w:r>
      <w:r>
        <w:t xml:space="preserve"> </w:t>
      </w:r>
      <w:r>
        <w:t xml:space="preserve">An</w:t>
      </w:r>
      <w:r>
        <w:t xml:space="preserve"> </w:t>
      </w:r>
      <w:r>
        <w:t xml:space="preserve">m-</w:t>
      </w:r>
      <w:r>
        <w:t xml:space="preserve"> </w:t>
      </w:r>
      <w:r>
        <w:t xml:space="preserve">character for a source</w:t>
      </w:r>
      <w:r>
        <w:t xml:space="preserve"> </w:t>
      </w:r>
      <w:r>
        <w:t xml:space="preserve">b-</w:t>
      </w:r>
      <w:r>
        <w:t xml:space="preserve">: 3 of 22 in the</w:t>
      </w:r>
      <w:r>
        <w:t xml:space="preserve"> </w:t>
      </w:r>
      <w:r>
        <w:t xml:space="preserve">Later Han layer. One character covering two source syllables with a stop coda doing the</w:t>
      </w:r>
      <w:r>
        <w:t xml:space="preserve"> </w:t>
      </w:r>
      <w:r>
        <w:t xml:space="preserve">compressing: 47 of the 1,017 verified pairs, as</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rPr>
          <w:iCs/>
          <w:i/>
        </w:rPr>
        <w:t xml:space="preserve">tathāgata</w:t>
      </w:r>
      <w:r>
        <w:t xml:space="preserve">. And</w:t>
      </w:r>
      <w:r>
        <w:t xml:space="preserve"> </w:t>
      </w:r>
      <w:r>
        <w:t xml:space="preserve">頓</w:t>
      </w:r>
      <w:r>
        <w:t xml:space="preserve"> </w:t>
      </w:r>
      <w:r>
        <w:t xml:space="preserve">needs no license at all,</w:t>
      </w:r>
      <w:r>
        <w:t xml:space="preserve"> </w:t>
      </w:r>
      <w:r>
        <w:t xml:space="preserve">since</w:t>
      </w:r>
      <w:r>
        <w:t xml:space="preserve"> </w:t>
      </w:r>
      <w:r>
        <w:rPr>
          <w:iCs/>
          <w:i/>
        </w:rPr>
        <w:t xml:space="preserve">tın</w:t>
      </w:r>
      <w:r>
        <w:t xml:space="preserve"> </w:t>
      </w:r>
      <w:r>
        <w:t xml:space="preserve">"spirit, breath" matches with nothing inserted.</w:t>
      </w:r>
    </w:p>
    <w:p>
      <w:pPr>
        <w:numPr>
          <w:ilvl w:val="0"/>
          <w:numId w:val="1002"/>
        </w:numPr>
        <w:pStyle w:val="Compact"/>
      </w:pPr>
      <w:r>
        <w:rPr>
          <w:bCs/>
          <w:b/>
        </w:rPr>
        <w:t xml:space="preserve">The competing literature reading of</w:t>
      </w:r>
      <w:r>
        <w:rPr>
          <w:bCs/>
          <w:b/>
        </w:rPr>
        <w:t xml:space="preserve"> </w:t>
      </w:r>
      <w:r>
        <w:rPr>
          <w:bCs/>
          <w:b/>
        </w:rPr>
        <w:t xml:space="preserve">冒頓</w:t>
      </w:r>
      <w:r>
        <w:rPr>
          <w:bCs/>
          <w:b/>
        </w:rPr>
        <w:t xml:space="preserve"> </w:t>
      </w:r>
      <w:r>
        <w:rPr>
          <w:bCs/>
          <w:b/>
        </w:rPr>
        <w:t xml:space="preserve">fails a test this one passes.</w:t>
      </w:r>
      <w:r>
        <w:t xml:space="preserve"> </w:t>
      </w:r>
      <w:r>
        <w:rPr>
          <w:iCs/>
          <w:i/>
        </w:rPr>
        <w:t xml:space="preserve">Baγatur</w:t>
      </w:r>
      <w:r>
        <w:t xml:space="preserve">,</w:t>
      </w:r>
      <w:r>
        <w:t xml:space="preserve"> </w:t>
      </w:r>
      <w:r>
        <w:t xml:space="preserve">the field's answer for a century, ends in</w:t>
      </w:r>
      <w:r>
        <w:t xml:space="preserve"> </w:t>
      </w:r>
      <w:r>
        <w:t xml:space="preserve">-r</w:t>
      </w:r>
      <w:r>
        <w:t xml:space="preserve"> </w:t>
      </w:r>
      <w:r>
        <w:t xml:space="preserve">against a written</w:t>
      </w:r>
      <w:r>
        <w:t xml:space="preserve"> </w:t>
      </w:r>
      <w:r>
        <w:t xml:space="preserve">-n</w:t>
      </w:r>
      <w:r>
        <w:t xml:space="preserve">, a spelling found once in 37 opportunities.</w:t>
      </w:r>
    </w:p>
    <w:p>
      <w:pPr>
        <w:pStyle w:val="FirstParagraph"/>
      </w:pPr>
      <w:r>
        <w:t xml:space="preserve">What is unsettled is stated in §9.2 and in the row itself: the compound</w:t>
      </w:r>
      <w:r>
        <w:t xml:space="preserve"> </w:t>
      </w:r>
      <w:r>
        <w:rPr>
          <w:iCs/>
          <w:i/>
        </w:rPr>
        <w:t xml:space="preserve">bögü tın</w:t>
      </w:r>
      <w:r>
        <w:t xml:space="preserve"> </w:t>
      </w:r>
      <w:r>
        <w:t xml:space="preserve">is</w:t>
      </w:r>
      <w:r>
        <w:t xml:space="preserve"> </w:t>
      </w:r>
      <w:r>
        <w:t xml:space="preserve">not attested, only its two halves, and the vowel of the second element is not recoverable, so</w:t>
      </w:r>
      <w:r>
        <w:t xml:space="preserve"> </w:t>
      </w:r>
      <w:r>
        <w:t xml:space="preserve">the preference for</w:t>
      </w:r>
      <w:r>
        <w:t xml:space="preserve"> </w:t>
      </w:r>
      <w:r>
        <w:rPr>
          <w:iCs/>
          <w:i/>
        </w:rPr>
        <w:t xml:space="preserve">tın</w:t>
      </w:r>
      <w:r>
        <w:t xml:space="preserve"> </w:t>
      </w:r>
      <w:r>
        <w:t xml:space="preserve">over</w:t>
      </w:r>
      <w:r>
        <w:t xml:space="preserve"> </w:t>
      </w:r>
      <w:r>
        <w:rPr>
          <w:iCs/>
          <w:i/>
        </w:rPr>
        <w:t xml:space="preserve">tün</w:t>
      </w:r>
      <w:r>
        <w:t xml:space="preserve">,</w:t>
      </w:r>
      <w:r>
        <w:t xml:space="preserve"> </w:t>
      </w:r>
      <w:r>
        <w:rPr>
          <w:iCs/>
          <w:i/>
        </w:rPr>
        <w:t xml:space="preserve">tan</w:t>
      </w:r>
      <w:r>
        <w:t xml:space="preserve"> </w:t>
      </w:r>
      <w:r>
        <w:t xml:space="preserve">or</w:t>
      </w:r>
      <w:r>
        <w:t xml:space="preserve"> </w:t>
      </w:r>
      <w:r>
        <w:rPr>
          <w:iCs/>
          <w:i/>
        </w:rPr>
        <w:t xml:space="preserve">tun</w:t>
      </w:r>
      <w:r>
        <w:t xml:space="preserve"> </w:t>
      </w:r>
      <w:r>
        <w:t xml:space="preserve">is semantic</w:t>
      </w:r>
      <w:r>
        <w:t xml:space="preserve"> </w:t>
      </w:r>
      <w:r>
        <w:t xml:space="preserve">rather than phonological.</w:t>
      </w:r>
    </w:p>
    <w:p>
      <w:pPr>
        <w:pStyle w:val="BodyText"/>
      </w:pPr>
      <w:r>
        <w:t xml:space="preserve">Both appear in the tables below in their proper places, so that this file can be read as one</w:t>
      </w:r>
      <w:r>
        <w:t xml:space="preserve"> </w:t>
      </w:r>
      <w:r>
        <w:t xml:space="preserve">list with the standard visible in it.</w:t>
      </w:r>
    </w:p>
    <w:bookmarkEnd w:id="23"/>
    <w:bookmarkStart w:id="24"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file,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file.</w:t>
      </w:r>
    </w:p>
    <w:bookmarkEnd w:id="24"/>
    <w:bookmarkStart w:id="25"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Tın</w:t>
            </w:r>
          </w:p>
        </w:tc>
        <w:tc>
          <w:tcPr/>
          <w:p>
            <w:pPr>
              <w:pStyle w:val="Compact"/>
              <w:jc w:val="left"/>
            </w:pPr>
            <w:r>
              <w:t xml:space="preserve">sage spirit</w:t>
            </w:r>
          </w:p>
        </w:tc>
      </w:tr>
      <w:tr>
        <w:tc>
          <w:tcPr>
            <w:gridSpan w:val="5"/>
          </w:tcPr>
          <w:p>
            <w:pPr>
              <w:pStyle w:val="Compact"/>
              <w:jc w:val="left"/>
            </w:pPr>
            <w:r>
              <w:t xml:space="preserve">Phonetics</w:t>
            </w:r>
            <w:r>
              <w:t xml:space="preserve">The frame is</w:t>
            </w:r>
            <w:r>
              <w:t xml:space="preserve"> </w:t>
            </w:r>
            <w:r>
              <w:rPr>
                <w:bCs/>
                <w:b/>
              </w:rPr>
              <w:t xml:space="preserve">b/m – k/g – t/d – n</w:t>
            </w:r>
            <w:r>
              <w:t xml:space="preserve">, and</w:t>
            </w:r>
            <w:r>
              <w:t xml:space="preserve"> </w:t>
            </w:r>
            <w:r>
              <w:rPr>
                <w:bCs/>
                <w:b/>
              </w:rPr>
              <w:t xml:space="preserve">both codas are written</w:t>
            </w:r>
            <w:r>
              <w:t xml:space="preserve">, which makes it one of the tightest in the record. 冒</w:t>
            </w:r>
            <w:r>
              <w:t xml:space="preserve"> </w:t>
            </w:r>
            <w:r>
              <w:rPr>
                <w:iCs/>
                <w:i/>
              </w:rPr>
              <w:t xml:space="preserve">mək</w:t>
            </w:r>
            <w:r>
              <w:t xml:space="preserve"> </w:t>
            </w:r>
            <w:r>
              <w:t xml:space="preserve">→</w:t>
            </w:r>
            <w:r>
              <w:t xml:space="preserve"> </w:t>
            </w:r>
            <w:r>
              <w:rPr>
                <w:iCs/>
                <w:i/>
              </w:rPr>
              <w:t xml:space="preserve">bögü</w:t>
            </w:r>
            <w:r>
              <w:t xml:space="preserve">: three things happen, and each is licensed. The m- stands for a source b-, which in the Later Han corpus happens in 3 of 22 cases, 13.6%. The written -k stands for the source g. And the final vowel of</w:t>
            </w:r>
            <w:r>
              <w:t xml:space="preserve"> </w:t>
            </w:r>
            <w:r>
              <w:rPr>
                <w:iCs/>
                <w:i/>
              </w:rPr>
              <w:t xml:space="preserve">bögü</w:t>
            </w:r>
            <w:r>
              <w:t xml:space="preserve"> </w:t>
            </w:r>
            <w:r>
              <w:t xml:space="preserve">is not written, one character covering two source syllables, a device that occurs in 47 of the 1,017 verified pairs, always with a stop-coda character doing the compressing, as 竭 covers</w:t>
            </w:r>
            <w:r>
              <w:t xml:space="preserve"> </w:t>
            </w:r>
            <w:r>
              <w:rPr>
                <w:iCs/>
                <w:i/>
              </w:rPr>
              <w:t xml:space="preserve">-gata</w:t>
            </w:r>
            <w:r>
              <w:t xml:space="preserve"> </w:t>
            </w:r>
            <w:r>
              <w:t xml:space="preserve">in</w:t>
            </w:r>
            <w:r>
              <w:t xml:space="preserve"> </w:t>
            </w:r>
            <w:r>
              <w:rPr>
                <w:iCs/>
                <w:i/>
              </w:rPr>
              <w:t xml:space="preserve">tathāgata</w:t>
            </w:r>
            <w:r>
              <w:t xml:space="preserve"> </w:t>
            </w:r>
            <w:r>
              <w:t xml:space="preserve">and 弗 covers</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rPr>
                <w:bCs/>
                <w:b/>
              </w:rPr>
              <w:t xml:space="preserve">There is also a character-level precedent, not merely a rate:</w:t>
            </w:r>
            <w:r>
              <w:t xml:space="preserve"> </w:t>
            </w:r>
            <w:r>
              <w:t xml:space="preserve">冒 and 默 have the identical Later Han reading</w:t>
            </w:r>
            <w:r>
              <w:t xml:space="preserve"> </w:t>
            </w:r>
            <w:r>
              <w:rPr>
                <w:iCs/>
                <w:i/>
              </w:rPr>
              <w:t xml:space="preserve">mək</w:t>
            </w:r>
            <w:r>
              <w:t xml:space="preserve">, and 默啜 is read</w:t>
            </w:r>
            <w:r>
              <w:t xml:space="preserve"> </w:t>
            </w:r>
            <w:r>
              <w:rPr>
                <w:iCs/>
                <w:i/>
              </w:rPr>
              <w:t xml:space="preserve">Bögü-Çor</w:t>
            </w:r>
            <w:r>
              <w:t xml:space="preserve">, the personal name of Qapaghan Qaghan. That syllable is on record writing</w:t>
            </w:r>
            <w:r>
              <w:t xml:space="preserve"> </w:t>
            </w:r>
            <w:r>
              <w:rPr>
                <w:iCs/>
                <w:i/>
              </w:rPr>
              <w:t xml:space="preserve">bögü</w:t>
            </w:r>
            <w:r>
              <w:t xml:space="preserve"> </w:t>
            </w:r>
            <w:r>
              <w:t xml:space="preserve">in a Turkic ruler's name. 頓</w:t>
            </w:r>
            <w:r>
              <w:t xml:space="preserve"> </w:t>
            </w:r>
            <w:r>
              <w:rPr>
                <w:iCs/>
                <w:i/>
              </w:rPr>
              <w:t xml:space="preserve">tuənᶜ</w:t>
            </w:r>
            <w:r>
              <w:t xml:space="preserve"> </w:t>
            </w:r>
            <w:r>
              <w:t xml:space="preserve">→</w:t>
            </w:r>
            <w:r>
              <w:t xml:space="preserve"> </w:t>
            </w:r>
            <w:r>
              <w:rPr>
                <w:iCs/>
                <w:i/>
              </w:rPr>
              <w:t xml:space="preserve">tın</w:t>
            </w:r>
            <w:r>
              <w:t xml:space="preserve">: a dental onset with the -n coda written, nothing inserted, nothing discarded.</w:t>
            </w:r>
            <w:r>
              <w:br/>
            </w:r>
            <w:r>
              <w:t xml:space="preserve">Reason</w:t>
            </w:r>
            <w:r>
              <w:rPr>
                <w:bCs/>
                <w:b/>
              </w:rPr>
              <w:t xml:space="preserve">Bögü Tın, “sage spirit”.</w:t>
            </w:r>
            <w:r>
              <w:t xml:space="preserve"> </w:t>
            </w:r>
            <w:r>
              <w:t xml:space="preserve">Kāşgarî glosses</w:t>
            </w:r>
            <w:r>
              <w:t xml:space="preserve"> </w:t>
            </w:r>
            <w:r>
              <w:rPr>
                <w:iCs/>
                <w:i/>
              </w:rPr>
              <w:t xml:space="preserve">bügü</w:t>
            </w:r>
            <w:r>
              <w:t xml:space="preserve"> </w:t>
            </w:r>
            <w:r>
              <w:t xml:space="preserve">as “bilgin, akıllı, hakim”; Clauson says the word “seems to connote both wisdom and mysterious spiritual power”, and it was borrowed early into Mongolian as</w:t>
            </w:r>
            <w:r>
              <w:t xml:space="preserve"> </w:t>
            </w:r>
            <w:r>
              <w:rPr>
                <w:iCs/>
                <w:i/>
              </w:rPr>
              <w:t xml:space="preserve">böge</w:t>
            </w:r>
            <w:r>
              <w:t xml:space="preserve">, the ordinary word for a shaman. It appears in regnal styles across the record:</w:t>
            </w:r>
            <w:r>
              <w:t xml:space="preserve"> </w:t>
            </w:r>
            <w:r>
              <w:rPr>
                <w:iCs/>
                <w:i/>
              </w:rPr>
              <w:t xml:space="preserve">Teŋri Bögü Teŋriken</w:t>
            </w:r>
            <w:r>
              <w:t xml:space="preserve">, Bögü Qaghan of the Uyghurs, Bögü-Çor of the Türks. The second element</w:t>
            </w:r>
            <w:r>
              <w:t xml:space="preserve"> </w:t>
            </w:r>
            <w:r>
              <w:rPr>
                <w:iCs/>
                <w:i/>
              </w:rPr>
              <w:t xml:space="preserve">tın</w:t>
            </w:r>
            <w:r>
              <w:t xml:space="preserve"> </w:t>
            </w:r>
            <w:r>
              <w:t xml:space="preserve">is “ruh, nefes” in Kāşgarî and</w:t>
            </w:r>
            <w:r>
              <w:t xml:space="preserve"> </w:t>
            </w:r>
            <w:r>
              <w:rPr>
                <w:iCs/>
                <w:i/>
              </w:rPr>
              <w:t xml:space="preserve">anima</w:t>
            </w:r>
            <w:r>
              <w:t xml:space="preserve"> </w:t>
            </w:r>
            <w:r>
              <w:t xml:space="preserve">in the Codex. Both halves are attested independently of any Chinese source, and the shape, two nouns in apposition, is the commonest Turkic name pattern.</w:t>
            </w:r>
            <w:r>
              <w:t xml:space="preserve"> </w:t>
            </w:r>
            <w:r>
              <w:rPr>
                <w:bCs/>
                <w:b/>
              </w:rPr>
              <w:t xml:space="preserve">Against the standard reading.</w:t>
            </w:r>
            <w:r>
              <w:t xml:space="preserve"> </w:t>
            </w:r>
            <w:r>
              <w:rPr>
                <w:iCs/>
                <w:i/>
              </w:rPr>
              <w:t xml:space="preserve">Baγatur</w:t>
            </w:r>
            <w:r>
              <w:t xml:space="preserve"> </w:t>
            </w:r>
            <w:r>
              <w:t xml:space="preserve">“hero” has been the field's answer for a century. It fails on the point the corpus decides cleanly: it ends in -r against a written -n, a spelling attested in 1 of 37 opportunities, where the scribe's normal choices were an open character or a -t.</w:t>
            </w:r>
            <w:r>
              <w:t xml:space="preserve"> </w:t>
            </w:r>
            <w:r>
              <w:rPr>
                <w:bCs/>
                <w:b/>
              </w:rPr>
              <w:t xml:space="preserve">What is not settled.</w:t>
            </w:r>
            <w:r>
              <w:t xml:space="preserve"> </w:t>
            </w:r>
            <w:r>
              <w:t xml:space="preserve">The compound</w:t>
            </w:r>
            <w:r>
              <w:t xml:space="preserve"> </w:t>
            </w:r>
            <w:r>
              <w:rPr>
                <w:iCs/>
                <w:i/>
              </w:rPr>
              <w:t xml:space="preserve">bögü tın</w:t>
            </w:r>
            <w:r>
              <w:t xml:space="preserve"> </w:t>
            </w:r>
            <w:r>
              <w:t xml:space="preserve">is not itself attested, only its two elements; the vowel of the second is unrecoverable, so</w:t>
            </w:r>
            <w:r>
              <w:t xml:space="preserve"> </w:t>
            </w:r>
            <w:r>
              <w:rPr>
                <w:iCs/>
                <w:i/>
              </w:rPr>
              <w:t xml:space="preserve">tün</w:t>
            </w:r>
            <w:r>
              <w:t xml:space="preserve"> </w:t>
            </w:r>
            <w:r>
              <w:t xml:space="preserve">“night”,</w:t>
            </w:r>
            <w:r>
              <w:t xml:space="preserve"> </w:t>
            </w:r>
            <w:r>
              <w:rPr>
                <w:iCs/>
                <w:i/>
              </w:rPr>
              <w:t xml:space="preserve">tan</w:t>
            </w:r>
            <w:r>
              <w:t xml:space="preserve"> </w:t>
            </w:r>
            <w:r>
              <w:t xml:space="preserve">“dawn” and</w:t>
            </w:r>
            <w:r>
              <w:t xml:space="preserve"> </w:t>
            </w:r>
            <w:r>
              <w:rPr>
                <w:iCs/>
                <w:i/>
              </w:rPr>
              <w:t xml:space="preserve">tun</w:t>
            </w:r>
            <w:r>
              <w:t xml:space="preserve"> </w:t>
            </w:r>
            <w:r>
              <w:t xml:space="preserve">“rest” are equally available and the preference for</w:t>
            </w:r>
            <w:r>
              <w:t xml:space="preserve"> </w:t>
            </w:r>
            <w:r>
              <w:rPr>
                <w:iCs/>
                <w:i/>
              </w:rPr>
              <w:t xml:space="preserve">tın</w:t>
            </w:r>
            <w:r>
              <w:t xml:space="preserve"> </w:t>
            </w:r>
            <w:r>
              <w:t xml:space="preserve">is semantic rather than phonological; and the tone category of 頓 is unused. §9.2 of the paper argues this reading in full.</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Künçin</w:t>
            </w:r>
          </w:p>
        </w:tc>
        <w:tc>
          <w:tcPr/>
          <w:p>
            <w:pPr>
              <w:pStyle w:val="Compact"/>
              <w:jc w:val="left"/>
            </w:pPr>
            <w:r>
              <w:t xml:space="preserve">bright as the sun</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kün</w:t>
            </w:r>
            <w:r>
              <w:t xml:space="preserve">: initial and coda direct; ü is unwritable and surfaces as u. 臣</w:t>
            </w:r>
            <w:r>
              <w:t xml:space="preserve"> </w:t>
            </w:r>
            <w:r>
              <w:rPr>
                <w:iCs/>
                <w:i/>
              </w:rPr>
              <w:t xml:space="preserve">dźin</w:t>
            </w:r>
            <w:r>
              <w:t xml:space="preserve"> </w:t>
            </w:r>
            <w:r>
              <w:t xml:space="preserve">→</w:t>
            </w:r>
            <w:r>
              <w:t xml:space="preserve"> </w:t>
            </w:r>
            <w:r>
              <w:rPr>
                <w:iCs/>
                <w:i/>
              </w:rPr>
              <w:t xml:space="preserve">çin</w:t>
            </w:r>
            <w:r>
              <w:t xml:space="preserve">: dź is the voiced partner of tś, and voicing is leaky in both directions in every corpus measured, so a source ç is reachable through it; the -n coda is written.</w:t>
            </w:r>
            <w:r>
              <w:br/>
            </w:r>
            <w:r>
              <w:t xml:space="preserve">Reason</w:t>
            </w:r>
            <w:r>
              <w:rPr>
                <w:iCs/>
                <w:i/>
              </w:rPr>
              <w:t xml:space="preserve">kün</w:t>
            </w:r>
            <w:r>
              <w:t xml:space="preserve"> </w:t>
            </w:r>
            <w:r>
              <w:t xml:space="preserve">“sun, day”. The Seljuk regnal names Kaykhusraw and Kayqubad carry an association of royal solar radiance through their</w:t>
            </w:r>
            <w:r>
              <w:t xml:space="preserve"> </w:t>
            </w:r>
            <w:r>
              <w:rPr>
                <w:iCs/>
                <w:i/>
              </w:rPr>
              <w:t xml:space="preserve">kay-</w:t>
            </w:r>
            <w:r>
              <w:t xml:space="preserve"> </w:t>
            </w:r>
            <w:r>
              <w:t xml:space="preserve">element.</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The same solar association proposed for</w:t>
            </w:r>
            <w:r>
              <w:t xml:space="preserve"> </w:t>
            </w:r>
            <w:r>
              <w:rPr>
                <w:iCs/>
                <w:i/>
              </w:rPr>
              <w:t xml:space="preserve">Künçin</w:t>
            </w:r>
            <w:r>
              <w:t xml:space="preserve">, from a stem of shining or dazzling.</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5"/>
    <w:bookmarkStart w:id="26"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file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Çöge-Ok Inakt</w:t>
            </w:r>
          </w:p>
        </w:tc>
        <w:tc>
          <w:tcPr/>
          <w:p>
            <w:pPr>
              <w:pStyle w:val="Compact"/>
              <w:jc w:val="left"/>
            </w:pPr>
            <w:r>
              <w:t xml:space="preserve">Arrow of High Eminence,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çöge</w:t>
            </w:r>
            <w:r>
              <w:t xml:space="preserve">: the aspirated affricate is a good vehicle for ç, but ö is unwritable and a second syllable is added. 牙</w:t>
            </w:r>
            <w:r>
              <w:t xml:space="preserve"> </w:t>
            </w:r>
            <w:r>
              <w:rPr>
                <w:iCs/>
                <w:i/>
              </w:rPr>
              <w:t xml:space="preserve">ŋa</w:t>
            </w:r>
            <w:r>
              <w:t xml:space="preserve"> </w:t>
            </w:r>
            <w:r>
              <w:t xml:space="preserve">→</w:t>
            </w:r>
            <w:r>
              <w:t xml:space="preserve"> </w:t>
            </w:r>
            <w:r>
              <w:rPr>
                <w:iCs/>
                <w:i/>
              </w:rPr>
              <w:t xml:space="preserve">ok</w:t>
            </w:r>
            <w:r>
              <w:t xml:space="preserve">: a velar-nasal initial standing for a vowel-initial syllable is unsupported.</w:t>
            </w:r>
            <w:r>
              <w:br/>
            </w:r>
            <w:r>
              <w:t xml:space="preserve">Reason</w:t>
            </w:r>
            <w:r>
              <w:rPr>
                <w:iCs/>
                <w:i/>
              </w:rPr>
              <w:t xml:space="preserve">çöge</w:t>
            </w:r>
            <w:r>
              <w:t xml:space="preserve"> </w:t>
            </w:r>
            <w:r>
              <w:t xml:space="preserve">of height or eminence, with the same</w:t>
            </w:r>
            <w:r>
              <w:t xml:space="preserve"> </w:t>
            </w:r>
            <w:r>
              <w:rPr>
                <w:iCs/>
                <w:i/>
              </w:rPr>
              <w:t xml:space="preserve">ok</w:t>
            </w:r>
            <w:r>
              <w:t xml:space="preserve"> </w:t>
            </w:r>
            <w:r>
              <w:t xml:space="preserve">element.</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file.</w:t>
      </w:r>
    </w:p>
    <w:bookmarkEnd w:id="26"/>
    <w:bookmarkStart w:id="27"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7"/>
    <w:bookmarkStart w:id="28"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Kan Apa</w:t>
            </w:r>
          </w:p>
        </w:tc>
        <w:tc>
          <w:tcPr/>
          <w:p>
            <w:pPr>
              <w:pStyle w:val="Compact"/>
              <w:jc w:val="left"/>
            </w:pPr>
            <w:r>
              <w:t xml:space="preserve">senior ruler, elder ruler</w:t>
            </w:r>
          </w:p>
        </w:tc>
      </w:tr>
      <w:tr>
        <w:tc>
          <w:tcPr>
            <w:gridSpan w:val="5"/>
          </w:tcPr>
          <w:p>
            <w:pPr>
              <w:pStyle w:val="Compact"/>
              <w:jc w:val="left"/>
            </w:pPr>
            <w:r>
              <w:t xml:space="preserve">Phonetics</w:t>
            </w:r>
            <w:r>
              <w:t xml:space="preserve">單</w:t>
            </w:r>
            <w:r>
              <w:t xml:space="preserve"> </w:t>
            </w:r>
            <w:r>
              <w:rPr>
                <w:iCs/>
                <w:i/>
              </w:rPr>
              <w:t xml:space="preserve">dźan</w:t>
            </w:r>
            <w:r>
              <w:t xml:space="preserve"> </w:t>
            </w:r>
            <w:r>
              <w:t xml:space="preserve">→</w:t>
            </w:r>
            <w:r>
              <w:t xml:space="preserve"> </w:t>
            </w:r>
            <w:r>
              <w:rPr>
                <w:iCs/>
                <w:i/>
              </w:rPr>
              <w:t xml:space="preserve">kan</w:t>
            </w:r>
            <w:r>
              <w:t xml:space="preserve"> </w:t>
            </w:r>
            <w:r>
              <w:t xml:space="preserve">is the weak step: a voiced affricate standing for a velar stop is not a correspondence any of the three corpora show. 于</w:t>
            </w:r>
            <w:r>
              <w:t xml:space="preserve"> </w:t>
            </w:r>
            <w:r>
              <w:rPr>
                <w:iCs/>
                <w:i/>
              </w:rPr>
              <w:t xml:space="preserve">wɑ</w:t>
            </w:r>
            <w:r>
              <w:t xml:space="preserve"> </w:t>
            </w:r>
            <w:r>
              <w:t xml:space="preserve">→</w:t>
            </w:r>
            <w:r>
              <w:t xml:space="preserve"> </w:t>
            </w:r>
            <w:r>
              <w:rPr>
                <w:iCs/>
                <w:i/>
              </w:rPr>
              <w:t xml:space="preserve">apa</w:t>
            </w:r>
            <w:r>
              <w:t xml:space="preserve"> </w:t>
            </w:r>
            <w:r>
              <w:t xml:space="preserve">expands one syllable into two. This is one of the five items decoded entirely from character-specific evidence, which makes the mismatch harder to attribute to sparse data.</w:t>
            </w:r>
            <w:r>
              <w:br/>
            </w:r>
            <w:r>
              <w:t xml:space="preserve">Reason</w:t>
            </w:r>
            <w:r>
              <w:rPr>
                <w:iCs/>
                <w:i/>
              </w:rPr>
              <w:t xml:space="preserve">apa</w:t>
            </w:r>
            <w:r>
              <w:t xml:space="preserve"> </w:t>
            </w:r>
            <w:r>
              <w:t xml:space="preserve">“elder, ancestor” is attested in Old Turkic titulature. This is the central title of the whole record and the most contested: readings from three language families have been proposed for it.</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 (awaiting a proposal)</w:t>
            </w:r>
          </w:p>
        </w:tc>
        <w:tc>
          <w:tcPr/>
          <w:p>
            <w:pPr>
              <w:pStyle w:val="Compact"/>
            </w:pPr>
          </w:p>
        </w:tc>
      </w:tr>
      <w:tr>
        <w:tc>
          <w:tcPr>
            <w:gridSpan w:val="5"/>
          </w:tcPr>
          <w:p>
            <w:pPr>
              <w:pStyle w:val="Compact"/>
              <w:jc w:val="left"/>
            </w:pPr>
            <w:r>
              <w:t xml:space="preserve">Phonetics</w:t>
            </w:r>
            <w:r>
              <w:t xml:space="preserve">The frame is</w:t>
            </w:r>
            <w:r>
              <w:t xml:space="preserve"> </w:t>
            </w:r>
            <w:r>
              <w:rPr>
                <w:bCs/>
                <w:b/>
              </w:rPr>
              <w:t xml:space="preserve">k/g/h – t/d</w:t>
            </w:r>
            <w:r>
              <w:t xml:space="preserve"> </w:t>
            </w:r>
            <w:r>
              <w:t xml:space="preserve">with the vowels free, and both codas unwritten, so a source -r, -l, -s or -z could hide in either. 66 attested headwords fit it.</w:t>
            </w:r>
            <w:r>
              <w:br/>
            </w:r>
            <w:r>
              <w:t xml:space="preserve">Reason</w:t>
            </w:r>
            <w:r>
              <w:rPr>
                <w:bCs/>
                <w:b/>
              </w:rPr>
              <w:t xml:space="preserve">The Chinese sources gloss this one: 子 “son”.</w:t>
            </w:r>
            <w:r>
              <w:t xml:space="preserve"> </w:t>
            </w:r>
            <w:r>
              <w:t xml:space="preserve">That is a rare gift and a hard test. The 66 candidates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w:t>
            </w:r>
            <w:r>
              <w:t xml:space="preserve"> </w:t>
            </w:r>
            <w:r>
              <w:rPr>
                <w:iCs/>
                <w:i/>
              </w:rPr>
              <w:t xml:space="preserve">kötü</w:t>
            </w:r>
            <w:r>
              <w:t xml:space="preserve">, and not one of them means “son”. The Turkic proposal in the literature is</w:t>
            </w:r>
            <w:r>
              <w:t xml:space="preserve"> </w:t>
            </w:r>
            <w:r>
              <w:rPr>
                <w:iCs/>
                <w:i/>
              </w:rPr>
              <w:t xml:space="preserve">qut</w:t>
            </w:r>
            <w:r>
              <w:t xml:space="preserve"> </w:t>
            </w:r>
            <w:r>
              <w:t xml:space="preserve">“fortune”, which fits the sound and not the gloss. The Yeniseian side is weaker than it is usually reported to be: Pulleyblank compared the word with Arin</w:t>
            </w:r>
            <w:r>
              <w:t xml:space="preserve"> </w:t>
            </w:r>
            <w:r>
              <w:rPr>
                <w:iCs/>
                <w:i/>
              </w:rPr>
              <w:t xml:space="preserve">bïkjàl</w:t>
            </w:r>
            <w:r>
              <w:t xml:space="preserve"> </w:t>
            </w:r>
            <w:r>
              <w:t xml:space="preserve">“son”, and Vovin, arguing for a Yeniseian Xiongnu, holds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Assan</w:t>
            </w:r>
            <w:r>
              <w:t xml:space="preserve"> </w:t>
            </w:r>
            <w:r>
              <w:rPr>
                <w:iCs/>
                <w:i/>
              </w:rPr>
              <w:t xml:space="preserve">pup</w:t>
            </w:r>
            <w:r>
              <w:t xml:space="preserve">), and finds no Altaic etymology either (CAJ 44/1, p. 91). So no reading is proposed here: the item on which the Chinese gloss bears most directly is the one both camps leave open.</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Not our reading.</w:t>
            </w:r>
            <w:r>
              <w:t xml:space="preserve"> </w:t>
            </w:r>
            <w:r>
              <w:t xml:space="preserve">The Turkic-hypothesis literature reads 屠耆 as</w:t>
            </w:r>
            <w:r>
              <w:t xml:space="preserve"> </w:t>
            </w:r>
            <w:r>
              <w:rPr>
                <w:iCs/>
                <w:i/>
              </w:rPr>
              <w:t xml:space="preserve">*toγrï</w:t>
            </w:r>
            <w:r>
              <w:t xml:space="preserve">, and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The family also yields names.</w:t>
            </w:r>
            <w:r>
              <w:t xml:space="preserve"> </w:t>
            </w:r>
            <w:r>
              <w:t xml:space="preserve">Kāşgarî records that men are called</w:t>
            </w:r>
            <w:r>
              <w:t xml:space="preserve"> </w:t>
            </w:r>
            <w:r>
              <w:rPr>
                <w:iCs/>
                <w:i/>
              </w:rPr>
              <w:t xml:space="preserve">Toğrıl</w:t>
            </w:r>
            <w:r>
              <w:t xml:space="preserve"> </w:t>
            </w:r>
            <w:r>
              <w:t xml:space="preserve">after a bird of prey; an</w:t>
            </w:r>
            <w:r>
              <w:t xml:space="preserve"> </w:t>
            </w:r>
            <w:r>
              <w:rPr>
                <w:iCs/>
                <w:i/>
              </w:rPr>
              <w:t xml:space="preserve">Alp Toğrul Tégin</w:t>
            </w:r>
            <w:r>
              <w:t xml:space="preserve"> </w:t>
            </w:r>
            <w:r>
              <w:t xml:space="preserve">appears in a Uyghur list of proper names; and the first Seljuk sultan bore the name. §9.1 of the paper tests this case alongside 徑路.</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 (awaiting a proposal)</w:t>
            </w:r>
          </w:p>
        </w:tc>
        <w:tc>
          <w:tcPr/>
          <w:p>
            <w:pPr>
              <w:pStyle w:val="Compact"/>
            </w:pPr>
          </w:p>
        </w:tc>
      </w:tr>
      <w:tr>
        <w:tc>
          <w:tcPr>
            <w:gridSpan w:val="5"/>
          </w:tcPr>
          <w:p>
            <w:pPr>
              <w:pStyle w:val="Compact"/>
              <w:jc w:val="left"/>
            </w:pPr>
            <w:r>
              <w:t xml:space="preserve">Phonetics</w:t>
            </w:r>
            <w:r>
              <w:t xml:space="preserve">The frame is</w:t>
            </w:r>
            <w:r>
              <w:t xml:space="preserve"> </w:t>
            </w:r>
            <w:r>
              <w:rPr>
                <w:bCs/>
                <w:b/>
              </w:rPr>
              <w:t xml:space="preserve">k/g/h – k/g – l/r</w:t>
            </w:r>
            <w:r>
              <w:t xml:space="preserve">, with the -k of 谷 written and the coda of 蠡 open. It is unusually tight: only</w:t>
            </w:r>
            <w:r>
              <w:t xml:space="preserve"> </w:t>
            </w:r>
            <w:r>
              <w:rPr>
                <w:bCs/>
                <w:b/>
              </w:rPr>
              <w:t xml:space="preserve">8</w:t>
            </w:r>
            <w:r>
              <w:t xml:space="preserve"> </w:t>
            </w:r>
            <w:r>
              <w:t xml:space="preserve">attested headwords fit, against 66 for 孤塗 and 144 for 屠耆. That frame, however, assumes one of three readings. The Later Han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the reading printed above is the first row. The office is conventionally called the Luli Kings, which points at</w:t>
            </w:r>
            <w:r>
              <w:t xml:space="preserve"> </w:t>
            </w:r>
            <w:r>
              <w:rPr>
                <w:iCs/>
                <w:i/>
              </w:rPr>
              <w:t xml:space="preserve">lok</w:t>
            </w:r>
            <w:r>
              <w:t xml:space="preserve">, and on that reading the frame becomes</w:t>
            </w:r>
            <w:r>
              <w:t xml:space="preserve"> </w:t>
            </w:r>
            <w:r>
              <w:rPr>
                <w:bCs/>
                <w:b/>
              </w:rPr>
              <w:t xml:space="preserve">l – l/r</w:t>
            </w:r>
            <w:r>
              <w:t xml:space="preserve"> </w:t>
            </w:r>
            <w:r>
              <w:t xml:space="preserve">and the eight candidates below do not apply. The candidate set for this item needs recomputing from a settled reading before any name is proposed for it.</w:t>
            </w:r>
            <w:r>
              <w:br/>
            </w:r>
            <w:r>
              <w:t xml:space="preserve">Reason</w:t>
            </w:r>
            <w:r>
              <w:t xml:space="preserve">On the</w:t>
            </w:r>
            <w:r>
              <w:t xml:space="preserve"> </w:t>
            </w:r>
            <w:r>
              <w:rPr>
                <w:iCs/>
                <w:i/>
              </w:rPr>
              <w:t xml:space="preserve">kok</w:t>
            </w:r>
            <w:r>
              <w:t xml:space="preserve"> </w:t>
            </w:r>
            <w:r>
              <w:t xml:space="preserve">reading the eight are</w:t>
            </w:r>
            <w:r>
              <w:t xml:space="preserve"> </w:t>
            </w:r>
            <w:r>
              <w:rPr>
                <w:iCs/>
                <w:i/>
              </w:rPr>
              <w:t xml:space="preserve">kagıl</w:t>
            </w:r>
            <w:r>
              <w:t xml:space="preserve"> </w:t>
            </w:r>
            <w:r>
              <w:t xml:space="preserve">“a fresh willow branch used to tie vines”, Codex</w:t>
            </w:r>
            <w:r>
              <w:t xml:space="preserve"> </w:t>
            </w:r>
            <w:r>
              <w:rPr>
                <w:iCs/>
                <w:i/>
              </w:rPr>
              <w:t xml:space="preserve">Kagal</w:t>
            </w:r>
            <w:r>
              <w:t xml:space="preserve"> </w:t>
            </w:r>
            <w:r>
              <w:rPr>
                <w:iCs/>
                <w:i/>
              </w:rPr>
              <w:t xml:space="preserve">lentus</w:t>
            </w:r>
            <w:r>
              <w:t xml:space="preserve"> </w:t>
            </w:r>
            <w:r>
              <w:t xml:space="preserve">“slow, pliant”, Codex</w:t>
            </w:r>
            <w:r>
              <w:t xml:space="preserve"> </w:t>
            </w:r>
            <w:r>
              <w:rPr>
                <w:iCs/>
                <w:i/>
              </w:rPr>
              <w:t xml:space="preserve">Kukel</w:t>
            </w:r>
            <w:r>
              <w:t xml:space="preserve"> </w:t>
            </w:r>
            <w:r>
              <w:rPr>
                <w:iCs/>
                <w:i/>
              </w:rPr>
              <w:t xml:space="preserve">gramen</w:t>
            </w:r>
            <w:r>
              <w:t xml:space="preserve"> </w:t>
            </w:r>
            <w:r>
              <w:t xml:space="preserve">“grass”,</w:t>
            </w:r>
            <w:r>
              <w:t xml:space="preserve"> </w:t>
            </w:r>
            <w:r>
              <w:rPr>
                <w:iCs/>
                <w:i/>
              </w:rPr>
              <w:t xml:space="preserve">Hakil</w:t>
            </w:r>
            <w:r>
              <w:t xml:space="preserve"> </w:t>
            </w:r>
            <w:r>
              <w:rPr>
                <w:iCs/>
                <w:i/>
              </w:rPr>
              <w:t xml:space="preserve">prudentia</w:t>
            </w:r>
            <w:r>
              <w:t xml:space="preserve"> </w:t>
            </w:r>
            <w:r>
              <w:t xml:space="preserve">(an Arabic loan, so excluded on the same grounds as</w:t>
            </w:r>
            <w:r>
              <w:t xml:space="preserve"> </w:t>
            </w:r>
            <w:r>
              <w:rPr>
                <w:iCs/>
                <w:i/>
              </w:rPr>
              <w:t xml:space="preserve">kadı</w:t>
            </w:r>
            <w:r>
              <w:t xml:space="preserve">),</w:t>
            </w:r>
            <w:r>
              <w:t xml:space="preserve"> </w:t>
            </w:r>
            <w:r>
              <w:rPr>
                <w:iCs/>
                <w:i/>
              </w:rPr>
              <w:t xml:space="preserve">kafgar</w:t>
            </w:r>
            <w:r>
              <w:t xml:space="preserve">,</w:t>
            </w:r>
            <w:r>
              <w:t xml:space="preserve"> </w:t>
            </w:r>
            <w:r>
              <w:rPr>
                <w:iCs/>
                <w:i/>
              </w:rPr>
              <w:t xml:space="preserve">kekre</w:t>
            </w:r>
            <w:r>
              <w:t xml:space="preserve">, and two proper names. None is obviously a title. 谷蠡 names a senior office, the Luli Kings ranking below the Wise Kings, so the tightness of the frame makes this a good target: a reading that fits has few competitors.</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Tonga</w:t>
            </w:r>
          </w:p>
        </w:tc>
        <w:tc>
          <w:tcPr/>
          <w:p>
            <w:pPr>
              <w:pStyle w:val="Compact"/>
              <w:jc w:val="left"/>
            </w:pPr>
            <w:r>
              <w:t xml:space="preserve">Siberian tiger, leopard</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ton</w:t>
            </w:r>
            <w:r>
              <w:t xml:space="preserve">: direct, with the -ŋ coda written. 戶</w:t>
            </w:r>
            <w:r>
              <w:t xml:space="preserve"> </w:t>
            </w:r>
            <w:r>
              <w:rPr>
                <w:iCs/>
                <w:i/>
              </w:rPr>
              <w:t xml:space="preserve">gɑᴮ</w:t>
            </w:r>
            <w:r>
              <w:t xml:space="preserve"> </w:t>
            </w:r>
            <w:r>
              <w:t xml:space="preserve">→</w:t>
            </w:r>
            <w:r>
              <w:t xml:space="preserve"> </w:t>
            </w:r>
            <w:r>
              <w:rPr>
                <w:iCs/>
                <w:i/>
              </w:rPr>
              <w:t xml:space="preserve">ga</w:t>
            </w:r>
            <w:r>
              <w:t xml:space="preserve">: a velar onset, direct. Both characters do work, and the pair is the standard device for writing a medial nasal-plus-velar: in the Sanskrit corpus every source word with a medial</w:t>
            </w:r>
            <w:r>
              <w:t xml:space="preserve"> </w:t>
            </w:r>
            <w:r>
              <w:rPr>
                <w:iCs/>
                <w:i/>
              </w:rPr>
              <w:t xml:space="preserve">ŋg</w:t>
            </w:r>
            <w:r>
              <w:t xml:space="preserve"> </w:t>
            </w:r>
            <w:r>
              <w:t xml:space="preserve">or</w:t>
            </w:r>
            <w:r>
              <w:t xml:space="preserve"> </w:t>
            </w:r>
            <w:r>
              <w:rPr>
                <w:iCs/>
                <w:i/>
              </w:rPr>
              <w:t xml:space="preserve">ŋk</w:t>
            </w:r>
            <w:r>
              <w:t xml:space="preserve"> </w:t>
            </w:r>
            <w:r>
              <w:t xml:space="preserve">is written exactly this way, a -ŋ coda followed by a velar onset: 13 cases of 13, as in 央具梨 for</w:t>
            </w:r>
            <w:r>
              <w:t xml:space="preserve"> </w:t>
            </w:r>
            <w:r>
              <w:rPr>
                <w:iCs/>
                <w:i/>
              </w:rPr>
              <w:t xml:space="preserve">aṅguli</w:t>
            </w:r>
            <w:r>
              <w:t xml:space="preserve">, 商羯羅 for</w:t>
            </w:r>
            <w:r>
              <w:t xml:space="preserve"> </w:t>
            </w:r>
            <w:r>
              <w:rPr>
                <w:iCs/>
                <w:i/>
              </w:rPr>
              <w:t xml:space="preserve">śaṅkara</w:t>
            </w:r>
            <w:r>
              <w:t xml:space="preserve">, 鴦耆羅 for</w:t>
            </w:r>
            <w:r>
              <w:t xml:space="preserve"> </w:t>
            </w:r>
            <w:r>
              <w:rPr>
                <w:iCs/>
                <w:i/>
              </w:rPr>
              <w:t xml:space="preserve">aṅgiras</w:t>
            </w:r>
            <w:r>
              <w:t xml:space="preserve">. Phonetically this is among the least demanding readings in the file: nothing inserted, no coda discarded, no character left over. The vowels are free as always, so</w:t>
            </w:r>
            <w:r>
              <w:t xml:space="preserve"> </w:t>
            </w:r>
            <w:r>
              <w:rPr>
                <w:iCs/>
                <w:i/>
              </w:rPr>
              <w:t xml:space="preserve">Tonga</w:t>
            </w:r>
            <w:r>
              <w:t xml:space="preserve">,</w:t>
            </w:r>
            <w:r>
              <w:t xml:space="preserve"> </w:t>
            </w:r>
            <w:r>
              <w:rPr>
                <w:iCs/>
                <w:i/>
              </w:rPr>
              <w:t xml:space="preserve">Tunga</w:t>
            </w:r>
            <w:r>
              <w:t xml:space="preserve"> </w:t>
            </w:r>
            <w:r>
              <w:t xml:space="preserve">and</w:t>
            </w:r>
            <w:r>
              <w:t xml:space="preserve"> </w:t>
            </w:r>
            <w:r>
              <w:rPr>
                <w:iCs/>
                <w:i/>
              </w:rPr>
              <w:t xml:space="preserve">Tanga</w:t>
            </w:r>
            <w:r>
              <w:t xml:space="preserve"> </w:t>
            </w:r>
            <w:r>
              <w:t xml:space="preserve">are equally available.</w:t>
            </w:r>
            <w:r>
              <w:br/>
            </w:r>
            <w:r>
              <w:t xml:space="preserve">Reason</w:t>
            </w:r>
            <w:r>
              <w:rPr>
                <w:iCs/>
                <w:i/>
              </w:rPr>
              <w:t xml:space="preserve">tonga</w:t>
            </w:r>
            <w:r>
              <w:t xml:space="preserve"> </w:t>
            </w:r>
            <w:r>
              <w:t xml:space="preserve">“Siberian tiger, leopard” is the word in the name of the epic hero Alp Er Tonga. Big-cat epithets are a persistent Turkic pattern: Alp Arslan (</w:t>
            </w:r>
            <w:r>
              <w:rPr>
                <w:iCs/>
                <w:i/>
              </w:rPr>
              <w:t xml:space="preserve">arslan</w:t>
            </w:r>
            <w:r>
              <w:t xml:space="preserve">, lion), Baybars (</w:t>
            </w:r>
            <w:r>
              <w:rPr>
                <w:iCs/>
                <w:i/>
              </w:rPr>
              <w:t xml:space="preserve">bars</w:t>
            </w:r>
            <w:r>
              <w:t xml:space="preserve">, a large cat). Note that a search of the two lexicons on this frame does not return</w:t>
            </w:r>
            <w:r>
              <w:t xml:space="preserve"> </w:t>
            </w:r>
            <w:r>
              <w:rPr>
                <w:iCs/>
                <w:i/>
              </w:rPr>
              <w:t xml:space="preserve">tonga</w:t>
            </w:r>
            <w:r>
              <w:t xml:space="preserve"> </w:t>
            </w:r>
            <w:r>
              <w:t xml:space="preserve">itself; what it returns is</w:t>
            </w:r>
            <w:r>
              <w:t xml:space="preserve"> </w:t>
            </w:r>
            <w:r>
              <w:rPr>
                <w:iCs/>
                <w:i/>
              </w:rPr>
              <w:t xml:space="preserve">tanuk</w:t>
            </w:r>
            <w:r>
              <w:t xml:space="preserve"> </w:t>
            </w:r>
            <w:r>
              <w:t xml:space="preserve">“witness”,</w:t>
            </w:r>
            <w:r>
              <w:t xml:space="preserve"> </w:t>
            </w:r>
            <w:r>
              <w:rPr>
                <w:iCs/>
                <w:i/>
              </w:rPr>
              <w:t xml:space="preserve">tañuk</w:t>
            </w:r>
            <w:r>
              <w:t xml:space="preserve"> </w:t>
            </w:r>
            <w:r>
              <w:t xml:space="preserve">“a gift presented to a khan” and</w:t>
            </w:r>
            <w:r>
              <w:t xml:space="preserve"> </w:t>
            </w:r>
            <w:r>
              <w:rPr>
                <w:iCs/>
                <w:i/>
              </w:rPr>
              <w:t xml:space="preserve">tünek</w:t>
            </w:r>
            <w:r>
              <w:t xml:space="preserve"> </w:t>
            </w:r>
            <w:r>
              <w:t xml:space="preserve">“prison”, of which the second belongs to court vocabulary.</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Ece</w:t>
            </w:r>
          </w:p>
        </w:tc>
        <w:tc>
          <w:tcPr/>
          <w:p>
            <w:pPr>
              <w:pStyle w:val="Compact"/>
              <w:jc w:val="left"/>
            </w:pPr>
            <w:r>
              <w:t xml:space="preserve">queen</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w:t>
            </w:r>
            <w:r>
              <w:t xml:space="preserve">: a vowel-initial character, but with a -t coda that is written and that the reading discards. 氏</w:t>
            </w:r>
            <w:r>
              <w:t xml:space="preserve"> </w:t>
            </w:r>
            <w:r>
              <w:rPr>
                <w:iCs/>
                <w:i/>
              </w:rPr>
              <w:t xml:space="preserve">dźeᴮ</w:t>
            </w:r>
            <w:r>
              <w:t xml:space="preserve"> </w:t>
            </w:r>
            <w:r>
              <w:t xml:space="preserve">→</w:t>
            </w:r>
            <w:r>
              <w:t xml:space="preserve"> </w:t>
            </w:r>
            <w:r>
              <w:rPr>
                <w:iCs/>
                <w:i/>
              </w:rPr>
              <w:t xml:space="preserve">ce</w:t>
            </w:r>
            <w:r>
              <w:t xml:space="preserve">: direct. Another of the five fully character-anchored items, so the discarded -t is a real cost rather than an artefact.</w:t>
            </w:r>
            <w:r>
              <w:br/>
            </w:r>
            <w:r>
              <w:t xml:space="preserve">Reason</w:t>
            </w:r>
            <w:r>
              <w:rPr>
                <w:iCs/>
                <w:i/>
              </w:rPr>
              <w:t xml:space="preserve">ece</w:t>
            </w:r>
            <w:r>
              <w:t xml:space="preserve"> </w:t>
            </w:r>
            <w:r>
              <w:t xml:space="preserve">“queen”, which survives in modern Turkish with roughly this sense. 閼氏 is the title of the chanyu's principal consort.</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file.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file: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8"/>
    <w:bookmarkStart w:id="29"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a common move in the literature and is not original here;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 and beside rather than against the standing one: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Pumpokol</w:t>
            </w:r>
            <w:r>
              <w:t xml:space="preserve"> </w:t>
            </w:r>
            <w:r>
              <w:rPr>
                <w:iCs/>
                <w:i/>
              </w:rPr>
              <w:t xml:space="preserve">kit</w:t>
            </w:r>
            <w:r>
              <w:t xml:space="preserve">), which is the Yeniseian self-designation (CAJ 44/1, p. 91).</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29"/>
    <w:bookmarkStart w:id="30"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S6</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 same characters. Where an alternative would change a proposed reading, the entry for that item says so.</w:t>
      </w:r>
    </w:p>
    <w:bookmarkEnd w:id="30"/>
    <w:bookmarkStart w:id="31" w:name="s1.12-how-to-disagree"/>
    <w:p>
      <w:pPr>
        <w:pStyle w:val="Heading2"/>
      </w:pPr>
      <w:r>
        <w:t xml:space="preserve">S1.12</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A reader who wants to dispose of a row below should find that easier than we did.</w:t>
      </w:r>
      <w:r>
        <w:t xml:space="preserve"> </w:t>
      </w:r>
      <w:r>
        <w:t xml:space="preserve">The useful form of disagreement is not "this is unlikely", since most of them are, but "this word is not attested before date X", or "this suffix does not attach to that stem", or "the Chinese</w:t>
      </w:r>
      <w:r>
        <w:t xml:space="preserve"> </w:t>
      </w:r>
      <w:r>
        <w:t xml:space="preserve">character cannot carry that coda". Those are the objections that would move something out of</w:t>
      </w:r>
      <w:r>
        <w:t xml:space="preserve"> </w:t>
      </w:r>
      <w:r>
        <w:t xml:space="preserve">this file, in either direction.</w:t>
      </w:r>
    </w:p>
    <w:bookmarkEnd w:id="31"/>
    <w:bookmarkStart w:id="32" w:name="s1.13-status"/>
    <w:p>
      <w:pPr>
        <w:pStyle w:val="Heading2"/>
      </w:pPr>
      <w:r>
        <w:t xml:space="preserve">S1.13</w:t>
      </w:r>
      <w:r>
        <w:t xml:space="preserve"> </w:t>
      </w:r>
      <w:r>
        <w:t xml:space="preserve">Status</w:t>
      </w:r>
    </w:p>
    <w:p>
      <w:pPr>
        <w:pStyle w:val="FirstParagraph"/>
      </w:pPr>
      <w:r>
        <w:t xml:space="preserve">Most readings in Tables S2–S6 carry the same label in the machine-readable file:</w:t>
      </w:r>
      <w:r>
        <w:t xml:space="preserve"> </w:t>
      </w:r>
      <w:r>
        <w:rPr>
          <w:iCs/>
          <w:i/>
        </w:rPr>
        <w:t xml:space="preserve">author's proposal; not supported by any measurement in the paper</w:t>
      </w:r>
      <w:r>
        <w:t xml:space="preserve">. That label is the honest summary of them, and it is not weakened by the fact that some of them are</w:t>
      </w:r>
      <w:r>
        <w:t xml:space="preserve"> </w:t>
      </w:r>
      <w:r>
        <w:t xml:space="preserve">more attractive than others. The rows with a different status are named in</w:t>
      </w:r>
      <w:r>
        <w:t xml:space="preserve"> </w:t>
      </w:r>
      <w:r>
        <w:t xml:space="preserve">§S1.1: the two argued in the paper, the two taken from the literature, the two awaiting a</w:t>
      </w:r>
      <w:r>
        <w:t xml:space="preserve"> </w:t>
      </w:r>
      <w:r>
        <w:t xml:space="preserve">reading, and the one compound.</w:t>
      </w:r>
    </w:p>
    <w:bookmarkEnd w:id="32"/>
    <w:bookmarkStart w:id="33" w:name="X19e120d9624bcff9cc1e7f054b74aabce878874"/>
    <w:p>
      <w:pPr>
        <w:pStyle w:val="Heading2"/>
      </w:pPr>
      <w:r>
        <w:t xml:space="preserve">S1.14</w:t>
      </w:r>
      <w:r>
        <w:t xml:space="preserve"> </w:t>
      </w:r>
      <w:r>
        <w:t xml:space="preserve">Sources referred to in this supplement</w:t>
      </w:r>
    </w:p>
    <w:p>
      <w:pPr>
        <w:numPr>
          <w:ilvl w:val="0"/>
          <w:numId w:val="1003"/>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3"/>
        </w:numPr>
        <w:pStyle w:val="Compact"/>
      </w:pPr>
      <w:r>
        <w:t xml:space="preserve">Erdal, M. (2004).</w:t>
      </w:r>
      <w:r>
        <w:t xml:space="preserve"> </w:t>
      </w:r>
      <w:r>
        <w:rPr>
          <w:iCs/>
          <w:i/>
        </w:rPr>
        <w:t xml:space="preserve">A Grammar of Old Turkic</w:t>
      </w:r>
      <w:r>
        <w:t xml:space="preserve">. Leiden: Brill.</w:t>
      </w:r>
    </w:p>
    <w:p>
      <w:pPr>
        <w:numPr>
          <w:ilvl w:val="0"/>
          <w:numId w:val="1003"/>
        </w:numPr>
        <w:pStyle w:val="Compact"/>
      </w:pPr>
      <w:r>
        <w:t xml:space="preserve">Golden, P. B. (1992).</w:t>
      </w:r>
      <w:r>
        <w:t xml:space="preserve"> </w:t>
      </w:r>
      <w:r>
        <w:rPr>
          <w:iCs/>
          <w:i/>
        </w:rPr>
        <w:t xml:space="preserve">An Introduction to the History of the Turkic Peoples</w:t>
      </w:r>
      <w:r>
        <w:t xml:space="preserve">. Wiesbaden: Harrassowitz.</w:t>
      </w:r>
    </w:p>
    <w:p>
      <w:pPr>
        <w:numPr>
          <w:ilvl w:val="0"/>
          <w:numId w:val="1003"/>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3"/>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3"/>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3"/>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2026-09-03T07:23:28Z</dcterms:created>
  <dcterms:modified xsi:type="dcterms:W3CDTF">2026-09-03T07:23:28Z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