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00A" w:rsidRDefault="003A500A" w:rsidP="003A500A">
      <w:pPr>
        <w:shd w:val="clear" w:color="auto" w:fill="FFFFFF"/>
        <w:spacing w:after="264" w:line="240" w:lineRule="auto"/>
        <w:jc w:val="center"/>
        <w:outlineLvl w:val="2"/>
        <w:rPr>
          <w:rFonts w:ascii="Times New Roman" w:eastAsia="Times New Roman" w:hAnsi="Times New Roman" w:cs="Times New Roman"/>
          <w:b/>
          <w:bCs/>
          <w:color w:val="333C4E"/>
          <w:sz w:val="28"/>
          <w:szCs w:val="28"/>
          <w:lang w:eastAsia="ru-RU"/>
        </w:rPr>
      </w:pPr>
      <w:r w:rsidRPr="003A500A">
        <w:rPr>
          <w:rFonts w:ascii="Times New Roman" w:eastAsia="Times New Roman" w:hAnsi="Times New Roman" w:cs="Times New Roman"/>
          <w:b/>
          <w:bCs/>
          <w:color w:val="333C4E"/>
          <w:sz w:val="28"/>
          <w:szCs w:val="28"/>
          <w:lang w:eastAsia="ru-RU"/>
        </w:rPr>
        <w:t>Политика безопасности: разработка и реализация</w:t>
      </w:r>
    </w:p>
    <w:p w:rsidR="003A500A" w:rsidRPr="003A500A" w:rsidRDefault="003A500A" w:rsidP="003A500A">
      <w:pPr>
        <w:shd w:val="clear" w:color="auto" w:fill="FFFFFF"/>
        <w:spacing w:after="264" w:line="240" w:lineRule="auto"/>
        <w:jc w:val="center"/>
        <w:outlineLvl w:val="2"/>
        <w:rPr>
          <w:rFonts w:ascii="Times New Roman" w:eastAsia="Times New Roman" w:hAnsi="Times New Roman" w:cs="Times New Roman"/>
          <w:b/>
          <w:bCs/>
          <w:color w:val="333C4E"/>
          <w:sz w:val="28"/>
          <w:szCs w:val="28"/>
          <w:lang w:eastAsia="ru-RU"/>
        </w:rPr>
      </w:pP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i/>
          <w:iCs/>
          <w:color w:val="383D47"/>
          <w:sz w:val="28"/>
          <w:szCs w:val="28"/>
          <w:lang w:eastAsia="ru-RU"/>
        </w:rPr>
        <w:t>Подготовительный этап</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Обеспечение комплексной безопасности является необходимым условием функционирования любой компании. Эта «комплексность» заключается, прежде всего, в продуманности, сбалансированности защиты, разработке четких организационно-технических мер и обеспечении контроля над их исполнением.</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Вначале необходимо провести аудит информационных процессов фирмы, выявить критически важную информацию, которую необходимо защищать. Иногда к решению задачи подходят однобоко, полагая, что защита заключается в обеспечении конфиденциальности информации. При этом упускается из виду необходимость обеспечения защиты информации от подделки, модификации, парирования угроз нарушения работоспособности системы. Аудит информационных процессов должен заканчиваться определением перечня конфиденциальной информации предприятия, участков, где эта информация обращается, допущенных к ней лиц, а также последствий утраты (искажения) этой информации.</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После реализации этого этапа становится ясно, что защищать, где защищать и от кого: ведь в подавляющем большинстве инцидентов в качестве нарушителей будут выступать — вольно или невольно — сами сотрудники фирмы. И с этим ничего нельзя поделать: придется принять как данность. Различным угрозам безопасности можно присвоить значение вероятности их реализации. Умножив вероятность реализации угрозы на причиняемый этой реализацией ущерб, получим риск угрозы. После этого следует приступать к разработке политики безопасности.</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i/>
          <w:iCs/>
          <w:color w:val="383D47"/>
          <w:sz w:val="28"/>
          <w:szCs w:val="28"/>
          <w:lang w:eastAsia="ru-RU"/>
        </w:rPr>
        <w:lastRenderedPageBreak/>
        <w:t>Содержание политики безопасности</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Политика безопасности — документ «верхнего» уровня, в котором должны быть указаны:</w:t>
      </w:r>
    </w:p>
    <w:p w:rsidR="003A500A" w:rsidRPr="003A500A" w:rsidRDefault="003A500A" w:rsidP="003A500A">
      <w:pPr>
        <w:numPr>
          <w:ilvl w:val="0"/>
          <w:numId w:val="1"/>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лица, ответственные за безопасность функционирования фирмы;</w:t>
      </w:r>
    </w:p>
    <w:p w:rsidR="003A500A" w:rsidRPr="003A500A" w:rsidRDefault="003A500A" w:rsidP="003A500A">
      <w:pPr>
        <w:numPr>
          <w:ilvl w:val="0"/>
          <w:numId w:val="1"/>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полномочия и ответственность отделов и служб в отношении безопасности;</w:t>
      </w:r>
    </w:p>
    <w:p w:rsidR="003A500A" w:rsidRPr="003A500A" w:rsidRDefault="003A500A" w:rsidP="003A500A">
      <w:pPr>
        <w:numPr>
          <w:ilvl w:val="0"/>
          <w:numId w:val="1"/>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организация допуска новых сотрудников и их увольнения;</w:t>
      </w:r>
    </w:p>
    <w:p w:rsidR="003A500A" w:rsidRPr="003A500A" w:rsidRDefault="003A500A" w:rsidP="003A500A">
      <w:pPr>
        <w:numPr>
          <w:ilvl w:val="0"/>
          <w:numId w:val="1"/>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правила разграничения доступа сотрудников к информационным ресурсам;</w:t>
      </w:r>
    </w:p>
    <w:p w:rsidR="003A500A" w:rsidRPr="003A500A" w:rsidRDefault="003A500A" w:rsidP="003A500A">
      <w:pPr>
        <w:numPr>
          <w:ilvl w:val="0"/>
          <w:numId w:val="1"/>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организация пропускного режима, регистрации сотрудников и посетителей;</w:t>
      </w:r>
    </w:p>
    <w:p w:rsidR="003A500A" w:rsidRPr="003A500A" w:rsidRDefault="003A500A" w:rsidP="003A500A">
      <w:pPr>
        <w:numPr>
          <w:ilvl w:val="0"/>
          <w:numId w:val="1"/>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использование программно-технических средств защиты;</w:t>
      </w:r>
    </w:p>
    <w:p w:rsidR="003A500A" w:rsidRPr="003A500A" w:rsidRDefault="003A500A" w:rsidP="003A500A">
      <w:pPr>
        <w:numPr>
          <w:ilvl w:val="0"/>
          <w:numId w:val="1"/>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другие требования общего характера.</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Таким образом, политика безопасности — это организационно-правовой и технический документ одновременно. При его составлении надо всегда опираться на принцип разумной достаточности и не терять здравого смысла.</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xml:space="preserve">Этот принцип означает, что затраты на обеспечение безопасности информации должны быть не больше, чем величина потенциального ущерба от ее утраты. Анализ рисков, проведенный на этапе аудита, позволяет ранжировать их по величине и защищать в первую очередь не только наиболее уязвимые, но и обрабатывающие наиболее ценную информацию участки. Если в качестве ограничений выступает суммарный бюджет системы обеспечения безопасности, то задачу распределения этого ресурса можно поставить и </w:t>
      </w:r>
      <w:proofErr w:type="gramStart"/>
      <w:r w:rsidRPr="003A500A">
        <w:rPr>
          <w:rFonts w:ascii="Times New Roman" w:eastAsia="Times New Roman" w:hAnsi="Times New Roman" w:cs="Times New Roman"/>
          <w:color w:val="383D47"/>
          <w:sz w:val="28"/>
          <w:szCs w:val="28"/>
          <w:lang w:eastAsia="ru-RU"/>
        </w:rPr>
        <w:t>решить</w:t>
      </w:r>
      <w:proofErr w:type="gramEnd"/>
      <w:r w:rsidRPr="003A500A">
        <w:rPr>
          <w:rFonts w:ascii="Times New Roman" w:eastAsia="Times New Roman" w:hAnsi="Times New Roman" w:cs="Times New Roman"/>
          <w:color w:val="383D47"/>
          <w:sz w:val="28"/>
          <w:szCs w:val="28"/>
          <w:lang w:eastAsia="ru-RU"/>
        </w:rPr>
        <w:t xml:space="preserve"> как условную задачу динамического программирования.</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noProof/>
          <w:color w:val="383D47"/>
          <w:sz w:val="28"/>
          <w:szCs w:val="28"/>
          <w:lang w:eastAsia="ru-RU"/>
        </w:rPr>
        <w:lastRenderedPageBreak/>
        <w:drawing>
          <wp:inline distT="0" distB="0" distL="0" distR="0">
            <wp:extent cx="4819650" cy="2362200"/>
            <wp:effectExtent l="0" t="0" r="0" b="0"/>
            <wp:docPr id="1" name="Рисунок 1" descr="http://www.itsec.ru/archive/p1/images/politika_bezopasn_razrab_i_realiz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tsec.ru/archive/p1/images/politika_bezopasn_razrab_i_realiz_tabl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9650" cy="2362200"/>
                    </a:xfrm>
                    <a:prstGeom prst="rect">
                      <a:avLst/>
                    </a:prstGeom>
                    <a:noFill/>
                    <a:ln>
                      <a:noFill/>
                    </a:ln>
                  </pic:spPr>
                </pic:pic>
              </a:graphicData>
            </a:graphic>
          </wp:inline>
        </w:drawing>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Особое внимание в политике безопасности следует уделить разграничению зоны ответственности между службой безопасности и IT-службой предприятия. Зачастую сотрудники службы безопасности, в силу низкой технической грамотности, не осознают важности защиты компьютерной информации. С другой стороны, IT-сотрудники, являясь «творческими» личностями, как правило, стараются игнорировать требования службы безопасности. Кардинально решить эту проблему можно было бы, введя должность CEO по информационной безопасности. Ему подчинялись бы обе службы.</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В политике безопасности не стоит детализировать должностные обязанности сотрудников (хотя приходилось видеть и такое). Они должны разрабатываться на основе политики, но не внутри нее.</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i/>
          <w:iCs/>
          <w:color w:val="383D47"/>
          <w:sz w:val="28"/>
          <w:szCs w:val="28"/>
          <w:lang w:eastAsia="ru-RU"/>
        </w:rPr>
        <w:t>Обеспечение безопасности компьютерной информации</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xml:space="preserve">Серьезное внимание в политике безопасности уделяется вопросам обеспечения безопасности информации при ее обработке в автоматизированных системах: автономно работающих компьютерах и локальных сетях. Необходимо установить, как должны быть защищены серверы, маршрутизаторы и другие устройства сети, определить порядок </w:t>
      </w:r>
      <w:r w:rsidRPr="003A500A">
        <w:rPr>
          <w:rFonts w:ascii="Times New Roman" w:eastAsia="Times New Roman" w:hAnsi="Times New Roman" w:cs="Times New Roman"/>
          <w:color w:val="383D47"/>
          <w:sz w:val="28"/>
          <w:szCs w:val="28"/>
          <w:lang w:eastAsia="ru-RU"/>
        </w:rPr>
        <w:lastRenderedPageBreak/>
        <w:t>использования сменных носителей информации, их маркировки, хранения, порядок внесения изменений в программное обеспечение.</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Приведем по этому поводу следующие общие рекомендации:</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в системе должен быть администратор безопасности;</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должен быть назначен ответственный за эксплуатацию каждого устройства;</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системный блок компьютера надо защищать печатями ответственного и работника IT-службы (или службы безопасности);</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жесткие диски лучше использовать съемные, а по окончании рабочего дня убирать их в сейф;</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если нет необходимости в эксплуатации CD-ROM, дисководов, они должны быть сняты с компьютеров;</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установка любого программного обеспечения должна производиться только работником IT-службы;</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для разграничения доступа сотрудников лучше всего использовать сочетание паролей и смарт-карт (</w:t>
      </w:r>
      <w:proofErr w:type="spellStart"/>
      <w:r w:rsidRPr="003A500A">
        <w:rPr>
          <w:rFonts w:ascii="Times New Roman" w:eastAsia="Times New Roman" w:hAnsi="Times New Roman" w:cs="Times New Roman"/>
          <w:color w:val="383D47"/>
          <w:sz w:val="28"/>
          <w:szCs w:val="28"/>
          <w:lang w:eastAsia="ru-RU"/>
        </w:rPr>
        <w:t>токенов</w:t>
      </w:r>
      <w:proofErr w:type="spellEnd"/>
      <w:r w:rsidRPr="003A500A">
        <w:rPr>
          <w:rFonts w:ascii="Times New Roman" w:eastAsia="Times New Roman" w:hAnsi="Times New Roman" w:cs="Times New Roman"/>
          <w:color w:val="383D47"/>
          <w:sz w:val="28"/>
          <w:szCs w:val="28"/>
          <w:lang w:eastAsia="ru-RU"/>
        </w:rPr>
        <w:t xml:space="preserve">). Пароли генерируются администратором безопасности, выдаются пользователю под роспись и хранятся им </w:t>
      </w:r>
      <w:proofErr w:type="gramStart"/>
      <w:r w:rsidRPr="003A500A">
        <w:rPr>
          <w:rFonts w:ascii="Times New Roman" w:eastAsia="Times New Roman" w:hAnsi="Times New Roman" w:cs="Times New Roman"/>
          <w:color w:val="383D47"/>
          <w:sz w:val="28"/>
          <w:szCs w:val="28"/>
          <w:lang w:eastAsia="ru-RU"/>
        </w:rPr>
        <w:t>также</w:t>
      </w:r>
      <w:proofErr w:type="gramEnd"/>
      <w:r w:rsidRPr="003A500A">
        <w:rPr>
          <w:rFonts w:ascii="Times New Roman" w:eastAsia="Times New Roman" w:hAnsi="Times New Roman" w:cs="Times New Roman"/>
          <w:color w:val="383D47"/>
          <w:sz w:val="28"/>
          <w:szCs w:val="28"/>
          <w:lang w:eastAsia="ru-RU"/>
        </w:rPr>
        <w:t xml:space="preserve"> как и другая конфиденциальная информация;</w:t>
      </w:r>
    </w:p>
    <w:p w:rsidR="003A500A" w:rsidRPr="003A500A" w:rsidRDefault="003A500A" w:rsidP="003A500A">
      <w:pPr>
        <w:numPr>
          <w:ilvl w:val="0"/>
          <w:numId w:val="2"/>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следует запретить использование неучтенных носителей информации. На учтенных носителях выполняется маркировка, например, гриф, номер, должность и фамилия сотрудника.</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Безусловно, внедрение любой защиты приводит к определенным неудобствам пользователя. Однако эти неудобства не должны быть существенными, иначе человек станет игнорировать правила.</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xml:space="preserve">Крайне внимательно следует отнестись к подключению своих информационных ресурсов к Интернету. В политике безопасности этот вопрос </w:t>
      </w:r>
      <w:r w:rsidRPr="003A500A">
        <w:rPr>
          <w:rFonts w:ascii="Times New Roman" w:eastAsia="Times New Roman" w:hAnsi="Times New Roman" w:cs="Times New Roman"/>
          <w:color w:val="383D47"/>
          <w:sz w:val="28"/>
          <w:szCs w:val="28"/>
          <w:lang w:eastAsia="ru-RU"/>
        </w:rPr>
        <w:lastRenderedPageBreak/>
        <w:t>предлагается выделить в отдельный раздел. Подключение к Глобальной сети обычно преследует следующие цели:</w:t>
      </w:r>
    </w:p>
    <w:p w:rsidR="003A500A" w:rsidRPr="003A500A" w:rsidRDefault="003A500A" w:rsidP="003A500A">
      <w:pPr>
        <w:numPr>
          <w:ilvl w:val="0"/>
          <w:numId w:val="3"/>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получение информации;</w:t>
      </w:r>
    </w:p>
    <w:p w:rsidR="003A500A" w:rsidRPr="003A500A" w:rsidRDefault="003A500A" w:rsidP="003A500A">
      <w:pPr>
        <w:numPr>
          <w:ilvl w:val="0"/>
          <w:numId w:val="3"/>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размещение своей информации о предоставляемых услугах, продаваемых товарах и т.д.</w:t>
      </w:r>
    </w:p>
    <w:p w:rsidR="003A500A" w:rsidRPr="003A500A" w:rsidRDefault="003A500A" w:rsidP="003A500A">
      <w:pPr>
        <w:numPr>
          <w:ilvl w:val="0"/>
          <w:numId w:val="3"/>
        </w:numPr>
        <w:shd w:val="clear" w:color="auto" w:fill="FFFFFF"/>
        <w:spacing w:before="100" w:beforeAutospacing="1" w:after="100" w:afterAutospacing="1" w:line="360" w:lineRule="auto"/>
        <w:ind w:left="0"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организация совместной работы удаленных офисов или работников на дому.</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xml:space="preserve">В двух первых случаях идеальным с точки зрения безопасности было бы использование для работы во Всемирной паутине автономного компьютера, на котором ни в коем случае не должна храниться конфиденциальная информация. На нем обязательно устанавливаются антивирусные средства защиты с актуальной базой, а также правильно настроенный </w:t>
      </w:r>
      <w:proofErr w:type="spellStart"/>
      <w:r w:rsidRPr="003A500A">
        <w:rPr>
          <w:rFonts w:ascii="Times New Roman" w:eastAsia="Times New Roman" w:hAnsi="Times New Roman" w:cs="Times New Roman"/>
          <w:color w:val="383D47"/>
          <w:sz w:val="28"/>
          <w:szCs w:val="28"/>
          <w:lang w:eastAsia="ru-RU"/>
        </w:rPr>
        <w:t>Firewall</w:t>
      </w:r>
      <w:proofErr w:type="spellEnd"/>
      <w:r w:rsidRPr="003A500A">
        <w:rPr>
          <w:rFonts w:ascii="Times New Roman" w:eastAsia="Times New Roman" w:hAnsi="Times New Roman" w:cs="Times New Roman"/>
          <w:color w:val="383D47"/>
          <w:sz w:val="28"/>
          <w:szCs w:val="28"/>
          <w:lang w:eastAsia="ru-RU"/>
        </w:rPr>
        <w:t>. При этом особый контроль стоит уделить работе на этом компьютере со сменными носителями информации, а также перлюстрации исходящей почты.</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При необходимости организации распределенной работы сотрудников фирмы наиболее приемлемым решением считаются виртуальные частные сети (VPN). В настоящее время известно множество отечественных фирм-разработчиков, представляющих услуги по установке и настройке соответствующего программного обеспечения.</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Несмотря на все принятые меры, нарушения информационной безопасности могут иметь место. В политике безопасности следует обязательно предусмотреть меры ликвидации этих последствий, восстановления нормальной работоспособности фирмы, минимизации причиненного ущерба. Большое значение здесь имеет применение средств резервирования электропитания, вычислительных средств, данных, а также правильная организация документооборота.</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i/>
          <w:iCs/>
          <w:color w:val="383D47"/>
          <w:sz w:val="28"/>
          <w:szCs w:val="28"/>
          <w:lang w:eastAsia="ru-RU"/>
        </w:rPr>
        <w:lastRenderedPageBreak/>
        <w:t>Аудит безопасности</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Итак, вы разработали политику безопасности, воплотили в жизнь ее положения. Как теперь оценить информационную безопасность вашей фирмы? Может быть, все усилия потрачены впустую? На эти вопросы поможет ответить аудит безопасности. Существуют фирмы, предоставляющие подобные услуги. Известны, по крайней мере, два подхода к оценке.</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Первый — оценка безопасности на качественном уровне. Эксперт высказывает свое видение состояния дел в фирме, дает рекомендации по устранению замеченных им изъянов. Недостаток такого подхода — его субъективизм. Хотелось бы иметь действительно независимую, объективную оценку информационной безопасности. Причем было бы неплохо, чтобы эту, количественную, оценку признавали и другие фирмы — ваши потенциальные партнеры. Очевидно, что для этого необходима разработка некоторого набора правил или стандарта в области безопасности информационных систем.</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color w:val="383D47"/>
          <w:sz w:val="28"/>
          <w:szCs w:val="28"/>
          <w:lang w:eastAsia="ru-RU"/>
        </w:rPr>
        <w:t xml:space="preserve">К счастью, почти ничего создавать не надо: стандарт, позволяющий дать количественную оценку информационной безопасности, уже имеется. Речь идет о международном стандарте ISO 17799. Этот документ был принят международным институтом стандартов в конце 2002 года на основе ранее разработанного Великобританией стандарта BS7799. И хотя он пока не </w:t>
      </w:r>
      <w:bookmarkStart w:id="0" w:name="_GoBack"/>
      <w:r w:rsidRPr="003A500A">
        <w:rPr>
          <w:rFonts w:ascii="Times New Roman" w:eastAsia="Times New Roman" w:hAnsi="Times New Roman" w:cs="Times New Roman"/>
          <w:color w:val="383D47"/>
          <w:sz w:val="28"/>
          <w:szCs w:val="28"/>
          <w:lang w:eastAsia="ru-RU"/>
        </w:rPr>
        <w:t xml:space="preserve">является общепринятым документом в нашей стране, он не противоречит </w:t>
      </w:r>
      <w:bookmarkEnd w:id="0"/>
      <w:r w:rsidRPr="003A500A">
        <w:rPr>
          <w:rFonts w:ascii="Times New Roman" w:eastAsia="Times New Roman" w:hAnsi="Times New Roman" w:cs="Times New Roman"/>
          <w:color w:val="383D47"/>
          <w:sz w:val="28"/>
          <w:szCs w:val="28"/>
          <w:lang w:eastAsia="ru-RU"/>
        </w:rPr>
        <w:t xml:space="preserve">руководящим документам </w:t>
      </w:r>
      <w:proofErr w:type="spellStart"/>
      <w:r w:rsidRPr="003A500A">
        <w:rPr>
          <w:rFonts w:ascii="Times New Roman" w:eastAsia="Times New Roman" w:hAnsi="Times New Roman" w:cs="Times New Roman"/>
          <w:color w:val="383D47"/>
          <w:sz w:val="28"/>
          <w:szCs w:val="28"/>
          <w:lang w:eastAsia="ru-RU"/>
        </w:rPr>
        <w:t>Гостехкомиссии</w:t>
      </w:r>
      <w:proofErr w:type="spellEnd"/>
      <w:r w:rsidRPr="003A500A">
        <w:rPr>
          <w:rFonts w:ascii="Times New Roman" w:eastAsia="Times New Roman" w:hAnsi="Times New Roman" w:cs="Times New Roman"/>
          <w:color w:val="383D47"/>
          <w:sz w:val="28"/>
          <w:szCs w:val="28"/>
          <w:lang w:eastAsia="ru-RU"/>
        </w:rPr>
        <w:t xml:space="preserve"> и приказам ФАПСИ.</w:t>
      </w:r>
    </w:p>
    <w:p w:rsidR="003A500A" w:rsidRPr="003A500A" w:rsidRDefault="003A500A" w:rsidP="003A500A">
      <w:pPr>
        <w:shd w:val="clear" w:color="auto" w:fill="FFFFFF"/>
        <w:spacing w:after="432" w:line="360" w:lineRule="auto"/>
        <w:ind w:firstLine="709"/>
        <w:jc w:val="both"/>
        <w:rPr>
          <w:rFonts w:ascii="Times New Roman" w:eastAsia="Times New Roman" w:hAnsi="Times New Roman" w:cs="Times New Roman"/>
          <w:color w:val="383D47"/>
          <w:sz w:val="28"/>
          <w:szCs w:val="28"/>
          <w:lang w:eastAsia="ru-RU"/>
        </w:rPr>
      </w:pPr>
      <w:r w:rsidRPr="003A500A">
        <w:rPr>
          <w:rFonts w:ascii="Times New Roman" w:eastAsia="Times New Roman" w:hAnsi="Times New Roman" w:cs="Times New Roman"/>
          <w:noProof/>
          <w:color w:val="383D47"/>
          <w:sz w:val="28"/>
          <w:szCs w:val="28"/>
          <w:lang w:eastAsia="ru-RU"/>
        </w:rPr>
        <w:drawing>
          <wp:anchor distT="47625" distB="47625" distL="47625" distR="47625" simplePos="0" relativeHeight="251658240" behindDoc="0" locked="0" layoutInCell="1" allowOverlap="0">
            <wp:simplePos x="0" y="0"/>
            <wp:positionH relativeFrom="column">
              <wp:align>left</wp:align>
            </wp:positionH>
            <wp:positionV relativeFrom="line">
              <wp:posOffset>0</wp:posOffset>
            </wp:positionV>
            <wp:extent cx="1219200" cy="962025"/>
            <wp:effectExtent l="0" t="0" r="0" b="9525"/>
            <wp:wrapSquare wrapText="bothSides"/>
            <wp:docPr id="4" name="Рисунок 4" descr="http://www.itsec.ru/archive/p1/images/politika_bezopasn_razrab_i_realiz_pic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tsec.ru/archive/p1/images/politika_bezopasn_razrab_i_realiz_pic_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500A">
        <w:rPr>
          <w:rFonts w:ascii="Times New Roman" w:eastAsia="Times New Roman" w:hAnsi="Times New Roman" w:cs="Times New Roman"/>
          <w:noProof/>
          <w:color w:val="383D47"/>
          <w:sz w:val="28"/>
          <w:szCs w:val="28"/>
          <w:lang w:eastAsia="ru-RU"/>
        </w:rPr>
        <w:drawing>
          <wp:anchor distT="47625" distB="47625" distL="47625" distR="47625" simplePos="0" relativeHeight="251658240" behindDoc="0" locked="0" layoutInCell="1" allowOverlap="0">
            <wp:simplePos x="0" y="0"/>
            <wp:positionH relativeFrom="column">
              <wp:align>left</wp:align>
            </wp:positionH>
            <wp:positionV relativeFrom="line">
              <wp:posOffset>0</wp:posOffset>
            </wp:positionV>
            <wp:extent cx="1200150" cy="419100"/>
            <wp:effectExtent l="0" t="0" r="0" b="0"/>
            <wp:wrapSquare wrapText="bothSides"/>
            <wp:docPr id="3" name="Рисунок 3" descr="http://www.itsec.ru/archive/p1/images/politika_bezopasn_razrab_i_realiz_pic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sec.ru/archive/p1/images/politika_bezopasn_razrab_i_realiz_pic_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015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500A">
        <w:rPr>
          <w:rFonts w:ascii="Times New Roman" w:eastAsia="Times New Roman" w:hAnsi="Times New Roman" w:cs="Times New Roman"/>
          <w:color w:val="383D47"/>
          <w:sz w:val="28"/>
          <w:szCs w:val="28"/>
          <w:lang w:eastAsia="ru-RU"/>
        </w:rPr>
        <w:t xml:space="preserve">Стандарт ISO 17799 позволяет получить количественную оценку комплексной безопасности фирмы. Этот процесс настолько формализован, что существует программное обеспечение, позволяющее самостоятельно выполнить оценку безопасности своей </w:t>
      </w:r>
      <w:r w:rsidRPr="003A500A">
        <w:rPr>
          <w:rFonts w:ascii="Times New Roman" w:eastAsia="Times New Roman" w:hAnsi="Times New Roman" w:cs="Times New Roman"/>
          <w:color w:val="383D47"/>
          <w:sz w:val="28"/>
          <w:szCs w:val="28"/>
          <w:lang w:eastAsia="ru-RU"/>
        </w:rPr>
        <w:lastRenderedPageBreak/>
        <w:t>компании. Это программное обеспечение представляет собой, по существу, вопросник. Сгенерированный программой отчет отправляется в адрес фирмы, имеющей полномочия на проведение сертификации на соответствие этому стандарту, и та присылает вам соответствующий знак и процент соответствия стандарту, как показано на рисунке.</w:t>
      </w:r>
    </w:p>
    <w:p w:rsidR="00BB01C5" w:rsidRPr="003A500A" w:rsidRDefault="00BB01C5" w:rsidP="003A500A">
      <w:pPr>
        <w:spacing w:line="360" w:lineRule="auto"/>
        <w:ind w:firstLine="709"/>
        <w:jc w:val="both"/>
        <w:rPr>
          <w:rFonts w:ascii="Times New Roman" w:hAnsi="Times New Roman" w:cs="Times New Roman"/>
          <w:sz w:val="28"/>
          <w:szCs w:val="28"/>
        </w:rPr>
      </w:pPr>
    </w:p>
    <w:sectPr w:rsidR="00BB01C5" w:rsidRPr="003A50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D6DEC"/>
    <w:multiLevelType w:val="multilevel"/>
    <w:tmpl w:val="986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90123"/>
    <w:multiLevelType w:val="multilevel"/>
    <w:tmpl w:val="B82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33557"/>
    <w:multiLevelType w:val="multilevel"/>
    <w:tmpl w:val="1558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854"/>
    <w:rsid w:val="003A500A"/>
    <w:rsid w:val="006C0854"/>
    <w:rsid w:val="00BB01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1CDB"/>
  <w15:chartTrackingRefBased/>
  <w15:docId w15:val="{351B77E8-446E-4B98-9F82-B0241132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3A500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A500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3A50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3A50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630093">
      <w:bodyDiv w:val="1"/>
      <w:marLeft w:val="0"/>
      <w:marRight w:val="0"/>
      <w:marTop w:val="0"/>
      <w:marBottom w:val="0"/>
      <w:divBdr>
        <w:top w:val="none" w:sz="0" w:space="0" w:color="auto"/>
        <w:left w:val="none" w:sz="0" w:space="0" w:color="auto"/>
        <w:bottom w:val="none" w:sz="0" w:space="0" w:color="auto"/>
        <w:right w:val="none" w:sz="0" w:space="0" w:color="auto"/>
      </w:divBdr>
    </w:div>
    <w:div w:id="203333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1302</Words>
  <Characters>7428</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2023-02-27T08:12:00Z</dcterms:created>
  <dcterms:modified xsi:type="dcterms:W3CDTF">2023-02-27T08:18:00Z</dcterms:modified>
</cp:coreProperties>
</file>