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Dr. Hongkai Yu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The topic of presentation: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 Visual Data Understanding by Learning Methods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date of presentation: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Oct</w:t>
      </w:r>
      <w:r>
        <w:rPr>
          <w:sz w:val="28"/>
          <w:szCs w:val="28"/>
        </w:rPr>
        <w:t>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9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the paper 2, there is a sentence "The state-of-the-art fiber detection algorithm EMMPMH [32] detects ellipse-like objects. It takes only one input: the number of classes for the segmentation algorithm, which we set to 3."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Why is the number of classes equal to 3, not neither 2 nor 4?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In paper 1, there is a sentence "By minimizing the TPS bending energy ϕ(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en-GB" w:eastAsia="zh-CN" w:bidi="hi-IN"/>
        </w:rPr>
        <w:t>f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), TPS-RPM can identify the within-set point correlation, e.g., the subset of points that largely follow the same smooth TPS transform in the matching."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What is a TPS bending energy? And why is it important to minimize it?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LibreOffice/6.3.1.2$Windows_x86 LibreOffice_project/b79626edf0065ac373bd1df5c28bd630b4424273</Application>
  <Pages>1</Pages>
  <Words>132</Words>
  <Characters>657</Characters>
  <CharactersWithSpaces>777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2019-10-15T15:38:20Z</dcterms:modified>
  <cp:revision>12</cp:revision>
  <dc:subject/>
  <dc:title/>
</cp:coreProperties>
</file>