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B73" w:rsidRPr="001A351B" w:rsidRDefault="00984B73" w:rsidP="001A351B">
      <w:pPr>
        <w:pStyle w:val="Title"/>
        <w:jc w:val="center"/>
        <w:rPr>
          <w:rFonts w:ascii="Times New Roman" w:hAnsi="Times New Roman" w:cs="Times New Roman"/>
          <w:sz w:val="24"/>
          <w:szCs w:val="24"/>
        </w:rPr>
      </w:pPr>
      <w:r w:rsidRPr="001A351B">
        <w:rPr>
          <w:rFonts w:ascii="Times New Roman" w:hAnsi="Times New Roman" w:cs="Times New Roman"/>
          <w:sz w:val="24"/>
          <w:szCs w:val="24"/>
        </w:rPr>
        <w:t>Syllabus</w:t>
      </w:r>
    </w:p>
    <w:p w:rsidR="00984B73" w:rsidRPr="001A351B" w:rsidRDefault="00984B73" w:rsidP="001A351B">
      <w:pPr>
        <w:jc w:val="center"/>
        <w:rPr>
          <w:rFonts w:ascii="Times New Roman" w:hAnsi="Times New Roman" w:cs="Times New Roman"/>
        </w:rPr>
      </w:pPr>
      <w:r w:rsidRPr="001A351B">
        <w:rPr>
          <w:rFonts w:ascii="Times New Roman" w:hAnsi="Times New Roman" w:cs="Times New Roman"/>
        </w:rPr>
        <w:t xml:space="preserve">CSCI </w:t>
      </w:r>
      <w:r w:rsidR="00B43518">
        <w:rPr>
          <w:rFonts w:ascii="Times New Roman" w:hAnsi="Times New Roman" w:cs="Times New Roman"/>
        </w:rPr>
        <w:t>6</w:t>
      </w:r>
      <w:r w:rsidRPr="001A351B">
        <w:rPr>
          <w:rFonts w:ascii="Times New Roman" w:hAnsi="Times New Roman" w:cs="Times New Roman"/>
        </w:rPr>
        <w:t>31</w:t>
      </w:r>
      <w:r w:rsidR="00623792">
        <w:rPr>
          <w:rFonts w:ascii="Times New Roman" w:hAnsi="Times New Roman" w:cs="Times New Roman"/>
        </w:rPr>
        <w:t>8</w:t>
      </w:r>
      <w:r w:rsidRPr="001A351B">
        <w:rPr>
          <w:rFonts w:ascii="Times New Roman" w:hAnsi="Times New Roman" w:cs="Times New Roman"/>
        </w:rPr>
        <w:t>.</w:t>
      </w:r>
      <w:r w:rsidR="00623792">
        <w:rPr>
          <w:rFonts w:ascii="Times New Roman" w:hAnsi="Times New Roman" w:cs="Times New Roman"/>
        </w:rPr>
        <w:t>90L</w:t>
      </w:r>
      <w:r w:rsidRPr="001A351B">
        <w:rPr>
          <w:rFonts w:ascii="Times New Roman" w:hAnsi="Times New Roman" w:cs="Times New Roman"/>
        </w:rPr>
        <w:t xml:space="preserve"> </w:t>
      </w:r>
      <w:r w:rsidR="00623792">
        <w:rPr>
          <w:rFonts w:ascii="Times New Roman" w:hAnsi="Times New Roman" w:cs="Times New Roman"/>
        </w:rPr>
        <w:t>Cyber Security</w:t>
      </w:r>
    </w:p>
    <w:p w:rsidR="00984B73" w:rsidRPr="001A351B" w:rsidRDefault="004C1CB1" w:rsidP="001A351B">
      <w:pPr>
        <w:jc w:val="center"/>
        <w:rPr>
          <w:rFonts w:ascii="Times New Roman" w:hAnsi="Times New Roman" w:cs="Times New Roman"/>
        </w:rPr>
      </w:pPr>
      <w:r>
        <w:rPr>
          <w:rFonts w:ascii="Times New Roman" w:hAnsi="Times New Roman" w:cs="Times New Roman"/>
        </w:rPr>
        <w:t>Spring 2020</w:t>
      </w:r>
    </w:p>
    <w:p w:rsidR="001A351B" w:rsidRPr="001A351B" w:rsidRDefault="001A351B" w:rsidP="001A351B">
      <w:pPr>
        <w:pStyle w:val="NoSpacing"/>
        <w:rPr>
          <w:rFonts w:ascii="Times New Roman" w:hAnsi="Times New Roman" w:cs="Times New Roman"/>
          <w:b/>
          <w:sz w:val="24"/>
          <w:szCs w:val="24"/>
        </w:rPr>
      </w:pPr>
    </w:p>
    <w:p w:rsidR="00984B73" w:rsidRPr="001A351B" w:rsidRDefault="00984B73" w:rsidP="001A351B">
      <w:pPr>
        <w:pStyle w:val="NoSpacing"/>
        <w:rPr>
          <w:rFonts w:ascii="Times New Roman" w:hAnsi="Times New Roman" w:cs="Times New Roman"/>
          <w:b/>
          <w:sz w:val="24"/>
          <w:szCs w:val="24"/>
        </w:rPr>
      </w:pPr>
      <w:r w:rsidRPr="001A351B">
        <w:rPr>
          <w:rFonts w:ascii="Times New Roman" w:hAnsi="Times New Roman" w:cs="Times New Roman"/>
          <w:b/>
          <w:sz w:val="24"/>
          <w:szCs w:val="24"/>
        </w:rPr>
        <w:t>Instructor: Hansheng Lei</w:t>
      </w:r>
      <w:r w:rsidRPr="001A351B">
        <w:rPr>
          <w:rFonts w:ascii="Times New Roman" w:hAnsi="Times New Roman" w:cs="Times New Roman"/>
          <w:b/>
          <w:sz w:val="24"/>
          <w:szCs w:val="24"/>
        </w:rPr>
        <w:tab/>
      </w:r>
      <w:r w:rsidRPr="001A351B">
        <w:rPr>
          <w:rFonts w:ascii="Times New Roman" w:hAnsi="Times New Roman" w:cs="Times New Roman"/>
          <w:b/>
          <w:sz w:val="24"/>
          <w:szCs w:val="24"/>
        </w:rPr>
        <w:tab/>
      </w:r>
      <w:r w:rsidRPr="001A351B">
        <w:rPr>
          <w:rFonts w:ascii="Times New Roman" w:hAnsi="Times New Roman" w:cs="Times New Roman"/>
          <w:b/>
          <w:sz w:val="24"/>
          <w:szCs w:val="24"/>
        </w:rPr>
        <w:tab/>
      </w:r>
      <w:r w:rsidRPr="001A351B">
        <w:rPr>
          <w:rFonts w:ascii="Times New Roman" w:hAnsi="Times New Roman" w:cs="Times New Roman"/>
          <w:b/>
          <w:sz w:val="24"/>
          <w:szCs w:val="24"/>
        </w:rPr>
        <w:tab/>
      </w:r>
      <w:r w:rsidRPr="001A351B">
        <w:rPr>
          <w:rFonts w:ascii="Times New Roman" w:hAnsi="Times New Roman" w:cs="Times New Roman"/>
          <w:b/>
          <w:sz w:val="24"/>
          <w:szCs w:val="24"/>
        </w:rPr>
        <w:tab/>
      </w:r>
    </w:p>
    <w:p w:rsidR="00984B73" w:rsidRPr="001A351B" w:rsidRDefault="00984B73" w:rsidP="001A351B">
      <w:pPr>
        <w:pStyle w:val="NoSpacing"/>
        <w:rPr>
          <w:rFonts w:ascii="Times New Roman" w:hAnsi="Times New Roman" w:cs="Times New Roman"/>
          <w:b/>
          <w:sz w:val="24"/>
          <w:szCs w:val="24"/>
        </w:rPr>
      </w:pPr>
      <w:r w:rsidRPr="001A351B">
        <w:rPr>
          <w:rFonts w:ascii="Times New Roman" w:hAnsi="Times New Roman" w:cs="Times New Roman"/>
          <w:b/>
          <w:sz w:val="24"/>
          <w:szCs w:val="24"/>
        </w:rPr>
        <w:t>Tel: (956) 882 6585</w:t>
      </w:r>
    </w:p>
    <w:p w:rsidR="00C41A12" w:rsidRDefault="00984B73" w:rsidP="001A351B">
      <w:pPr>
        <w:pStyle w:val="NoSpacing"/>
        <w:rPr>
          <w:rStyle w:val="Hyperlink"/>
          <w:rFonts w:ascii="Times New Roman" w:hAnsi="Times New Roman" w:cs="Times New Roman"/>
          <w:b/>
          <w:sz w:val="24"/>
          <w:szCs w:val="24"/>
        </w:rPr>
      </w:pPr>
      <w:r w:rsidRPr="001A351B">
        <w:rPr>
          <w:rFonts w:ascii="Times New Roman" w:hAnsi="Times New Roman" w:cs="Times New Roman"/>
          <w:b/>
          <w:sz w:val="24"/>
          <w:szCs w:val="24"/>
        </w:rPr>
        <w:t xml:space="preserve">Email: </w:t>
      </w:r>
      <w:hyperlink r:id="rId8" w:history="1">
        <w:r w:rsidRPr="001A351B">
          <w:rPr>
            <w:rStyle w:val="Hyperlink"/>
            <w:rFonts w:ascii="Times New Roman" w:hAnsi="Times New Roman" w:cs="Times New Roman"/>
            <w:b/>
            <w:sz w:val="24"/>
            <w:szCs w:val="24"/>
          </w:rPr>
          <w:t>Hansheng.lei@utrgv.edu</w:t>
        </w:r>
      </w:hyperlink>
    </w:p>
    <w:p w:rsidR="00C41A12" w:rsidRDefault="00C41A12" w:rsidP="001A351B">
      <w:pPr>
        <w:pStyle w:val="NoSpacing"/>
        <w:rPr>
          <w:rFonts w:ascii="Times New Roman" w:hAnsi="Times New Roman" w:cs="Times New Roman"/>
          <w:b/>
          <w:sz w:val="24"/>
          <w:szCs w:val="24"/>
        </w:rPr>
      </w:pPr>
      <w:r>
        <w:rPr>
          <w:rFonts w:ascii="Times New Roman" w:hAnsi="Times New Roman" w:cs="Times New Roman"/>
          <w:b/>
          <w:sz w:val="24"/>
          <w:szCs w:val="24"/>
        </w:rPr>
        <w:t>Classroom:  Online (in Blackboard)</w:t>
      </w:r>
    </w:p>
    <w:p w:rsidR="00984B73" w:rsidRPr="001A351B" w:rsidRDefault="004C1CB1" w:rsidP="001A351B">
      <w:pPr>
        <w:pStyle w:val="NoSpacing"/>
        <w:rPr>
          <w:rFonts w:ascii="Times New Roman" w:hAnsi="Times New Roman" w:cs="Times New Roman"/>
          <w:sz w:val="24"/>
          <w:szCs w:val="24"/>
        </w:rPr>
      </w:pPr>
      <w:r>
        <w:rPr>
          <w:rFonts w:ascii="Times New Roman" w:hAnsi="Times New Roman" w:cs="Times New Roman"/>
          <w:b/>
          <w:sz w:val="24"/>
          <w:szCs w:val="24"/>
        </w:rPr>
        <w:t xml:space="preserve">Office location &amp; hours: TR </w:t>
      </w:r>
      <w:r w:rsidR="00327FEA">
        <w:rPr>
          <w:rFonts w:ascii="Times New Roman" w:hAnsi="Times New Roman" w:cs="Times New Roman"/>
          <w:b/>
          <w:sz w:val="24"/>
          <w:szCs w:val="24"/>
        </w:rPr>
        <w:t>1</w:t>
      </w:r>
      <w:r w:rsidR="00984B73" w:rsidRPr="001A351B">
        <w:rPr>
          <w:rFonts w:ascii="Times New Roman" w:hAnsi="Times New Roman" w:cs="Times New Roman"/>
          <w:b/>
          <w:sz w:val="24"/>
          <w:szCs w:val="24"/>
        </w:rPr>
        <w:t>:00pm-</w:t>
      </w:r>
      <w:r>
        <w:rPr>
          <w:rFonts w:ascii="Times New Roman" w:hAnsi="Times New Roman" w:cs="Times New Roman"/>
          <w:b/>
          <w:sz w:val="24"/>
          <w:szCs w:val="24"/>
        </w:rPr>
        <w:t>3</w:t>
      </w:r>
      <w:r w:rsidR="00984B73" w:rsidRPr="001A351B">
        <w:rPr>
          <w:rFonts w:ascii="Times New Roman" w:hAnsi="Times New Roman" w:cs="Times New Roman"/>
          <w:b/>
          <w:sz w:val="24"/>
          <w:szCs w:val="24"/>
        </w:rPr>
        <w:t>:30pm, SETB 1.506, or by Appointment</w:t>
      </w:r>
      <w:r w:rsidR="00984B73" w:rsidRPr="001A351B">
        <w:rPr>
          <w:rFonts w:ascii="Times New Roman" w:hAnsi="Times New Roman" w:cs="Times New Roman"/>
          <w:sz w:val="24"/>
          <w:szCs w:val="24"/>
        </w:rPr>
        <w:tab/>
      </w:r>
      <w:r w:rsidR="00984B73" w:rsidRPr="001A351B">
        <w:rPr>
          <w:rFonts w:ascii="Times New Roman" w:hAnsi="Times New Roman" w:cs="Times New Roman"/>
          <w:sz w:val="24"/>
          <w:szCs w:val="24"/>
        </w:rPr>
        <w:tab/>
      </w:r>
      <w:r w:rsidR="00984B73" w:rsidRPr="001A351B">
        <w:rPr>
          <w:rFonts w:ascii="Times New Roman" w:hAnsi="Times New Roman" w:cs="Times New Roman"/>
          <w:sz w:val="24"/>
          <w:szCs w:val="24"/>
        </w:rPr>
        <w:tab/>
      </w:r>
      <w:r w:rsidR="00984B73" w:rsidRPr="001A351B">
        <w:rPr>
          <w:rFonts w:ascii="Times New Roman" w:hAnsi="Times New Roman" w:cs="Times New Roman"/>
          <w:sz w:val="24"/>
          <w:szCs w:val="24"/>
        </w:rPr>
        <w:tab/>
      </w:r>
      <w:r w:rsidR="00984B73" w:rsidRPr="001A351B">
        <w:rPr>
          <w:rFonts w:ascii="Times New Roman" w:hAnsi="Times New Roman" w:cs="Times New Roman"/>
          <w:sz w:val="24"/>
          <w:szCs w:val="24"/>
        </w:rPr>
        <w:tab/>
      </w:r>
      <w:r w:rsidR="00984B73" w:rsidRPr="001A351B">
        <w:rPr>
          <w:rFonts w:ascii="Times New Roman" w:hAnsi="Times New Roman" w:cs="Times New Roman"/>
          <w:sz w:val="24"/>
          <w:szCs w:val="24"/>
        </w:rPr>
        <w:tab/>
      </w:r>
    </w:p>
    <w:p w:rsidR="00A139BD" w:rsidRPr="001A351B" w:rsidRDefault="00B55795" w:rsidP="00984B73">
      <w:pPr>
        <w:pStyle w:val="NoSpacing"/>
        <w:rPr>
          <w:rFonts w:ascii="Times New Roman" w:hAnsi="Times New Roman" w:cs="Times New Roman"/>
          <w:sz w:val="24"/>
          <w:szCs w:val="24"/>
        </w:rPr>
      </w:pP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r w:rsidRPr="001A351B">
        <w:rPr>
          <w:rFonts w:ascii="Times New Roman" w:hAnsi="Times New Roman" w:cs="Times New Roman"/>
          <w:sz w:val="24"/>
          <w:szCs w:val="24"/>
        </w:rPr>
        <w:tab/>
      </w:r>
    </w:p>
    <w:p w:rsidR="00F87C7A" w:rsidRDefault="00F87C7A" w:rsidP="001A351B">
      <w:pPr>
        <w:rPr>
          <w:rFonts w:ascii="Times New Roman" w:hAnsi="Times New Roman" w:cs="Times New Roman"/>
          <w:b/>
        </w:rPr>
      </w:pPr>
      <w:r w:rsidRPr="001A351B">
        <w:rPr>
          <w:rFonts w:ascii="Times New Roman" w:hAnsi="Times New Roman" w:cs="Times New Roman"/>
          <w:b/>
        </w:rPr>
        <w:t xml:space="preserve">Textbook </w:t>
      </w:r>
    </w:p>
    <w:p w:rsidR="0008213B" w:rsidRDefault="00623792" w:rsidP="007E18FE">
      <w:r w:rsidRPr="00623792">
        <w:t xml:space="preserve">Cyber </w:t>
      </w:r>
      <w:r>
        <w:t xml:space="preserve">Security Essentials, 1st Edition, </w:t>
      </w:r>
      <w:r w:rsidRPr="00623792">
        <w:t>by James Graham (Editor)</w:t>
      </w:r>
      <w:r>
        <w:t xml:space="preserve">, </w:t>
      </w:r>
      <w:r w:rsidRPr="00623792">
        <w:t>ISBN-13: 978-1138440401</w:t>
      </w:r>
      <w:r>
        <w:t xml:space="preserve">, </w:t>
      </w:r>
      <w:r w:rsidRPr="00623792">
        <w:t>ISBN-10: 113844040X</w:t>
      </w:r>
    </w:p>
    <w:p w:rsidR="00984B73" w:rsidRPr="001A351B" w:rsidRDefault="00984B73" w:rsidP="001A351B">
      <w:pPr>
        <w:rPr>
          <w:rFonts w:ascii="Times New Roman" w:hAnsi="Times New Roman" w:cs="Times New Roman"/>
        </w:rPr>
      </w:pPr>
      <w:r w:rsidRPr="001A351B">
        <w:rPr>
          <w:rFonts w:ascii="Times New Roman" w:hAnsi="Times New Roman" w:cs="Times New Roman"/>
          <w:b/>
          <w:bCs/>
        </w:rPr>
        <w:t xml:space="preserve">Catalog Course Description: </w:t>
      </w:r>
      <w:r w:rsidR="00B43518" w:rsidRPr="00B43518">
        <w:t>Computer security fundamentals and standard of good practice, and incident response strategies will be presented. Topics will include analyzing volatile and nonvolatile data, collecting network based evidence, forensic analysis techniques, web, email and registry activity reconstruction, and study of available tools.</w:t>
      </w:r>
      <w:r w:rsidRPr="007E18FE">
        <w:t xml:space="preserve"> </w:t>
      </w:r>
    </w:p>
    <w:p w:rsidR="00984B73" w:rsidRPr="007E18FE" w:rsidRDefault="00984B73" w:rsidP="001A351B">
      <w:r w:rsidRPr="001A351B">
        <w:rPr>
          <w:rFonts w:ascii="Times New Roman" w:hAnsi="Times New Roman" w:cs="Times New Roman"/>
          <w:b/>
        </w:rPr>
        <w:t>Course Prerequisites</w:t>
      </w:r>
      <w:r w:rsidRPr="001A351B">
        <w:rPr>
          <w:rFonts w:ascii="Times New Roman" w:hAnsi="Times New Roman" w:cs="Times New Roman"/>
        </w:rPr>
        <w:t>:</w:t>
      </w:r>
      <w:r w:rsidR="00B43518" w:rsidRPr="00B43518">
        <w:t xml:space="preserve"> </w:t>
      </w:r>
      <w:r w:rsidR="00B43518">
        <w:t xml:space="preserve"> </w:t>
      </w:r>
      <w:r w:rsidR="00B43518" w:rsidRPr="00B43518">
        <w:rPr>
          <w:rFonts w:cs="Times New Roman"/>
        </w:rPr>
        <w:t>CSCI 6303</w:t>
      </w:r>
      <w:r w:rsidRPr="00B43518">
        <w:t>.</w:t>
      </w:r>
    </w:p>
    <w:p w:rsidR="00984B73" w:rsidRPr="007E18FE" w:rsidRDefault="00984B73" w:rsidP="00914657">
      <w:r w:rsidRPr="001A351B">
        <w:rPr>
          <w:rFonts w:ascii="Times New Roman" w:hAnsi="Times New Roman" w:cs="Times New Roman"/>
          <w:b/>
          <w:bCs/>
        </w:rPr>
        <w:t xml:space="preserve">Course Objectives: </w:t>
      </w:r>
      <w:r w:rsidR="00914657" w:rsidRPr="007E18FE">
        <w:t>This course provides an introduction to the concepts behind prevalent threats, tactics, and procedures. Providing a fundamental understanding of the theory behind the key issues impacting cyber security</w:t>
      </w:r>
      <w:r w:rsidR="00B43518">
        <w:t xml:space="preserve"> and forensics</w:t>
      </w:r>
      <w:r w:rsidR="00914657" w:rsidRPr="007E18FE">
        <w:t>, the course covers attacker methods and motivations, exploitation trends, malicious code techniques, and the latest threat vectors.</w:t>
      </w:r>
    </w:p>
    <w:p w:rsidR="00914657" w:rsidRPr="007E18FE" w:rsidRDefault="00984B73" w:rsidP="00914657">
      <w:pPr>
        <w:rPr>
          <w:rFonts w:cs="Times New Roman"/>
          <w:shd w:val="clear" w:color="auto" w:fill="FFFFFF"/>
        </w:rPr>
      </w:pPr>
      <w:r w:rsidRPr="001A351B">
        <w:rPr>
          <w:rFonts w:ascii="Times New Roman" w:hAnsi="Times New Roman" w:cs="Times New Roman"/>
          <w:b/>
          <w:bCs/>
        </w:rPr>
        <w:t>Learning Outcomes</w:t>
      </w:r>
      <w:r w:rsidRPr="001A351B">
        <w:rPr>
          <w:rFonts w:ascii="Times New Roman" w:hAnsi="Times New Roman" w:cs="Times New Roman"/>
        </w:rPr>
        <w:t xml:space="preserve">: </w:t>
      </w:r>
      <w:r w:rsidR="00914657" w:rsidRPr="007E18FE">
        <w:rPr>
          <w:rFonts w:cs="Times New Roman"/>
          <w:shd w:val="clear" w:color="auto" w:fill="FFFFFF"/>
        </w:rPr>
        <w:t>At the end of the course, students are expected the master the techniques and skills of:</w:t>
      </w:r>
    </w:p>
    <w:p w:rsidR="00914657" w:rsidRPr="007E18FE" w:rsidRDefault="00914657" w:rsidP="00914657">
      <w:pPr>
        <w:pStyle w:val="NoSpacing"/>
        <w:numPr>
          <w:ilvl w:val="0"/>
          <w:numId w:val="15"/>
        </w:numPr>
        <w:rPr>
          <w:sz w:val="24"/>
          <w:szCs w:val="24"/>
          <w:shd w:val="clear" w:color="auto" w:fill="FFFFFF"/>
        </w:rPr>
      </w:pPr>
      <w:r w:rsidRPr="007E18FE">
        <w:rPr>
          <w:sz w:val="24"/>
          <w:szCs w:val="24"/>
          <w:shd w:val="clear" w:color="auto" w:fill="FFFFFF"/>
        </w:rPr>
        <w:t>Information Gathering</w:t>
      </w:r>
    </w:p>
    <w:p w:rsidR="00914657" w:rsidRPr="007E18FE" w:rsidRDefault="00914657" w:rsidP="00914657">
      <w:pPr>
        <w:pStyle w:val="NoSpacing"/>
        <w:numPr>
          <w:ilvl w:val="0"/>
          <w:numId w:val="15"/>
        </w:numPr>
        <w:rPr>
          <w:sz w:val="24"/>
          <w:szCs w:val="24"/>
          <w:shd w:val="clear" w:color="auto" w:fill="FFFFFF"/>
        </w:rPr>
      </w:pPr>
      <w:r w:rsidRPr="007E18FE">
        <w:rPr>
          <w:sz w:val="24"/>
          <w:szCs w:val="24"/>
          <w:shd w:val="clear" w:color="auto" w:fill="FFFFFF"/>
        </w:rPr>
        <w:t>Social Engineering</w:t>
      </w:r>
    </w:p>
    <w:p w:rsidR="00914657" w:rsidRPr="007E18FE" w:rsidRDefault="00914657" w:rsidP="00914657">
      <w:pPr>
        <w:pStyle w:val="NoSpacing"/>
        <w:numPr>
          <w:ilvl w:val="0"/>
          <w:numId w:val="15"/>
        </w:numPr>
        <w:rPr>
          <w:sz w:val="24"/>
          <w:szCs w:val="24"/>
          <w:shd w:val="clear" w:color="auto" w:fill="FFFFFF"/>
        </w:rPr>
      </w:pPr>
      <w:r w:rsidRPr="007E18FE">
        <w:rPr>
          <w:sz w:val="24"/>
          <w:szCs w:val="24"/>
          <w:shd w:val="clear" w:color="auto" w:fill="FFFFFF"/>
        </w:rPr>
        <w:t>Attacker techniques and motivations</w:t>
      </w:r>
    </w:p>
    <w:p w:rsidR="00914657" w:rsidRPr="007E18FE" w:rsidRDefault="00914657" w:rsidP="00914657">
      <w:pPr>
        <w:pStyle w:val="NoSpacing"/>
        <w:numPr>
          <w:ilvl w:val="0"/>
          <w:numId w:val="15"/>
        </w:numPr>
        <w:rPr>
          <w:sz w:val="24"/>
          <w:szCs w:val="24"/>
          <w:shd w:val="clear" w:color="auto" w:fill="FFFFFF"/>
        </w:rPr>
      </w:pPr>
      <w:r w:rsidRPr="007E18FE">
        <w:rPr>
          <w:sz w:val="24"/>
          <w:szCs w:val="24"/>
          <w:shd w:val="clear" w:color="auto" w:fill="FFFFFF"/>
        </w:rPr>
        <w:t>Malicious code</w:t>
      </w:r>
    </w:p>
    <w:p w:rsidR="00914657" w:rsidRPr="007E18FE" w:rsidRDefault="00914657" w:rsidP="00914657">
      <w:pPr>
        <w:pStyle w:val="NoSpacing"/>
        <w:numPr>
          <w:ilvl w:val="0"/>
          <w:numId w:val="15"/>
        </w:numPr>
        <w:rPr>
          <w:sz w:val="24"/>
          <w:szCs w:val="24"/>
          <w:shd w:val="clear" w:color="auto" w:fill="FFFFFF"/>
        </w:rPr>
      </w:pPr>
      <w:r w:rsidRPr="007E18FE">
        <w:rPr>
          <w:sz w:val="24"/>
          <w:szCs w:val="24"/>
          <w:shd w:val="clear" w:color="auto" w:fill="FFFFFF"/>
        </w:rPr>
        <w:t>Defense and analysis techniques</w:t>
      </w:r>
    </w:p>
    <w:p w:rsidR="00984B73" w:rsidRDefault="00914657" w:rsidP="00914657">
      <w:pPr>
        <w:pStyle w:val="NoSpacing"/>
        <w:numPr>
          <w:ilvl w:val="0"/>
          <w:numId w:val="15"/>
        </w:numPr>
        <w:rPr>
          <w:sz w:val="24"/>
          <w:szCs w:val="24"/>
          <w:shd w:val="clear" w:color="auto" w:fill="FFFFFF"/>
        </w:rPr>
      </w:pPr>
      <w:r w:rsidRPr="007E18FE">
        <w:rPr>
          <w:sz w:val="24"/>
          <w:szCs w:val="24"/>
          <w:shd w:val="clear" w:color="auto" w:fill="FFFFFF"/>
        </w:rPr>
        <w:t>Protection Methods</w:t>
      </w:r>
    </w:p>
    <w:p w:rsidR="00B43518" w:rsidRPr="007E18FE" w:rsidRDefault="00B43518" w:rsidP="00914657">
      <w:pPr>
        <w:pStyle w:val="NoSpacing"/>
        <w:numPr>
          <w:ilvl w:val="0"/>
          <w:numId w:val="15"/>
        </w:numPr>
        <w:rPr>
          <w:sz w:val="24"/>
          <w:szCs w:val="24"/>
          <w:shd w:val="clear" w:color="auto" w:fill="FFFFFF"/>
        </w:rPr>
      </w:pPr>
      <w:r>
        <w:rPr>
          <w:sz w:val="24"/>
          <w:szCs w:val="24"/>
          <w:shd w:val="clear" w:color="auto" w:fill="FFFFFF"/>
        </w:rPr>
        <w:t>Digital f</w:t>
      </w:r>
      <w:bookmarkStart w:id="0" w:name="_GoBack"/>
      <w:bookmarkEnd w:id="0"/>
      <w:r>
        <w:rPr>
          <w:sz w:val="24"/>
          <w:szCs w:val="24"/>
          <w:shd w:val="clear" w:color="auto" w:fill="FFFFFF"/>
        </w:rPr>
        <w:t xml:space="preserve">orensics practice and tools </w:t>
      </w:r>
    </w:p>
    <w:p w:rsidR="00914657" w:rsidRPr="001A351B" w:rsidRDefault="00914657" w:rsidP="00914657">
      <w:pPr>
        <w:rPr>
          <w:shd w:val="clear" w:color="auto" w:fill="FFFFFF"/>
        </w:rPr>
      </w:pPr>
    </w:p>
    <w:p w:rsidR="00D94A7E" w:rsidRPr="00D94A7E" w:rsidRDefault="00D94A7E" w:rsidP="00D94A7E">
      <w:pPr>
        <w:pStyle w:val="ListParagraph"/>
        <w:ind w:firstLine="0"/>
      </w:pPr>
    </w:p>
    <w:p w:rsidR="001A351B" w:rsidRPr="00D94A7E" w:rsidRDefault="001A351B" w:rsidP="001A351B">
      <w:pPr>
        <w:rPr>
          <w:rFonts w:ascii="Times New Roman" w:hAnsi="Times New Roman" w:cs="Times New Roman"/>
          <w:b/>
        </w:rPr>
      </w:pPr>
      <w:r w:rsidRPr="00D94A7E">
        <w:rPr>
          <w:rFonts w:ascii="Times New Roman" w:hAnsi="Times New Roman" w:cs="Times New Roman"/>
          <w:b/>
        </w:rPr>
        <w:t>Scoring and Grading:</w:t>
      </w:r>
    </w:p>
    <w:p w:rsidR="001A351B" w:rsidRPr="007E18FE" w:rsidRDefault="001A351B" w:rsidP="001A351B">
      <w:pPr>
        <w:pStyle w:val="PlainText"/>
        <w:rPr>
          <w:rFonts w:asciiTheme="minorHAnsi" w:hAnsiTheme="minorHAnsi"/>
        </w:rPr>
      </w:pPr>
      <w:r w:rsidRPr="007E18FE">
        <w:rPr>
          <w:rFonts w:asciiTheme="minorHAnsi" w:hAnsiTheme="minorHAnsi"/>
        </w:rPr>
        <w:lastRenderedPageBreak/>
        <w:t>Quizzes and exercises</w:t>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t>30%</w:t>
      </w:r>
    </w:p>
    <w:p w:rsidR="001A351B" w:rsidRPr="007E18FE" w:rsidRDefault="001A351B" w:rsidP="001A351B">
      <w:pPr>
        <w:pStyle w:val="PlainText"/>
        <w:rPr>
          <w:rFonts w:asciiTheme="minorHAnsi" w:hAnsiTheme="minorHAnsi"/>
        </w:rPr>
      </w:pPr>
      <w:r w:rsidRPr="007E18FE">
        <w:rPr>
          <w:rFonts w:asciiTheme="minorHAnsi" w:hAnsiTheme="minorHAnsi"/>
        </w:rPr>
        <w:t>Assignments</w:t>
      </w:r>
      <w:r w:rsidR="00914657" w:rsidRPr="007E18FE">
        <w:rPr>
          <w:rFonts w:asciiTheme="minorHAnsi" w:hAnsiTheme="minorHAnsi"/>
        </w:rPr>
        <w:t>/labs</w:t>
      </w:r>
      <w:r w:rsidRPr="007E18FE">
        <w:rPr>
          <w:rFonts w:asciiTheme="minorHAnsi" w:hAnsiTheme="minorHAnsi"/>
        </w:rPr>
        <w:t xml:space="preserve">                                                       </w:t>
      </w:r>
      <w:r w:rsidR="007E18FE">
        <w:rPr>
          <w:rFonts w:asciiTheme="minorHAnsi" w:hAnsiTheme="minorHAnsi"/>
        </w:rPr>
        <w:t xml:space="preserve">     </w:t>
      </w:r>
      <w:r w:rsidRPr="007E18FE">
        <w:rPr>
          <w:rFonts w:asciiTheme="minorHAnsi" w:hAnsiTheme="minorHAnsi"/>
        </w:rPr>
        <w:t xml:space="preserve"> 25%</w:t>
      </w:r>
    </w:p>
    <w:p w:rsidR="001A351B" w:rsidRPr="007E18FE" w:rsidRDefault="001A351B" w:rsidP="001A351B">
      <w:pPr>
        <w:pStyle w:val="PlainText"/>
        <w:rPr>
          <w:rFonts w:asciiTheme="minorHAnsi" w:hAnsiTheme="minorHAnsi"/>
        </w:rPr>
      </w:pPr>
      <w:r w:rsidRPr="007E18FE">
        <w:rPr>
          <w:rFonts w:asciiTheme="minorHAnsi" w:hAnsiTheme="minorHAnsi"/>
        </w:rPr>
        <w:t>Midterms and final</w:t>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t>45%</w:t>
      </w:r>
    </w:p>
    <w:p w:rsidR="001A351B" w:rsidRPr="007E18FE" w:rsidRDefault="001A351B" w:rsidP="001A351B">
      <w:pPr>
        <w:pStyle w:val="PlainText"/>
        <w:rPr>
          <w:rFonts w:asciiTheme="minorHAnsi" w:hAnsiTheme="minorHAnsi"/>
        </w:rPr>
      </w:pP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r>
      <w:r w:rsidRPr="007E18FE">
        <w:rPr>
          <w:rFonts w:asciiTheme="minorHAnsi" w:hAnsiTheme="minorHAnsi"/>
        </w:rPr>
        <w:tab/>
        <w:t xml:space="preserve">       ----------</w:t>
      </w:r>
    </w:p>
    <w:p w:rsidR="001A351B" w:rsidRPr="007E18FE" w:rsidRDefault="001A351B" w:rsidP="001A351B">
      <w:pPr>
        <w:pStyle w:val="PlainText"/>
        <w:rPr>
          <w:rFonts w:asciiTheme="minorHAnsi" w:hAnsiTheme="minorHAnsi"/>
        </w:rPr>
      </w:pPr>
      <w:r w:rsidRPr="007E18FE">
        <w:rPr>
          <w:rFonts w:asciiTheme="minorHAnsi" w:hAnsiTheme="minorHAnsi"/>
        </w:rPr>
        <w:t>Total possible score (max):</w:t>
      </w:r>
      <w:r w:rsidRPr="007E18FE">
        <w:rPr>
          <w:rFonts w:asciiTheme="minorHAnsi" w:hAnsiTheme="minorHAnsi"/>
        </w:rPr>
        <w:tab/>
      </w:r>
      <w:r w:rsidRPr="007E18FE">
        <w:rPr>
          <w:rFonts w:asciiTheme="minorHAnsi" w:hAnsiTheme="minorHAnsi"/>
        </w:rPr>
        <w:tab/>
      </w:r>
      <w:r w:rsidRPr="007E18FE">
        <w:rPr>
          <w:rFonts w:asciiTheme="minorHAnsi" w:hAnsiTheme="minorHAnsi"/>
        </w:rPr>
        <w:tab/>
        <w:t xml:space="preserve">          100%</w:t>
      </w:r>
    </w:p>
    <w:p w:rsidR="001A351B" w:rsidRPr="007E18FE" w:rsidRDefault="001A351B" w:rsidP="001A351B">
      <w:pPr>
        <w:pStyle w:val="PlainText"/>
        <w:rPr>
          <w:rFonts w:asciiTheme="minorHAnsi" w:hAnsiTheme="minorHAnsi"/>
        </w:rPr>
      </w:pPr>
    </w:p>
    <w:p w:rsidR="001A351B" w:rsidRPr="007E18FE" w:rsidRDefault="001A351B" w:rsidP="001A351B">
      <w:pPr>
        <w:pStyle w:val="PlainText"/>
        <w:rPr>
          <w:rFonts w:asciiTheme="minorHAnsi" w:hAnsiTheme="minorHAnsi"/>
        </w:rPr>
      </w:pPr>
      <w:r w:rsidRPr="007E18FE">
        <w:rPr>
          <w:rFonts w:asciiTheme="minorHAnsi" w:hAnsiTheme="minorHAnsi"/>
        </w:rPr>
        <w:t>Final grade: (subject to change, scale be adjusted according to the standard of UTRGV)</w:t>
      </w:r>
    </w:p>
    <w:p w:rsidR="001A351B" w:rsidRPr="007E18FE" w:rsidRDefault="001A351B" w:rsidP="001A351B">
      <w:pPr>
        <w:pStyle w:val="PlainText"/>
        <w:rPr>
          <w:rFonts w:asciiTheme="minorHAnsi" w:hAnsiTheme="minorHAnsi"/>
        </w:rPr>
      </w:pPr>
    </w:p>
    <w:p w:rsidR="001A351B" w:rsidRPr="007E18FE" w:rsidRDefault="001A351B" w:rsidP="001A351B">
      <w:pPr>
        <w:pStyle w:val="PlainText"/>
        <w:rPr>
          <w:rFonts w:asciiTheme="minorHAnsi" w:hAnsiTheme="minorHAnsi"/>
        </w:rPr>
      </w:pPr>
      <w:r w:rsidRPr="007E18FE">
        <w:rPr>
          <w:rFonts w:asciiTheme="minorHAnsi" w:hAnsiTheme="minorHAnsi"/>
        </w:rPr>
        <w:t>90-100%</w:t>
      </w:r>
      <w:r w:rsidRPr="007E18FE">
        <w:rPr>
          <w:rFonts w:asciiTheme="minorHAnsi" w:hAnsiTheme="minorHAnsi"/>
        </w:rPr>
        <w:tab/>
        <w:t>A</w:t>
      </w:r>
    </w:p>
    <w:p w:rsidR="001A351B" w:rsidRPr="007E18FE" w:rsidRDefault="001A351B" w:rsidP="001A351B">
      <w:pPr>
        <w:pStyle w:val="PlainText"/>
        <w:rPr>
          <w:rFonts w:asciiTheme="minorHAnsi" w:hAnsiTheme="minorHAnsi"/>
        </w:rPr>
      </w:pPr>
      <w:r w:rsidRPr="007E18FE">
        <w:rPr>
          <w:rFonts w:asciiTheme="minorHAnsi" w:hAnsiTheme="minorHAnsi"/>
        </w:rPr>
        <w:t>80-89%</w:t>
      </w:r>
      <w:r w:rsidRPr="007E18FE">
        <w:rPr>
          <w:rFonts w:asciiTheme="minorHAnsi" w:hAnsiTheme="minorHAnsi"/>
        </w:rPr>
        <w:tab/>
        <w:t>B</w:t>
      </w:r>
    </w:p>
    <w:p w:rsidR="001A351B" w:rsidRPr="007E18FE" w:rsidRDefault="001A351B" w:rsidP="001A351B">
      <w:pPr>
        <w:pStyle w:val="PlainText"/>
        <w:rPr>
          <w:rFonts w:asciiTheme="minorHAnsi" w:hAnsiTheme="minorHAnsi"/>
        </w:rPr>
      </w:pPr>
      <w:r w:rsidRPr="007E18FE">
        <w:rPr>
          <w:rFonts w:asciiTheme="minorHAnsi" w:hAnsiTheme="minorHAnsi"/>
        </w:rPr>
        <w:t>70-79%</w:t>
      </w:r>
      <w:r w:rsidRPr="007E18FE">
        <w:rPr>
          <w:rFonts w:asciiTheme="minorHAnsi" w:hAnsiTheme="minorHAnsi"/>
        </w:rPr>
        <w:tab/>
        <w:t>C</w:t>
      </w:r>
    </w:p>
    <w:p w:rsidR="001A351B" w:rsidRPr="007E18FE" w:rsidRDefault="001A351B" w:rsidP="001A351B">
      <w:pPr>
        <w:pStyle w:val="PlainText"/>
        <w:rPr>
          <w:rFonts w:asciiTheme="minorHAnsi" w:hAnsiTheme="minorHAnsi"/>
        </w:rPr>
      </w:pPr>
      <w:r w:rsidRPr="007E18FE">
        <w:rPr>
          <w:rFonts w:asciiTheme="minorHAnsi" w:hAnsiTheme="minorHAnsi"/>
        </w:rPr>
        <w:t>60-69%</w:t>
      </w:r>
      <w:r w:rsidRPr="007E18FE">
        <w:rPr>
          <w:rFonts w:asciiTheme="minorHAnsi" w:hAnsiTheme="minorHAnsi"/>
        </w:rPr>
        <w:tab/>
        <w:t>D</w:t>
      </w:r>
    </w:p>
    <w:p w:rsidR="001A351B" w:rsidRPr="007E18FE" w:rsidRDefault="001A351B" w:rsidP="001A351B">
      <w:pPr>
        <w:pStyle w:val="PlainText"/>
        <w:rPr>
          <w:rFonts w:asciiTheme="minorHAnsi" w:hAnsiTheme="minorHAnsi"/>
        </w:rPr>
      </w:pPr>
      <w:r w:rsidRPr="007E18FE">
        <w:rPr>
          <w:rFonts w:asciiTheme="minorHAnsi" w:hAnsiTheme="minorHAnsi"/>
        </w:rPr>
        <w:t>0-59%</w:t>
      </w:r>
      <w:r w:rsidRPr="007E18FE">
        <w:rPr>
          <w:rFonts w:asciiTheme="minorHAnsi" w:hAnsiTheme="minorHAnsi"/>
        </w:rPr>
        <w:tab/>
      </w:r>
      <w:r w:rsidRPr="007E18FE">
        <w:rPr>
          <w:rFonts w:asciiTheme="minorHAnsi" w:hAnsiTheme="minorHAnsi"/>
        </w:rPr>
        <w:tab/>
        <w:t>F</w:t>
      </w:r>
    </w:p>
    <w:p w:rsidR="001A351B" w:rsidRPr="007E18FE" w:rsidRDefault="001A351B" w:rsidP="001A351B">
      <w:pPr>
        <w:pStyle w:val="PlainText"/>
        <w:rPr>
          <w:rFonts w:asciiTheme="minorHAnsi" w:hAnsiTheme="minorHAnsi"/>
        </w:rPr>
      </w:pPr>
    </w:p>
    <w:p w:rsidR="001A351B" w:rsidRPr="001A351B" w:rsidRDefault="001A351B" w:rsidP="001A351B">
      <w:pPr>
        <w:pStyle w:val="PlainText"/>
        <w:rPr>
          <w:rFonts w:ascii="Times New Roman" w:hAnsi="Times New Roman"/>
          <w:b/>
        </w:rPr>
      </w:pPr>
      <w:r w:rsidRPr="001A351B">
        <w:rPr>
          <w:rFonts w:ascii="Times New Roman" w:hAnsi="Times New Roman"/>
          <w:b/>
        </w:rPr>
        <w:t>*** The syllabus is not a binding contract. All terms are subject to change. The instructor has the final say. ***</w:t>
      </w:r>
    </w:p>
    <w:p w:rsidR="00334891" w:rsidRPr="001A351B" w:rsidRDefault="00334891" w:rsidP="001A351B">
      <w:pPr>
        <w:rPr>
          <w:rFonts w:ascii="Times New Roman" w:hAnsi="Times New Roman" w:cs="Times New Roman"/>
        </w:rPr>
      </w:pPr>
    </w:p>
    <w:p w:rsidR="00056B7D" w:rsidRPr="001B1A80" w:rsidRDefault="00056B7D" w:rsidP="00056B7D">
      <w:pPr>
        <w:spacing w:before="0" w:after="0" w:line="240" w:lineRule="auto"/>
        <w:rPr>
          <w:rFonts w:ascii="Cambria" w:hAnsi="Cambria"/>
          <w:b/>
          <w:sz w:val="22"/>
          <w:szCs w:val="22"/>
        </w:rPr>
      </w:pPr>
      <w:r w:rsidRPr="001B1A80">
        <w:rPr>
          <w:rFonts w:ascii="Cambria" w:hAnsi="Cambria"/>
          <w:b/>
          <w:sz w:val="22"/>
          <w:szCs w:val="22"/>
        </w:rPr>
        <w:t>Calendar of Activities</w:t>
      </w:r>
    </w:p>
    <w:p w:rsidR="00C97C6E" w:rsidRPr="00907E33" w:rsidRDefault="00C97C6E" w:rsidP="00C97C6E">
      <w:pPr>
        <w:spacing w:before="0" w:after="0" w:line="240" w:lineRule="auto"/>
        <w:rPr>
          <w:rFonts w:cstheme="minorHAnsi"/>
          <w:sz w:val="22"/>
          <w:szCs w:val="22"/>
          <w:u w:val="single"/>
        </w:rPr>
      </w:pPr>
      <w:r w:rsidRPr="00907E33">
        <w:rPr>
          <w:rFonts w:cstheme="minorHAnsi"/>
          <w:sz w:val="22"/>
          <w:szCs w:val="22"/>
        </w:rPr>
        <w:t xml:space="preserve">The UTRGV academic calendar can be found at </w:t>
      </w:r>
      <w:hyperlink r:id="rId9">
        <w:r w:rsidRPr="00907E33">
          <w:rPr>
            <w:rStyle w:val="Hyperlink"/>
            <w:rFonts w:cstheme="minorHAnsi"/>
            <w:sz w:val="22"/>
            <w:szCs w:val="22"/>
          </w:rPr>
          <w:t>https://my.utrgv.edu/home</w:t>
        </w:r>
      </w:hyperlink>
      <w:r w:rsidRPr="00907E33">
        <w:rPr>
          <w:rFonts w:cstheme="minorHAnsi"/>
          <w:sz w:val="22"/>
          <w:szCs w:val="22"/>
        </w:rPr>
        <w:t xml:space="preserve">  at the bottom of the screen, </w:t>
      </w:r>
      <w:r w:rsidRPr="00907E33">
        <w:rPr>
          <w:rFonts w:cstheme="minorHAnsi"/>
          <w:i/>
          <w:iCs/>
          <w:sz w:val="22"/>
          <w:szCs w:val="22"/>
        </w:rPr>
        <w:t>prior to login</w:t>
      </w:r>
      <w:r w:rsidRPr="00907E33">
        <w:rPr>
          <w:rFonts w:cstheme="minorHAnsi"/>
          <w:sz w:val="22"/>
          <w:szCs w:val="22"/>
        </w:rPr>
        <w:t xml:space="preserve">. Some important dates for </w:t>
      </w:r>
      <w:proofErr w:type="gramStart"/>
      <w:r w:rsidRPr="00907E33">
        <w:rPr>
          <w:rFonts w:cstheme="minorHAnsi"/>
          <w:sz w:val="22"/>
          <w:szCs w:val="22"/>
        </w:rPr>
        <w:t>Spring</w:t>
      </w:r>
      <w:proofErr w:type="gramEnd"/>
      <w:r w:rsidRPr="00907E33">
        <w:rPr>
          <w:rFonts w:cstheme="minorHAnsi"/>
          <w:sz w:val="22"/>
          <w:szCs w:val="22"/>
        </w:rPr>
        <w:t xml:space="preserve"> 2020 include:</w:t>
      </w:r>
    </w:p>
    <w:p w:rsidR="00C97C6E" w:rsidRPr="00907E33" w:rsidRDefault="00C97C6E" w:rsidP="00C97C6E">
      <w:pPr>
        <w:spacing w:before="0" w:after="0" w:line="240" w:lineRule="auto"/>
        <w:rPr>
          <w:rFonts w:cstheme="minorHAnsi"/>
          <w:sz w:val="10"/>
          <w:szCs w:val="10"/>
        </w:rPr>
      </w:pP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January 13</w:t>
      </w:r>
      <w:r w:rsidRPr="00907E33">
        <w:rPr>
          <w:rFonts w:cstheme="minorHAnsi"/>
          <w:sz w:val="22"/>
          <w:szCs w:val="22"/>
        </w:rPr>
        <w:tab/>
      </w:r>
      <w:r w:rsidRPr="00907E33">
        <w:rPr>
          <w:rFonts w:cstheme="minorHAnsi"/>
          <w:sz w:val="22"/>
          <w:szCs w:val="22"/>
        </w:rPr>
        <w:tab/>
        <w:t>First day of classes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January 16</w:t>
      </w:r>
      <w:r w:rsidRPr="00907E33">
        <w:rPr>
          <w:rFonts w:cstheme="minorHAnsi"/>
          <w:sz w:val="22"/>
          <w:szCs w:val="22"/>
        </w:rPr>
        <w:tab/>
      </w:r>
      <w:r w:rsidRPr="00907E33">
        <w:rPr>
          <w:rFonts w:cstheme="minorHAnsi"/>
          <w:sz w:val="22"/>
          <w:szCs w:val="22"/>
        </w:rPr>
        <w:tab/>
        <w:t xml:space="preserve">Last day to add a course or register for </w:t>
      </w:r>
      <w:proofErr w:type="gramStart"/>
      <w:r w:rsidRPr="00907E33">
        <w:rPr>
          <w:rFonts w:cstheme="minorHAnsi"/>
          <w:sz w:val="22"/>
          <w:szCs w:val="22"/>
        </w:rPr>
        <w:t>Spring</w:t>
      </w:r>
      <w:proofErr w:type="gramEnd"/>
      <w:r w:rsidRPr="00907E33">
        <w:rPr>
          <w:rFonts w:cstheme="minorHAnsi"/>
          <w:sz w:val="22"/>
          <w:szCs w:val="22"/>
        </w:rPr>
        <w:t xml:space="preserve"> 2020</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January 20</w:t>
      </w:r>
      <w:r w:rsidRPr="00907E33">
        <w:rPr>
          <w:rFonts w:cstheme="minorHAnsi"/>
          <w:sz w:val="22"/>
          <w:szCs w:val="22"/>
        </w:rPr>
        <w:tab/>
      </w:r>
      <w:r w:rsidRPr="00907E33">
        <w:rPr>
          <w:rFonts w:cstheme="minorHAnsi"/>
          <w:sz w:val="22"/>
          <w:szCs w:val="22"/>
        </w:rPr>
        <w:tab/>
        <w:t>Martin Luther King Jr. Holiday – NO classes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March 9-14</w:t>
      </w:r>
      <w:r w:rsidRPr="00907E33">
        <w:rPr>
          <w:rFonts w:cstheme="minorHAnsi"/>
          <w:sz w:val="22"/>
          <w:szCs w:val="22"/>
        </w:rPr>
        <w:tab/>
      </w:r>
      <w:r w:rsidRPr="00907E33">
        <w:rPr>
          <w:rFonts w:cstheme="minorHAnsi"/>
          <w:sz w:val="22"/>
          <w:szCs w:val="22"/>
        </w:rPr>
        <w:tab/>
        <w:t>Spring Break – NO classes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April 9</w:t>
      </w:r>
      <w:r w:rsidRPr="00907E33">
        <w:rPr>
          <w:rFonts w:cstheme="minorHAnsi"/>
          <w:sz w:val="22"/>
          <w:szCs w:val="22"/>
        </w:rPr>
        <w:tab/>
      </w:r>
      <w:r w:rsidRPr="00907E33">
        <w:rPr>
          <w:rFonts w:cstheme="minorHAnsi"/>
          <w:sz w:val="22"/>
          <w:szCs w:val="22"/>
        </w:rPr>
        <w:tab/>
      </w:r>
      <w:r w:rsidRPr="00907E33">
        <w:rPr>
          <w:rFonts w:cstheme="minorHAnsi"/>
          <w:sz w:val="22"/>
          <w:szCs w:val="22"/>
        </w:rPr>
        <w:tab/>
        <w:t>Last day to drop a course; will count toward the 6-drop rule</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April 10-11</w:t>
      </w:r>
      <w:r w:rsidRPr="00907E33">
        <w:rPr>
          <w:rFonts w:cstheme="minorHAnsi"/>
          <w:sz w:val="22"/>
          <w:szCs w:val="22"/>
        </w:rPr>
        <w:tab/>
      </w:r>
      <w:r w:rsidRPr="00907E33">
        <w:rPr>
          <w:rFonts w:cstheme="minorHAnsi"/>
          <w:sz w:val="22"/>
          <w:szCs w:val="22"/>
        </w:rPr>
        <w:tab/>
        <w:t>Easter Holiday – NO classes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April 30</w:t>
      </w:r>
      <w:r w:rsidRPr="00907E33">
        <w:rPr>
          <w:rFonts w:cstheme="minorHAnsi"/>
          <w:sz w:val="22"/>
          <w:szCs w:val="22"/>
        </w:rPr>
        <w:tab/>
      </w:r>
      <w:r w:rsidRPr="00907E33">
        <w:rPr>
          <w:rFonts w:cstheme="minorHAnsi"/>
          <w:sz w:val="22"/>
          <w:szCs w:val="22"/>
        </w:rPr>
        <w:tab/>
      </w:r>
      <w:r>
        <w:rPr>
          <w:rFonts w:cstheme="minorHAnsi"/>
          <w:sz w:val="22"/>
          <w:szCs w:val="22"/>
        </w:rPr>
        <w:tab/>
      </w:r>
      <w:r w:rsidRPr="00907E33">
        <w:rPr>
          <w:rFonts w:cstheme="minorHAnsi"/>
          <w:sz w:val="22"/>
          <w:szCs w:val="22"/>
        </w:rPr>
        <w:t>Study Day – NO classes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May 1-7</w:t>
      </w:r>
      <w:r w:rsidRPr="00907E33">
        <w:rPr>
          <w:rFonts w:cstheme="minorHAnsi"/>
          <w:sz w:val="22"/>
          <w:szCs w:val="22"/>
        </w:rPr>
        <w:tab/>
      </w:r>
      <w:r w:rsidRPr="00907E33">
        <w:rPr>
          <w:rFonts w:cstheme="minorHAnsi"/>
          <w:sz w:val="22"/>
          <w:szCs w:val="22"/>
        </w:rPr>
        <w:tab/>
        <w:t>Final Exams</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May 7</w:t>
      </w:r>
      <w:r w:rsidRPr="00907E33">
        <w:rPr>
          <w:rFonts w:cstheme="minorHAnsi"/>
          <w:sz w:val="22"/>
          <w:szCs w:val="22"/>
        </w:rPr>
        <w:tab/>
      </w:r>
      <w:r w:rsidRPr="00907E33">
        <w:rPr>
          <w:rFonts w:cstheme="minorHAnsi"/>
          <w:sz w:val="22"/>
          <w:szCs w:val="22"/>
        </w:rPr>
        <w:tab/>
      </w:r>
      <w:r w:rsidRPr="00907E33">
        <w:rPr>
          <w:rFonts w:cstheme="minorHAnsi"/>
          <w:sz w:val="22"/>
          <w:szCs w:val="22"/>
        </w:rPr>
        <w:tab/>
      </w:r>
      <w:proofErr w:type="gramStart"/>
      <w:r w:rsidRPr="00907E33">
        <w:rPr>
          <w:rFonts w:cstheme="minorHAnsi"/>
          <w:sz w:val="22"/>
          <w:szCs w:val="22"/>
        </w:rPr>
        <w:t>Spring</w:t>
      </w:r>
      <w:proofErr w:type="gramEnd"/>
      <w:r w:rsidRPr="00907E33">
        <w:rPr>
          <w:rFonts w:cstheme="minorHAnsi"/>
          <w:sz w:val="22"/>
          <w:szCs w:val="22"/>
        </w:rPr>
        <w:t xml:space="preserve"> classes end; Official last day of the term</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May 8-9</w:t>
      </w:r>
      <w:r w:rsidRPr="00907E33">
        <w:rPr>
          <w:rFonts w:cstheme="minorHAnsi"/>
          <w:sz w:val="22"/>
          <w:szCs w:val="22"/>
        </w:rPr>
        <w:tab/>
      </w:r>
      <w:r w:rsidRPr="00907E33">
        <w:rPr>
          <w:rFonts w:cstheme="minorHAnsi"/>
          <w:sz w:val="22"/>
          <w:szCs w:val="22"/>
        </w:rPr>
        <w:tab/>
        <w:t>Commencement Exercises</w:t>
      </w:r>
    </w:p>
    <w:p w:rsidR="00C97C6E" w:rsidRPr="00D766E8" w:rsidRDefault="00C97C6E" w:rsidP="00C97C6E">
      <w:pPr>
        <w:spacing w:before="0" w:after="0" w:line="240" w:lineRule="auto"/>
        <w:rPr>
          <w:rFonts w:cstheme="minorHAnsi"/>
          <w:b/>
        </w:rPr>
      </w:pPr>
    </w:p>
    <w:p w:rsidR="00C97C6E" w:rsidRPr="006A0B62" w:rsidRDefault="00C97C6E" w:rsidP="00C97C6E">
      <w:pPr>
        <w:spacing w:before="0" w:after="0" w:line="240" w:lineRule="auto"/>
        <w:rPr>
          <w:rFonts w:cstheme="minorHAnsi"/>
          <w:b/>
          <w:caps/>
          <w:sz w:val="22"/>
          <w:szCs w:val="22"/>
        </w:rPr>
      </w:pPr>
      <w:r w:rsidRPr="006A0B62">
        <w:rPr>
          <w:rFonts w:cstheme="minorHAnsi"/>
          <w:b/>
          <w:caps/>
          <w:sz w:val="22"/>
          <w:szCs w:val="22"/>
        </w:rPr>
        <w:t>Other Course Information</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 xml:space="preserve">In this section, please provide any other information that is pertinent to your course and your expectations for students. </w:t>
      </w:r>
    </w:p>
    <w:p w:rsidR="00C97C6E" w:rsidRPr="00362757" w:rsidRDefault="00C97C6E" w:rsidP="00C97C6E">
      <w:pPr>
        <w:spacing w:before="0" w:after="0" w:line="240" w:lineRule="auto"/>
        <w:rPr>
          <w:rFonts w:cstheme="minorHAnsi"/>
          <w:b/>
          <w:sz w:val="16"/>
          <w:szCs w:val="16"/>
        </w:rPr>
      </w:pPr>
    </w:p>
    <w:p w:rsidR="00C97C6E" w:rsidRPr="006A0B62" w:rsidRDefault="00C97C6E" w:rsidP="00C97C6E">
      <w:pPr>
        <w:spacing w:before="0" w:after="0" w:line="240" w:lineRule="auto"/>
        <w:rPr>
          <w:rFonts w:cstheme="minorHAnsi"/>
          <w:b/>
          <w:i/>
          <w:iCs/>
          <w:caps/>
          <w:sz w:val="22"/>
          <w:szCs w:val="22"/>
        </w:rPr>
      </w:pPr>
      <w:r w:rsidRPr="006A0B62">
        <w:rPr>
          <w:rFonts w:cstheme="minorHAnsi"/>
          <w:b/>
          <w:i/>
          <w:iCs/>
          <w:caps/>
          <w:sz w:val="22"/>
          <w:szCs w:val="22"/>
        </w:rPr>
        <w:t>UTRGV Policy Statements</w:t>
      </w:r>
    </w:p>
    <w:p w:rsidR="00C97C6E" w:rsidRPr="007E7353" w:rsidRDefault="00C97C6E" w:rsidP="00C97C6E">
      <w:pPr>
        <w:spacing w:before="0" w:after="0" w:line="240" w:lineRule="auto"/>
        <w:rPr>
          <w:rFonts w:cstheme="minorHAnsi"/>
          <w:color w:val="F05023"/>
          <w:sz w:val="22"/>
          <w:szCs w:val="22"/>
        </w:rPr>
      </w:pPr>
      <w:r w:rsidRPr="006A0B62">
        <w:rPr>
          <w:rFonts w:cstheme="minorHAnsi"/>
          <w:iCs/>
          <w:color w:val="F05023"/>
          <w:sz w:val="22"/>
          <w:szCs w:val="22"/>
        </w:rPr>
        <w:t>The UTRGV disability accommodation, mandatory course evaluation statement and sexual misconduct statement are required on all syllabi.</w:t>
      </w:r>
      <w:r w:rsidRPr="007E7353">
        <w:rPr>
          <w:rFonts w:cstheme="minorHAnsi"/>
          <w:color w:val="F05023"/>
          <w:sz w:val="22"/>
          <w:szCs w:val="22"/>
        </w:rPr>
        <w:t xml:space="preserve"> </w:t>
      </w:r>
      <w:r w:rsidRPr="007E7353">
        <w:rPr>
          <w:rFonts w:cstheme="minorHAnsi"/>
          <w:color w:val="808080" w:themeColor="background1" w:themeShade="80"/>
          <w:sz w:val="22"/>
          <w:szCs w:val="22"/>
        </w:rPr>
        <w:t>Additional policy statements are optional, such as those covering attendance, academic integrity, and course drop policies.</w:t>
      </w:r>
    </w:p>
    <w:p w:rsidR="00C97C6E" w:rsidRPr="00362757" w:rsidRDefault="00C97C6E" w:rsidP="00C97C6E">
      <w:pPr>
        <w:spacing w:before="0" w:after="0" w:line="240" w:lineRule="auto"/>
        <w:rPr>
          <w:rFonts w:cstheme="minorHAnsi"/>
          <w:color w:val="808080" w:themeColor="background1" w:themeShade="80"/>
          <w:sz w:val="16"/>
          <w:szCs w:val="16"/>
        </w:rPr>
      </w:pPr>
    </w:p>
    <w:p w:rsidR="00C97C6E" w:rsidRPr="006A0B62" w:rsidRDefault="00C97C6E" w:rsidP="00C97C6E">
      <w:pPr>
        <w:spacing w:before="0" w:after="0" w:line="240" w:lineRule="auto"/>
        <w:rPr>
          <w:rFonts w:eastAsia="Calibri" w:cstheme="minorHAnsi"/>
          <w:color w:val="808080" w:themeColor="background1" w:themeShade="80"/>
          <w:sz w:val="22"/>
          <w:szCs w:val="22"/>
        </w:rPr>
      </w:pPr>
      <w:r w:rsidRPr="00907E33">
        <w:rPr>
          <w:rFonts w:eastAsia="Calibri" w:cstheme="minorHAnsi"/>
          <w:b/>
          <w:bCs/>
          <w:sz w:val="22"/>
          <w:szCs w:val="22"/>
          <w:u w:val="single"/>
        </w:rPr>
        <w:t>STUDENTS WITH DISABILITIES</w:t>
      </w:r>
      <w:r w:rsidRPr="00907E33">
        <w:rPr>
          <w:rFonts w:eastAsia="Calibri" w:cstheme="minorHAnsi"/>
          <w:b/>
          <w:bCs/>
          <w:sz w:val="22"/>
          <w:szCs w:val="22"/>
        </w:rPr>
        <w:t>:</w:t>
      </w:r>
      <w:r w:rsidRPr="00907E33">
        <w:rPr>
          <w:rFonts w:eastAsia="Calibri" w:cstheme="minorHAnsi"/>
          <w:sz w:val="22"/>
          <w:szCs w:val="22"/>
        </w:rPr>
        <w:t xml:space="preserve"> </w:t>
      </w:r>
      <w:r w:rsidRPr="006A0B62">
        <w:rPr>
          <w:rFonts w:eastAsia="Calibri" w:cstheme="minorHAnsi"/>
          <w:color w:val="F05023"/>
          <w:sz w:val="22"/>
          <w:szCs w:val="22"/>
        </w:rPr>
        <w:t>Required on all syllabi. Do not modify.</w:t>
      </w:r>
    </w:p>
    <w:p w:rsidR="00C97C6E" w:rsidRPr="00907E33" w:rsidRDefault="00C97C6E" w:rsidP="00C97C6E">
      <w:pPr>
        <w:spacing w:before="0" w:after="0" w:line="240" w:lineRule="auto"/>
        <w:rPr>
          <w:rFonts w:eastAsia="Calibri" w:cstheme="minorHAnsi"/>
          <w:sz w:val="22"/>
          <w:szCs w:val="22"/>
        </w:rPr>
      </w:pPr>
      <w:bookmarkStart w:id="1" w:name="_Hlk14087121"/>
      <w:r w:rsidRPr="004058DA">
        <w:rPr>
          <w:rFonts w:eastAsia="Calibri" w:cstheme="minorHAnsi"/>
          <w:sz w:val="22"/>
          <w:szCs w:val="22"/>
        </w:rPr>
        <w:t>Students with a documented disability (physical, psychological, learning, or other disability which affects academic performance) who would like to receive academic accommodations should contact</w:t>
      </w:r>
      <w:r w:rsidRPr="00907E33">
        <w:rPr>
          <w:rFonts w:eastAsia="Calibri" w:cstheme="minorHAnsi"/>
          <w:sz w:val="22"/>
          <w:szCs w:val="22"/>
        </w:rPr>
        <w:t xml:space="preserve"> </w:t>
      </w:r>
      <w:r w:rsidRPr="004058DA">
        <w:rPr>
          <w:rFonts w:eastAsia="Calibri" w:cstheme="minorHAnsi"/>
          <w:b/>
          <w:bCs/>
          <w:sz w:val="22"/>
          <w:szCs w:val="22"/>
        </w:rPr>
        <w:t>Student Accessibility Services (SAS)</w:t>
      </w:r>
      <w:r w:rsidRPr="00907E33">
        <w:rPr>
          <w:rFonts w:eastAsia="Calibri" w:cstheme="minorHAnsi"/>
          <w:b/>
          <w:bCs/>
          <w:sz w:val="22"/>
          <w:szCs w:val="22"/>
        </w:rPr>
        <w:t xml:space="preserve"> </w:t>
      </w:r>
      <w:r w:rsidRPr="004058DA">
        <w:rPr>
          <w:rFonts w:eastAsia="Calibri" w:cstheme="minorHAnsi"/>
          <w:sz w:val="22"/>
          <w:szCs w:val="22"/>
        </w:rPr>
        <w:t>for additional information</w:t>
      </w:r>
      <w:r w:rsidRPr="00907E33">
        <w:rPr>
          <w:rFonts w:eastAsia="Calibri" w:cstheme="minorHAnsi"/>
          <w:sz w:val="22"/>
          <w:szCs w:val="22"/>
        </w:rPr>
        <w:t>.</w:t>
      </w:r>
      <w:r w:rsidRPr="004058DA">
        <w:rPr>
          <w:rFonts w:eastAsia="Calibri" w:cstheme="minorHAnsi"/>
          <w:sz w:val="22"/>
          <w:szCs w:val="22"/>
        </w:rPr>
        <w:t xml:space="preserve"> In order for accommodation requests to be considered for approval, the student is responsible for providing sufficient documentation of the disability to SAS and participating in an interactive discussion with SAS staff. Accommodations may be requested at any </w:t>
      </w:r>
      <w:r w:rsidRPr="00907E33">
        <w:rPr>
          <w:rFonts w:eastAsia="Calibri" w:cstheme="minorHAnsi"/>
          <w:sz w:val="22"/>
          <w:szCs w:val="22"/>
        </w:rPr>
        <w:t>time but</w:t>
      </w:r>
      <w:r w:rsidRPr="004058DA">
        <w:rPr>
          <w:rFonts w:eastAsia="Calibri" w:cstheme="minorHAnsi"/>
          <w:sz w:val="22"/>
          <w:szCs w:val="22"/>
        </w:rPr>
        <w:t xml:space="preserve"> are not retroactive.</w:t>
      </w:r>
      <w:r w:rsidRPr="00907E33">
        <w:rPr>
          <w:rFonts w:eastAsia="Calibri" w:cstheme="minorHAnsi"/>
          <w:sz w:val="22"/>
          <w:szCs w:val="22"/>
        </w:rPr>
        <w:t xml:space="preserve"> </w:t>
      </w:r>
      <w:r w:rsidRPr="004058DA">
        <w:rPr>
          <w:rFonts w:eastAsia="Calibri" w:cstheme="minorHAnsi"/>
          <w:sz w:val="22"/>
          <w:szCs w:val="22"/>
        </w:rPr>
        <w:t>Please contact SAS early in the semester/module for guidance. Students who</w:t>
      </w:r>
      <w:r w:rsidRPr="00907E33">
        <w:rPr>
          <w:rFonts w:eastAsia="Calibri" w:cstheme="minorHAnsi"/>
          <w:sz w:val="22"/>
          <w:szCs w:val="22"/>
        </w:rPr>
        <w:t xml:space="preserve"> </w:t>
      </w:r>
      <w:r w:rsidRPr="004058DA">
        <w:rPr>
          <w:rFonts w:eastAsia="Calibri" w:cstheme="minorHAnsi"/>
          <w:sz w:val="22"/>
          <w:szCs w:val="22"/>
        </w:rPr>
        <w:t>experience</w:t>
      </w:r>
      <w:r w:rsidRPr="00907E33">
        <w:rPr>
          <w:rFonts w:eastAsia="Calibri" w:cstheme="minorHAnsi"/>
          <w:sz w:val="22"/>
          <w:szCs w:val="22"/>
        </w:rPr>
        <w:t xml:space="preserve"> </w:t>
      </w:r>
      <w:r w:rsidRPr="004058DA">
        <w:rPr>
          <w:rFonts w:eastAsia="Calibri" w:cstheme="minorHAnsi"/>
          <w:sz w:val="22"/>
          <w:szCs w:val="22"/>
        </w:rPr>
        <w:t>a broken bone, severe injury, or undergo surgery may also be eligible for temporary accommodations.</w:t>
      </w:r>
    </w:p>
    <w:p w:rsidR="00C97C6E" w:rsidRPr="00362757" w:rsidRDefault="00C97C6E" w:rsidP="00C97C6E">
      <w:pPr>
        <w:spacing w:before="0" w:after="0" w:line="240" w:lineRule="auto"/>
        <w:rPr>
          <w:rFonts w:eastAsia="Calibri" w:cstheme="minorHAnsi"/>
          <w:sz w:val="16"/>
          <w:szCs w:val="16"/>
        </w:rPr>
      </w:pPr>
    </w:p>
    <w:p w:rsidR="00C97C6E" w:rsidRPr="004058DA" w:rsidRDefault="00C97C6E" w:rsidP="00C97C6E">
      <w:pPr>
        <w:spacing w:before="0" w:after="0" w:line="240" w:lineRule="auto"/>
        <w:rPr>
          <w:rFonts w:eastAsia="Calibri" w:cstheme="minorHAnsi"/>
          <w:b/>
          <w:bCs/>
          <w:sz w:val="22"/>
          <w:szCs w:val="22"/>
        </w:rPr>
      </w:pPr>
      <w:r w:rsidRPr="004058DA">
        <w:rPr>
          <w:rFonts w:eastAsia="Calibri" w:cstheme="minorHAnsi"/>
          <w:b/>
          <w:bCs/>
          <w:sz w:val="22"/>
          <w:szCs w:val="22"/>
        </w:rPr>
        <w:t>Pregnancy, Pregnancy-related, and Parenting Accommodations</w:t>
      </w:r>
    </w:p>
    <w:p w:rsidR="00C97C6E" w:rsidRPr="004058DA" w:rsidRDefault="00C97C6E" w:rsidP="00C97C6E">
      <w:pPr>
        <w:spacing w:before="0" w:after="0" w:line="240" w:lineRule="auto"/>
        <w:rPr>
          <w:rFonts w:eastAsia="Calibri" w:cstheme="minorHAnsi"/>
          <w:sz w:val="22"/>
          <w:szCs w:val="22"/>
        </w:rPr>
      </w:pPr>
      <w:r w:rsidRPr="004058DA">
        <w:rPr>
          <w:rFonts w:eastAsia="Calibri" w:cstheme="minorHAnsi"/>
          <w:sz w:val="22"/>
          <w:szCs w:val="22"/>
        </w:rPr>
        <w:lastRenderedPageBreak/>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rsidR="00C97C6E" w:rsidRPr="00362757" w:rsidRDefault="00C97C6E" w:rsidP="00C97C6E">
      <w:pPr>
        <w:spacing w:before="0" w:after="0" w:line="240" w:lineRule="auto"/>
        <w:rPr>
          <w:rFonts w:eastAsia="Calibri" w:cstheme="minorHAnsi"/>
          <w:b/>
          <w:bCs/>
          <w:sz w:val="16"/>
          <w:szCs w:val="16"/>
        </w:rPr>
      </w:pPr>
    </w:p>
    <w:p w:rsidR="00C97C6E" w:rsidRPr="004058DA" w:rsidRDefault="00C97C6E" w:rsidP="00C97C6E">
      <w:pPr>
        <w:spacing w:before="0" w:after="0" w:line="240" w:lineRule="auto"/>
        <w:rPr>
          <w:rFonts w:eastAsia="Calibri" w:cstheme="minorHAnsi"/>
          <w:b/>
          <w:bCs/>
          <w:sz w:val="22"/>
          <w:szCs w:val="22"/>
        </w:rPr>
      </w:pPr>
      <w:r w:rsidRPr="004058DA">
        <w:rPr>
          <w:rFonts w:eastAsia="Calibri" w:cstheme="minorHAnsi"/>
          <w:b/>
          <w:bCs/>
          <w:sz w:val="22"/>
          <w:szCs w:val="22"/>
        </w:rPr>
        <w:t>Student Accessibility Services:</w:t>
      </w:r>
    </w:p>
    <w:p w:rsidR="00C97C6E" w:rsidRPr="004058DA" w:rsidRDefault="00C97C6E" w:rsidP="00C97C6E">
      <w:pPr>
        <w:spacing w:before="0" w:after="0" w:line="240" w:lineRule="auto"/>
        <w:rPr>
          <w:rFonts w:eastAsia="Calibri" w:cstheme="minorHAnsi"/>
          <w:sz w:val="22"/>
          <w:szCs w:val="22"/>
        </w:rPr>
      </w:pPr>
      <w:r w:rsidRPr="004058DA">
        <w:rPr>
          <w:rFonts w:eastAsia="Calibri" w:cstheme="minorHAnsi"/>
          <w:b/>
          <w:bCs/>
          <w:sz w:val="22"/>
          <w:szCs w:val="22"/>
        </w:rPr>
        <w:t>Brownsville Campus</w:t>
      </w:r>
      <w:r w:rsidRPr="004058DA">
        <w:rPr>
          <w:rFonts w:eastAsia="Calibri" w:cstheme="minorHAnsi"/>
          <w:sz w:val="22"/>
          <w:szCs w:val="22"/>
        </w:rPr>
        <w:t xml:space="preserve">: Student Accessibility Services is located in 1.107 in the Music and Learning Center building (BMSLC) and can be contacted by phone at (956) 882-7374 or via email at </w:t>
      </w:r>
      <w:hyperlink r:id="rId10" w:history="1">
        <w:r w:rsidRPr="004058DA">
          <w:rPr>
            <w:rStyle w:val="Hyperlink"/>
            <w:rFonts w:eastAsia="Calibri" w:cstheme="minorHAnsi"/>
            <w:sz w:val="22"/>
            <w:szCs w:val="22"/>
          </w:rPr>
          <w:t>ability@utrgv.edu</w:t>
        </w:r>
      </w:hyperlink>
      <w:r w:rsidRPr="004058DA">
        <w:rPr>
          <w:rFonts w:eastAsia="Calibri" w:cstheme="minorHAnsi"/>
          <w:sz w:val="22"/>
          <w:szCs w:val="22"/>
        </w:rPr>
        <w:t xml:space="preserve">. </w:t>
      </w:r>
    </w:p>
    <w:p w:rsidR="00C97C6E" w:rsidRPr="00362757" w:rsidRDefault="00C97C6E" w:rsidP="00C97C6E">
      <w:pPr>
        <w:spacing w:before="0" w:after="0" w:line="240" w:lineRule="auto"/>
        <w:rPr>
          <w:rFonts w:eastAsia="Calibri" w:cstheme="minorHAnsi"/>
          <w:b/>
          <w:bCs/>
          <w:sz w:val="16"/>
          <w:szCs w:val="16"/>
        </w:rPr>
      </w:pPr>
    </w:p>
    <w:p w:rsidR="00C97C6E" w:rsidRPr="00907E33" w:rsidRDefault="00C97C6E" w:rsidP="00C97C6E">
      <w:pPr>
        <w:spacing w:before="0" w:after="0" w:line="240" w:lineRule="auto"/>
        <w:rPr>
          <w:rFonts w:eastAsia="Calibri" w:cstheme="minorHAnsi"/>
          <w:sz w:val="22"/>
          <w:szCs w:val="22"/>
        </w:rPr>
      </w:pPr>
      <w:r w:rsidRPr="004058DA">
        <w:rPr>
          <w:rFonts w:eastAsia="Calibri" w:cstheme="minorHAnsi"/>
          <w:b/>
          <w:bCs/>
          <w:sz w:val="22"/>
          <w:szCs w:val="22"/>
        </w:rPr>
        <w:t>Edinburg Campus:</w:t>
      </w:r>
      <w:r w:rsidRPr="004058DA">
        <w:rPr>
          <w:rFonts w:eastAsia="Calibri" w:cstheme="minorHAnsi"/>
          <w:sz w:val="22"/>
          <w:szCs w:val="22"/>
        </w:rPr>
        <w:t xml:space="preserve"> Student Accessibility Services is located in 108 University Center (EUCTR) and can be contacted by phone at (956) 665-7005 or via email at </w:t>
      </w:r>
      <w:hyperlink r:id="rId11" w:history="1">
        <w:r w:rsidRPr="004058DA">
          <w:rPr>
            <w:rStyle w:val="Hyperlink"/>
            <w:rFonts w:eastAsia="Calibri" w:cstheme="minorHAnsi"/>
            <w:sz w:val="22"/>
            <w:szCs w:val="22"/>
          </w:rPr>
          <w:t>ability@utrgv.edu</w:t>
        </w:r>
      </w:hyperlink>
      <w:r w:rsidRPr="004058DA">
        <w:rPr>
          <w:rFonts w:eastAsia="Calibri" w:cstheme="minorHAnsi"/>
          <w:sz w:val="22"/>
          <w:szCs w:val="22"/>
        </w:rPr>
        <w:t xml:space="preserve">. </w:t>
      </w:r>
    </w:p>
    <w:p w:rsidR="00C97C6E" w:rsidRPr="00362757" w:rsidRDefault="00C97C6E" w:rsidP="00C97C6E">
      <w:pPr>
        <w:spacing w:before="0" w:after="0" w:line="240" w:lineRule="auto"/>
        <w:rPr>
          <w:rFonts w:cstheme="minorHAnsi"/>
          <w:b/>
          <w:sz w:val="16"/>
          <w:szCs w:val="16"/>
          <w:u w:val="single"/>
        </w:rPr>
      </w:pPr>
    </w:p>
    <w:p w:rsidR="00C97C6E" w:rsidRPr="007E7353" w:rsidRDefault="00C97C6E" w:rsidP="00C97C6E">
      <w:pPr>
        <w:spacing w:before="0" w:after="0" w:line="240" w:lineRule="auto"/>
        <w:rPr>
          <w:rFonts w:cstheme="minorHAnsi"/>
          <w:color w:val="F05023"/>
          <w:sz w:val="22"/>
          <w:szCs w:val="22"/>
        </w:rPr>
      </w:pPr>
      <w:r w:rsidRPr="00907E33">
        <w:rPr>
          <w:rFonts w:cstheme="minorHAnsi"/>
          <w:b/>
          <w:sz w:val="22"/>
          <w:szCs w:val="22"/>
          <w:u w:val="single"/>
        </w:rPr>
        <w:t>MANDATORY COURSE EVALUATION PERIOD</w:t>
      </w:r>
      <w:r w:rsidRPr="00907E33">
        <w:rPr>
          <w:rFonts w:cstheme="minorHAnsi"/>
          <w:b/>
          <w:sz w:val="22"/>
          <w:szCs w:val="22"/>
        </w:rPr>
        <w:t>:</w:t>
      </w:r>
      <w:r w:rsidRPr="00907E33">
        <w:rPr>
          <w:rFonts w:cstheme="minorHAnsi"/>
          <w:sz w:val="22"/>
          <w:szCs w:val="22"/>
        </w:rPr>
        <w:t xml:space="preserve"> </w:t>
      </w:r>
      <w:r w:rsidRPr="005C514D">
        <w:rPr>
          <w:rFonts w:cstheme="minorHAnsi"/>
          <w:iCs/>
          <w:color w:val="F05023"/>
          <w:sz w:val="22"/>
          <w:szCs w:val="22"/>
        </w:rPr>
        <w:t>Required on all syllabi. Do not modify.</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Students are required to complete an ONLINE evaluation of this course, accessed through your UTRGV account (</w:t>
      </w:r>
      <w:hyperlink r:id="rId12" w:history="1">
        <w:r w:rsidRPr="00907E33">
          <w:rPr>
            <w:rStyle w:val="Hyperlink"/>
            <w:rFonts w:cstheme="minorHAnsi"/>
            <w:sz w:val="22"/>
            <w:szCs w:val="22"/>
          </w:rPr>
          <w:t>http://my.utrgv.edu</w:t>
        </w:r>
      </w:hyperlink>
      <w:r w:rsidRPr="00907E33">
        <w:rPr>
          <w:rFonts w:cstheme="minorHAnsi"/>
          <w:sz w:val="22"/>
          <w:szCs w:val="22"/>
        </w:rPr>
        <w:t>); you will be contacted through email with further instructions.  Students who complete their evaluations will have priority access to their grades. Online evaluations will be available on or about:</w:t>
      </w:r>
    </w:p>
    <w:p w:rsidR="00C97C6E" w:rsidRPr="00362757" w:rsidRDefault="00C97C6E" w:rsidP="00C97C6E">
      <w:pPr>
        <w:spacing w:before="0" w:after="0" w:line="240" w:lineRule="auto"/>
        <w:rPr>
          <w:rFonts w:cstheme="minorHAnsi"/>
          <w:sz w:val="16"/>
          <w:szCs w:val="16"/>
        </w:rPr>
      </w:pP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Module 1</w:t>
      </w:r>
      <w:r w:rsidRPr="00907E33">
        <w:rPr>
          <w:rFonts w:cstheme="minorHAnsi"/>
          <w:sz w:val="22"/>
          <w:szCs w:val="22"/>
        </w:rPr>
        <w:tab/>
      </w:r>
      <w:r w:rsidRPr="00907E33">
        <w:rPr>
          <w:rFonts w:cstheme="minorHAnsi"/>
          <w:sz w:val="22"/>
          <w:szCs w:val="22"/>
        </w:rPr>
        <w:tab/>
        <w:t>Feb 19-25, 2020</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Module 2</w:t>
      </w:r>
      <w:r w:rsidRPr="00907E33">
        <w:rPr>
          <w:rFonts w:cstheme="minorHAnsi"/>
          <w:sz w:val="22"/>
          <w:szCs w:val="22"/>
        </w:rPr>
        <w:tab/>
      </w:r>
      <w:r w:rsidRPr="00907E33">
        <w:rPr>
          <w:rFonts w:cstheme="minorHAnsi"/>
          <w:sz w:val="22"/>
          <w:szCs w:val="22"/>
        </w:rPr>
        <w:tab/>
        <w:t>Feb 15-21, 2020</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 xml:space="preserve">Full </w:t>
      </w:r>
      <w:r>
        <w:rPr>
          <w:rFonts w:cstheme="minorHAnsi"/>
          <w:sz w:val="22"/>
          <w:szCs w:val="22"/>
        </w:rPr>
        <w:t>Spring</w:t>
      </w:r>
      <w:r w:rsidRPr="00907E33">
        <w:rPr>
          <w:rFonts w:cstheme="minorHAnsi"/>
          <w:sz w:val="22"/>
          <w:szCs w:val="22"/>
        </w:rPr>
        <w:t xml:space="preserve"> Semester</w:t>
      </w:r>
      <w:r w:rsidRPr="00907E33">
        <w:rPr>
          <w:rFonts w:cstheme="minorHAnsi"/>
          <w:sz w:val="22"/>
          <w:szCs w:val="22"/>
        </w:rPr>
        <w:tab/>
        <w:t>April 10-29, 20</w:t>
      </w:r>
      <w:r>
        <w:rPr>
          <w:rFonts w:cstheme="minorHAnsi"/>
          <w:sz w:val="22"/>
          <w:szCs w:val="22"/>
        </w:rPr>
        <w:t>20</w:t>
      </w:r>
    </w:p>
    <w:bookmarkEnd w:id="1"/>
    <w:p w:rsidR="00C97C6E" w:rsidRPr="00362757" w:rsidRDefault="00C97C6E" w:rsidP="00C97C6E">
      <w:pPr>
        <w:spacing w:before="0" w:after="0" w:line="240" w:lineRule="auto"/>
        <w:rPr>
          <w:rFonts w:cstheme="minorHAnsi"/>
          <w:sz w:val="16"/>
          <w:szCs w:val="16"/>
        </w:rPr>
      </w:pPr>
    </w:p>
    <w:p w:rsidR="00C97C6E" w:rsidRPr="00907E33" w:rsidRDefault="00C97C6E" w:rsidP="00C97C6E">
      <w:pPr>
        <w:spacing w:before="0" w:after="0" w:line="240" w:lineRule="auto"/>
        <w:rPr>
          <w:rFonts w:cstheme="minorHAnsi"/>
          <w:color w:val="808080" w:themeColor="background1" w:themeShade="80"/>
          <w:sz w:val="22"/>
          <w:szCs w:val="22"/>
        </w:rPr>
      </w:pPr>
      <w:r w:rsidRPr="00907E33">
        <w:rPr>
          <w:rFonts w:cstheme="minorHAnsi"/>
          <w:b/>
          <w:sz w:val="22"/>
          <w:szCs w:val="22"/>
          <w:u w:val="single"/>
        </w:rPr>
        <w:t>ATTENDANCE</w:t>
      </w:r>
      <w:r w:rsidRPr="00907E33">
        <w:rPr>
          <w:rFonts w:cstheme="minorHAnsi"/>
          <w:b/>
          <w:sz w:val="22"/>
          <w:szCs w:val="22"/>
        </w:rPr>
        <w:t>:</w:t>
      </w:r>
      <w:r w:rsidRPr="00907E33">
        <w:rPr>
          <w:rFonts w:cstheme="minorHAnsi"/>
          <w:sz w:val="22"/>
          <w:szCs w:val="22"/>
        </w:rPr>
        <w:t xml:space="preserve"> </w:t>
      </w:r>
      <w:r w:rsidRPr="00907E33">
        <w:rPr>
          <w:rFonts w:cstheme="minorHAnsi"/>
          <w:color w:val="808080" w:themeColor="background1" w:themeShade="80"/>
          <w:sz w:val="22"/>
          <w:szCs w:val="22"/>
        </w:rPr>
        <w:t>Recommended on all syllabi; may be modified by the instructor as long as it is not inconsistent with UTRGV policy.</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t xml:space="preserve">Students are expected to attend all scheduled classes and may be dropped from the course for excessive absences. </w:t>
      </w:r>
      <w:r w:rsidRPr="00907E33">
        <w:rPr>
          <w:rFonts w:cstheme="minorHAnsi"/>
          <w:i/>
          <w:sz w:val="22"/>
          <w:szCs w:val="22"/>
        </w:rPr>
        <w:t xml:space="preserve"> </w:t>
      </w:r>
      <w:r w:rsidRPr="00907E33">
        <w:rPr>
          <w:rFonts w:cstheme="minorHAnsi"/>
          <w:sz w:val="22"/>
          <w:szCs w:val="22"/>
        </w:rPr>
        <w:t xml:space="preserve">UTRGV’s attendance policy excuses students from attending class if they are participating in officially sponsored university activities, such as athletics; for observance of religious holy days; or for military service. Students should contact the instructor in advance of the excused absence and arrange to make up missed work or examinations. </w:t>
      </w:r>
    </w:p>
    <w:p w:rsidR="00C97C6E" w:rsidRPr="00362757" w:rsidRDefault="00C97C6E" w:rsidP="00C97C6E">
      <w:pPr>
        <w:spacing w:before="0" w:after="0" w:line="240" w:lineRule="auto"/>
        <w:rPr>
          <w:rFonts w:cstheme="minorHAnsi"/>
          <w:sz w:val="16"/>
          <w:szCs w:val="16"/>
        </w:rPr>
      </w:pPr>
    </w:p>
    <w:p w:rsidR="00C97C6E" w:rsidRPr="00907E33" w:rsidRDefault="00C97C6E" w:rsidP="00C97C6E">
      <w:pPr>
        <w:spacing w:before="0" w:after="0" w:line="240" w:lineRule="auto"/>
        <w:rPr>
          <w:rFonts w:eastAsia="Calibri" w:cstheme="minorHAnsi"/>
          <w:sz w:val="22"/>
          <w:szCs w:val="22"/>
        </w:rPr>
      </w:pPr>
      <w:r w:rsidRPr="00907E33">
        <w:rPr>
          <w:rFonts w:eastAsia="Calibri" w:cstheme="minorHAnsi"/>
          <w:b/>
          <w:bCs/>
          <w:sz w:val="22"/>
          <w:szCs w:val="22"/>
          <w:u w:val="single"/>
        </w:rPr>
        <w:t>SCHOLASTIC DISHONESTY</w:t>
      </w:r>
      <w:r w:rsidRPr="00907E33">
        <w:rPr>
          <w:rFonts w:eastAsia="Calibri" w:cstheme="minorHAnsi"/>
          <w:b/>
          <w:bCs/>
          <w:sz w:val="22"/>
          <w:szCs w:val="22"/>
        </w:rPr>
        <w:t>:</w:t>
      </w:r>
      <w:r w:rsidRPr="00907E33">
        <w:rPr>
          <w:rFonts w:eastAsia="Calibri" w:cstheme="minorHAnsi"/>
          <w:sz w:val="22"/>
          <w:szCs w:val="22"/>
        </w:rPr>
        <w:t xml:space="preserve"> </w:t>
      </w:r>
      <w:r w:rsidRPr="00907E33">
        <w:rPr>
          <w:rFonts w:eastAsia="Calibri" w:cstheme="minorHAnsi"/>
          <w:color w:val="808080" w:themeColor="background1" w:themeShade="80"/>
          <w:sz w:val="22"/>
          <w:szCs w:val="22"/>
        </w:rPr>
        <w:t xml:space="preserve">Recommended on all syllabi. </w:t>
      </w:r>
    </w:p>
    <w:p w:rsidR="00C97C6E" w:rsidRPr="004058DA" w:rsidRDefault="00C97C6E" w:rsidP="00C97C6E">
      <w:pPr>
        <w:spacing w:before="0" w:after="0" w:line="240" w:lineRule="auto"/>
        <w:rPr>
          <w:rFonts w:eastAsia="Calibri" w:cstheme="minorHAnsi"/>
          <w:b/>
          <w:bCs/>
          <w:sz w:val="22"/>
          <w:szCs w:val="22"/>
        </w:rPr>
      </w:pPr>
      <w:r w:rsidRPr="004058DA">
        <w:rPr>
          <w:rFonts w:eastAsia="Calibri" w:cstheme="minorHAnsi"/>
          <w:sz w:val="22"/>
          <w:szCs w:val="22"/>
        </w:rPr>
        <w:t xml:space="preserve">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STU 02-100, and UTRGV Academic Integrity Guidelines). </w:t>
      </w:r>
      <w:r w:rsidRPr="004058DA">
        <w:rPr>
          <w:rFonts w:eastAsia="Calibri" w:cstheme="minorHAnsi"/>
          <w:b/>
          <w:bCs/>
          <w:sz w:val="22"/>
          <w:szCs w:val="22"/>
        </w:rPr>
        <w:t>All scholastic dishonesty incidents will be reported to Student Rights and Responsibilities.</w:t>
      </w:r>
    </w:p>
    <w:p w:rsidR="00C97C6E" w:rsidRPr="00362757" w:rsidRDefault="00C97C6E" w:rsidP="00C97C6E">
      <w:pPr>
        <w:spacing w:before="0" w:after="0" w:line="240" w:lineRule="auto"/>
        <w:rPr>
          <w:rFonts w:cstheme="minorHAnsi"/>
          <w:sz w:val="16"/>
          <w:szCs w:val="16"/>
        </w:rPr>
      </w:pPr>
    </w:p>
    <w:p w:rsidR="00C97C6E" w:rsidRPr="005C514D" w:rsidRDefault="00C97C6E" w:rsidP="00C97C6E">
      <w:pPr>
        <w:spacing w:before="0" w:after="0" w:line="240" w:lineRule="auto"/>
        <w:rPr>
          <w:rFonts w:eastAsia="Calibri" w:cstheme="minorHAnsi"/>
          <w:sz w:val="22"/>
          <w:szCs w:val="22"/>
          <w:u w:val="single"/>
        </w:rPr>
      </w:pPr>
      <w:r w:rsidRPr="00907E33">
        <w:rPr>
          <w:rFonts w:eastAsia="Calibri" w:cstheme="minorHAnsi"/>
          <w:b/>
          <w:bCs/>
          <w:sz w:val="22"/>
          <w:szCs w:val="22"/>
          <w:u w:val="single"/>
        </w:rPr>
        <w:t>SEXUAL MISCONDUCT and MANDATORY REPORTING:</w:t>
      </w:r>
      <w:r w:rsidRPr="00907E33">
        <w:rPr>
          <w:rFonts w:eastAsia="Calibri" w:cstheme="minorHAnsi"/>
          <w:sz w:val="22"/>
          <w:szCs w:val="22"/>
        </w:rPr>
        <w:t xml:space="preserve">  </w:t>
      </w:r>
      <w:r w:rsidRPr="005C514D">
        <w:rPr>
          <w:rFonts w:eastAsia="Calibri" w:cstheme="minorHAnsi"/>
          <w:color w:val="F05023"/>
          <w:sz w:val="22"/>
          <w:szCs w:val="22"/>
        </w:rPr>
        <w:t>Required on all syllabi. Do not modify.</w:t>
      </w:r>
    </w:p>
    <w:p w:rsidR="00C97C6E" w:rsidRPr="00907E33" w:rsidRDefault="00C97C6E" w:rsidP="00C97C6E">
      <w:pPr>
        <w:spacing w:before="0" w:after="0" w:line="240" w:lineRule="auto"/>
        <w:rPr>
          <w:rFonts w:eastAsia="Calibri" w:cstheme="minorHAnsi"/>
          <w:sz w:val="22"/>
          <w:szCs w:val="22"/>
        </w:rPr>
      </w:pPr>
      <w:r w:rsidRPr="00907E33">
        <w:rPr>
          <w:rFonts w:eastAsia="Calibri" w:cstheme="minorHAnsi"/>
          <w:sz w:val="22"/>
          <w:szCs w:val="22"/>
        </w:rPr>
        <w:t>In accordance with UT System regulations, your instructor is a “Responsible Employee” for reporting purposes under Title IX regulations and so must report to the Office of Institutional Equity &amp; Diversity (</w:t>
      </w:r>
      <w:hyperlink r:id="rId13" w:history="1">
        <w:r w:rsidRPr="00907E33">
          <w:rPr>
            <w:rStyle w:val="Hyperlink"/>
            <w:rFonts w:eastAsia="Calibri" w:cstheme="minorHAnsi"/>
            <w:sz w:val="22"/>
            <w:szCs w:val="22"/>
          </w:rPr>
          <w:t>oie@utrgv.edu</w:t>
        </w:r>
      </w:hyperlink>
      <w:r w:rsidRPr="00907E33">
        <w:rPr>
          <w:rFonts w:eastAsia="Calibri" w:cstheme="minorHAnsi"/>
          <w:sz w:val="22"/>
          <w:szCs w:val="22"/>
        </w:rPr>
        <w:t>)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14" w:history="1">
        <w:r w:rsidRPr="00907E33">
          <w:rPr>
            <w:rStyle w:val="Hyperlink"/>
            <w:rFonts w:eastAsia="Calibri" w:cstheme="minorHAnsi"/>
            <w:sz w:val="22"/>
            <w:szCs w:val="22"/>
          </w:rPr>
          <w:t>www.utrgv.edu/equity</w:t>
        </w:r>
      </w:hyperlink>
      <w:r w:rsidRPr="00907E33">
        <w:rPr>
          <w:rFonts w:eastAsia="Calibri" w:cstheme="minorHAnsi"/>
          <w:sz w:val="22"/>
          <w:szCs w:val="22"/>
        </w:rPr>
        <w:t xml:space="preserve">,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w:t>
      </w:r>
      <w:r>
        <w:rPr>
          <w:rFonts w:eastAsia="Calibri" w:cstheme="minorHAnsi"/>
          <w:sz w:val="22"/>
          <w:szCs w:val="22"/>
        </w:rPr>
        <w:t xml:space="preserve">(956) </w:t>
      </w:r>
      <w:r w:rsidRPr="00907E33">
        <w:rPr>
          <w:rFonts w:eastAsia="Calibri" w:cstheme="minorHAnsi"/>
          <w:sz w:val="22"/>
          <w:szCs w:val="22"/>
        </w:rPr>
        <w:t xml:space="preserve">665-8287, </w:t>
      </w:r>
      <w:r>
        <w:rPr>
          <w:rFonts w:eastAsia="Calibri" w:cstheme="minorHAnsi"/>
          <w:sz w:val="22"/>
          <w:szCs w:val="22"/>
        </w:rPr>
        <w:t xml:space="preserve">(956) </w:t>
      </w:r>
      <w:r w:rsidRPr="00907E33">
        <w:rPr>
          <w:rFonts w:eastAsia="Calibri" w:cstheme="minorHAnsi"/>
          <w:sz w:val="22"/>
          <w:szCs w:val="22"/>
        </w:rPr>
        <w:t>882-8282, or </w:t>
      </w:r>
      <w:hyperlink r:id="rId15" w:history="1">
        <w:r w:rsidRPr="00907E33">
          <w:rPr>
            <w:rStyle w:val="Hyperlink"/>
            <w:rFonts w:eastAsia="Calibri" w:cstheme="minorHAnsi"/>
            <w:sz w:val="22"/>
            <w:szCs w:val="22"/>
          </w:rPr>
          <w:t>OVAVP@utrgv.edu</w:t>
        </w:r>
      </w:hyperlink>
      <w:r w:rsidRPr="00907E33">
        <w:rPr>
          <w:rFonts w:eastAsia="Calibri" w:cstheme="minorHAnsi"/>
          <w:sz w:val="22"/>
          <w:szCs w:val="22"/>
        </w:rPr>
        <w:t>.</w:t>
      </w:r>
    </w:p>
    <w:p w:rsidR="00C97C6E" w:rsidRPr="00362757" w:rsidRDefault="00C97C6E" w:rsidP="00C97C6E">
      <w:pPr>
        <w:spacing w:before="0" w:after="0" w:line="240" w:lineRule="auto"/>
        <w:rPr>
          <w:rFonts w:cstheme="minorHAnsi"/>
          <w:b/>
          <w:sz w:val="16"/>
          <w:szCs w:val="16"/>
          <w:u w:val="single"/>
        </w:rPr>
      </w:pPr>
    </w:p>
    <w:p w:rsidR="00C97C6E" w:rsidRPr="00907E33" w:rsidRDefault="00C97C6E" w:rsidP="00C97C6E">
      <w:pPr>
        <w:spacing w:before="0" w:after="0" w:line="240" w:lineRule="auto"/>
        <w:rPr>
          <w:rFonts w:cstheme="minorHAnsi"/>
          <w:color w:val="808080" w:themeColor="background1" w:themeShade="80"/>
          <w:sz w:val="22"/>
          <w:szCs w:val="22"/>
        </w:rPr>
      </w:pPr>
      <w:r w:rsidRPr="00907E33">
        <w:rPr>
          <w:rFonts w:cstheme="minorHAnsi"/>
          <w:b/>
          <w:sz w:val="22"/>
          <w:szCs w:val="22"/>
          <w:u w:val="single"/>
        </w:rPr>
        <w:t>COURSE DROPS</w:t>
      </w:r>
      <w:r w:rsidRPr="00907E33">
        <w:rPr>
          <w:rFonts w:cstheme="minorHAnsi"/>
          <w:b/>
          <w:sz w:val="22"/>
          <w:szCs w:val="22"/>
        </w:rPr>
        <w:t>:</w:t>
      </w:r>
      <w:r w:rsidRPr="00907E33">
        <w:rPr>
          <w:rFonts w:cstheme="minorHAnsi"/>
          <w:sz w:val="22"/>
          <w:szCs w:val="22"/>
        </w:rPr>
        <w:t xml:space="preserve"> </w:t>
      </w:r>
      <w:r w:rsidRPr="00907E33">
        <w:rPr>
          <w:rFonts w:cstheme="minorHAnsi"/>
          <w:color w:val="808080" w:themeColor="background1" w:themeShade="80"/>
          <w:sz w:val="22"/>
          <w:szCs w:val="22"/>
        </w:rPr>
        <w:t>Recommended on all syllabi; may be modified by the instructor as long as it is not inconsistent with UTRGV policy.</w:t>
      </w:r>
    </w:p>
    <w:p w:rsidR="00C97C6E" w:rsidRPr="00907E33" w:rsidRDefault="00C97C6E" w:rsidP="00C97C6E">
      <w:pPr>
        <w:spacing w:before="0" w:after="0" w:line="240" w:lineRule="auto"/>
        <w:rPr>
          <w:rFonts w:cstheme="minorHAnsi"/>
          <w:sz w:val="22"/>
          <w:szCs w:val="22"/>
        </w:rPr>
      </w:pPr>
      <w:r w:rsidRPr="00907E33">
        <w:rPr>
          <w:rFonts w:cstheme="minorHAnsi"/>
          <w:sz w:val="22"/>
          <w:szCs w:val="22"/>
        </w:rPr>
        <w:lastRenderedPageBreak/>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rsidR="00C97C6E" w:rsidRPr="00362757" w:rsidRDefault="00C97C6E" w:rsidP="00C97C6E">
      <w:pPr>
        <w:pStyle w:val="Default"/>
        <w:rPr>
          <w:rFonts w:asciiTheme="minorHAnsi" w:hAnsiTheme="minorHAnsi" w:cstheme="minorHAnsi"/>
          <w:b/>
          <w:bCs/>
          <w:sz w:val="16"/>
          <w:szCs w:val="16"/>
          <w:u w:val="single"/>
        </w:rPr>
      </w:pPr>
    </w:p>
    <w:p w:rsidR="00C97C6E" w:rsidRPr="00907E33" w:rsidRDefault="00C97C6E" w:rsidP="00C97C6E">
      <w:pPr>
        <w:pStyle w:val="Default"/>
        <w:rPr>
          <w:rFonts w:asciiTheme="minorHAnsi" w:hAnsiTheme="minorHAnsi" w:cstheme="minorHAnsi"/>
          <w:color w:val="808080" w:themeColor="background1" w:themeShade="80"/>
          <w:sz w:val="22"/>
          <w:szCs w:val="22"/>
        </w:rPr>
      </w:pPr>
      <w:r w:rsidRPr="00907E33">
        <w:rPr>
          <w:rFonts w:asciiTheme="minorHAnsi" w:hAnsiTheme="minorHAnsi" w:cstheme="minorHAnsi"/>
          <w:b/>
          <w:bCs/>
          <w:sz w:val="22"/>
          <w:szCs w:val="22"/>
          <w:u w:val="single"/>
        </w:rPr>
        <w:t>STUDENT SERVICES</w:t>
      </w:r>
      <w:r w:rsidRPr="00907E33">
        <w:rPr>
          <w:rFonts w:asciiTheme="minorHAnsi" w:hAnsiTheme="minorHAnsi" w:cstheme="minorHAnsi"/>
          <w:b/>
          <w:bCs/>
          <w:sz w:val="22"/>
          <w:szCs w:val="22"/>
        </w:rPr>
        <w:t xml:space="preserve">: </w:t>
      </w:r>
      <w:r w:rsidRPr="00907E33">
        <w:rPr>
          <w:rFonts w:asciiTheme="minorHAnsi" w:hAnsiTheme="minorHAnsi" w:cstheme="minorHAnsi"/>
          <w:color w:val="808080" w:themeColor="background1" w:themeShade="80"/>
          <w:sz w:val="22"/>
          <w:szCs w:val="22"/>
        </w:rPr>
        <w:t xml:space="preserve">Recommended on all syllabi. </w:t>
      </w:r>
    </w:p>
    <w:p w:rsidR="00C97C6E" w:rsidRPr="00907E33" w:rsidRDefault="00C97C6E" w:rsidP="00C97C6E">
      <w:pPr>
        <w:pStyle w:val="Default"/>
        <w:rPr>
          <w:rFonts w:asciiTheme="minorHAnsi" w:hAnsiTheme="minorHAnsi" w:cstheme="minorHAnsi"/>
          <w:sz w:val="22"/>
          <w:szCs w:val="22"/>
        </w:rPr>
      </w:pPr>
      <w:r w:rsidRPr="00907E33">
        <w:rPr>
          <w:rFonts w:asciiTheme="minorHAnsi" w:hAnsiTheme="minorHAnsi" w:cstheme="minorHAnsi"/>
          <w:sz w:val="22"/>
          <w:szCs w:val="22"/>
        </w:rPr>
        <w:t>Students who demonstrate financial need have a variety of options when it comes to paying for college costs, such as scholarships, grants, loans and work-study. Students should visit the Students Services Center (U Central) for additional information. U Central is located in BMAIN 1.100 (Brownsville) or ESSBL 1.145 (Edinburg) or can be reached by email (</w:t>
      </w:r>
      <w:hyperlink r:id="rId16" w:history="1">
        <w:r w:rsidRPr="00907E33">
          <w:rPr>
            <w:rStyle w:val="Hyperlink"/>
            <w:rFonts w:asciiTheme="minorHAnsi" w:hAnsiTheme="minorHAnsi" w:cstheme="minorHAnsi"/>
            <w:sz w:val="22"/>
            <w:szCs w:val="22"/>
          </w:rPr>
          <w:t>ucentral@utrgv.edu</w:t>
        </w:r>
      </w:hyperlink>
      <w:r w:rsidRPr="00907E33">
        <w:rPr>
          <w:rFonts w:asciiTheme="minorHAnsi" w:hAnsiTheme="minorHAnsi" w:cstheme="minorHAnsi"/>
          <w:sz w:val="22"/>
          <w:szCs w:val="22"/>
        </w:rPr>
        <w:t xml:space="preserve">) or telephone: (888) 882-4026. In addition to financial aid, U Central can assist students with registration and admissions. </w:t>
      </w:r>
    </w:p>
    <w:p w:rsidR="00C97C6E" w:rsidRPr="00D766E8" w:rsidRDefault="00C97C6E" w:rsidP="00C97C6E">
      <w:pPr>
        <w:pStyle w:val="Default"/>
        <w:rPr>
          <w:rFonts w:asciiTheme="minorHAnsi" w:hAnsiTheme="minorHAnsi" w:cstheme="minorHAnsi"/>
          <w:sz w:val="20"/>
          <w:szCs w:val="20"/>
        </w:rPr>
      </w:pPr>
    </w:p>
    <w:p w:rsidR="00C97C6E" w:rsidRPr="00907E33" w:rsidRDefault="00C97C6E" w:rsidP="00C97C6E">
      <w:pPr>
        <w:pStyle w:val="Default"/>
        <w:rPr>
          <w:rFonts w:asciiTheme="minorHAnsi" w:hAnsiTheme="minorHAnsi" w:cstheme="minorHAnsi"/>
          <w:sz w:val="22"/>
          <w:szCs w:val="22"/>
        </w:rPr>
      </w:pPr>
      <w:r w:rsidRPr="00907E33">
        <w:rPr>
          <w:rFonts w:asciiTheme="minorHAnsi" w:hAnsiTheme="minorHAnsi" w:cstheme="minorHAnsi"/>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w:t>
      </w:r>
      <w:r>
        <w:rPr>
          <w:rFonts w:asciiTheme="minorHAnsi" w:hAnsiTheme="minorHAnsi" w:cstheme="minorHAnsi"/>
          <w:sz w:val="22"/>
          <w:szCs w:val="22"/>
        </w:rPr>
        <w:t xml:space="preserve">counseling services, </w:t>
      </w:r>
      <w:r w:rsidRPr="00907E33">
        <w:rPr>
          <w:rFonts w:asciiTheme="minorHAnsi" w:hAnsiTheme="minorHAnsi" w:cstheme="minorHAnsi"/>
          <w:sz w:val="22"/>
          <w:szCs w:val="22"/>
        </w:rPr>
        <w:t xml:space="preserve">critical thinking, study skills, degree planning, and student employment. </w:t>
      </w:r>
      <w:r>
        <w:rPr>
          <w:rFonts w:asciiTheme="minorHAnsi" w:hAnsiTheme="minorHAnsi" w:cstheme="minorHAnsi"/>
          <w:sz w:val="22"/>
          <w:szCs w:val="22"/>
        </w:rPr>
        <w:t xml:space="preserve">In addition, services such as the Food Pantry are also provided. </w:t>
      </w:r>
      <w:r w:rsidRPr="00907E33">
        <w:rPr>
          <w:rFonts w:asciiTheme="minorHAnsi" w:hAnsiTheme="minorHAnsi" w:cstheme="minorHAnsi"/>
          <w:sz w:val="22"/>
          <w:szCs w:val="22"/>
        </w:rPr>
        <w:t xml:space="preserve">Locations </w:t>
      </w:r>
      <w:r>
        <w:rPr>
          <w:rFonts w:asciiTheme="minorHAnsi" w:hAnsiTheme="minorHAnsi" w:cstheme="minorHAnsi"/>
          <w:sz w:val="22"/>
          <w:szCs w:val="22"/>
        </w:rPr>
        <w:t xml:space="preserve">are listed below. </w:t>
      </w:r>
      <w:r w:rsidRPr="00907E33">
        <w:rPr>
          <w:rFonts w:asciiTheme="minorHAnsi" w:hAnsiTheme="minorHAnsi" w:cstheme="minorHAnsi"/>
          <w:sz w:val="22"/>
          <w:szCs w:val="22"/>
        </w:rPr>
        <w:t xml:space="preserve"> </w:t>
      </w:r>
    </w:p>
    <w:p w:rsidR="00C97C6E" w:rsidRPr="00362757" w:rsidRDefault="00C97C6E" w:rsidP="00C97C6E">
      <w:pPr>
        <w:pStyle w:val="Default"/>
        <w:rPr>
          <w:rFonts w:asciiTheme="minorHAnsi" w:hAnsiTheme="minorHAnsi" w:cstheme="minorHAnsi"/>
          <w:sz w:val="16"/>
          <w:szCs w:val="16"/>
        </w:rPr>
      </w:pPr>
    </w:p>
    <w:tbl>
      <w:tblPr>
        <w:tblStyle w:val="TableGrid"/>
        <w:tblW w:w="0" w:type="auto"/>
        <w:tblLook w:val="04A0" w:firstRow="1" w:lastRow="0" w:firstColumn="1" w:lastColumn="0" w:noHBand="0" w:noVBand="1"/>
      </w:tblPr>
      <w:tblGrid>
        <w:gridCol w:w="3596"/>
        <w:gridCol w:w="3597"/>
        <w:gridCol w:w="3597"/>
      </w:tblGrid>
      <w:tr w:rsidR="00C97C6E" w:rsidRPr="00907E33" w:rsidTr="0057481F">
        <w:tc>
          <w:tcPr>
            <w:tcW w:w="3596" w:type="dxa"/>
            <w:shd w:val="clear" w:color="auto" w:fill="E7E6E6" w:themeFill="background2"/>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Center Name</w:t>
            </w:r>
          </w:p>
        </w:tc>
        <w:tc>
          <w:tcPr>
            <w:tcW w:w="3597" w:type="dxa"/>
            <w:shd w:val="clear" w:color="auto" w:fill="E7E6E6" w:themeFill="background2"/>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Brownsville Campus</w:t>
            </w:r>
          </w:p>
        </w:tc>
        <w:tc>
          <w:tcPr>
            <w:tcW w:w="3597" w:type="dxa"/>
            <w:shd w:val="clear" w:color="auto" w:fill="E7E6E6" w:themeFill="background2"/>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Edinburg Campus</w:t>
            </w:r>
          </w:p>
        </w:tc>
      </w:tr>
      <w:tr w:rsidR="00C97C6E" w:rsidRPr="00907E33" w:rsidTr="0057481F">
        <w:tc>
          <w:tcPr>
            <w:tcW w:w="3596" w:type="dxa"/>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Advising Center</w:t>
            </w:r>
          </w:p>
          <w:p w:rsidR="00C97C6E" w:rsidRPr="00907E33" w:rsidRDefault="00000D08" w:rsidP="0057481F">
            <w:pPr>
              <w:pStyle w:val="Default"/>
              <w:rPr>
                <w:rFonts w:asciiTheme="minorHAnsi" w:hAnsiTheme="minorHAnsi" w:cstheme="minorHAnsi"/>
                <w:sz w:val="22"/>
                <w:szCs w:val="22"/>
              </w:rPr>
            </w:pPr>
            <w:hyperlink r:id="rId17" w:history="1">
              <w:r w:rsidR="00C97C6E" w:rsidRPr="00907E33">
                <w:rPr>
                  <w:rStyle w:val="Hyperlink"/>
                  <w:rFonts w:asciiTheme="minorHAnsi" w:hAnsiTheme="minorHAnsi" w:cstheme="minorHAnsi"/>
                  <w:sz w:val="22"/>
                  <w:szCs w:val="22"/>
                </w:rPr>
                <w:t>AcademicAdvising@utrgv.edu</w:t>
              </w:r>
            </w:hyperlink>
            <w:r w:rsidR="00C97C6E" w:rsidRPr="00907E33">
              <w:rPr>
                <w:rFonts w:asciiTheme="minorHAnsi" w:hAnsiTheme="minorHAnsi" w:cstheme="minorHAnsi"/>
                <w:sz w:val="22"/>
                <w:szCs w:val="22"/>
              </w:rPr>
              <w:t xml:space="preserve"> </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BMAIN 1.400</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665-7120</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ESWKH 101</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665-7120</w:t>
            </w:r>
          </w:p>
        </w:tc>
      </w:tr>
      <w:tr w:rsidR="00C97C6E" w:rsidRPr="00907E33" w:rsidTr="0057481F">
        <w:tc>
          <w:tcPr>
            <w:tcW w:w="3596" w:type="dxa"/>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Career Center</w:t>
            </w:r>
          </w:p>
          <w:p w:rsidR="00C97C6E" w:rsidRPr="00907E33" w:rsidRDefault="00000D08" w:rsidP="0057481F">
            <w:pPr>
              <w:pStyle w:val="Default"/>
              <w:rPr>
                <w:rFonts w:asciiTheme="minorHAnsi" w:hAnsiTheme="minorHAnsi" w:cstheme="minorHAnsi"/>
                <w:sz w:val="22"/>
                <w:szCs w:val="22"/>
              </w:rPr>
            </w:pPr>
            <w:hyperlink r:id="rId18" w:history="1">
              <w:r w:rsidR="00C97C6E" w:rsidRPr="00907E33">
                <w:rPr>
                  <w:rStyle w:val="Hyperlink"/>
                  <w:rFonts w:asciiTheme="minorHAnsi" w:hAnsiTheme="minorHAnsi" w:cstheme="minorHAnsi"/>
                  <w:sz w:val="22"/>
                  <w:szCs w:val="22"/>
                </w:rPr>
                <w:t>CareerCenter@utrgv.edu</w:t>
              </w:r>
            </w:hyperlink>
            <w:r w:rsidR="00C97C6E" w:rsidRPr="00907E33">
              <w:rPr>
                <w:rFonts w:asciiTheme="minorHAnsi" w:hAnsiTheme="minorHAnsi" w:cstheme="minorHAnsi"/>
                <w:sz w:val="22"/>
                <w:szCs w:val="22"/>
              </w:rPr>
              <w:t xml:space="preserve"> </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BCRTZ 129</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882-5627</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ESSBL 2.101</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665-2243</w:t>
            </w:r>
          </w:p>
        </w:tc>
      </w:tr>
      <w:tr w:rsidR="00C97C6E" w:rsidRPr="00907E33" w:rsidTr="0057481F">
        <w:trPr>
          <w:trHeight w:val="557"/>
        </w:trPr>
        <w:tc>
          <w:tcPr>
            <w:tcW w:w="3596" w:type="dxa"/>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Counseling Center</w:t>
            </w:r>
          </w:p>
          <w:p w:rsidR="00C97C6E" w:rsidRDefault="00000D08" w:rsidP="0057481F">
            <w:pPr>
              <w:pStyle w:val="Default"/>
              <w:rPr>
                <w:rFonts w:asciiTheme="minorHAnsi" w:hAnsiTheme="minorHAnsi" w:cstheme="minorHAnsi"/>
                <w:sz w:val="22"/>
                <w:szCs w:val="22"/>
              </w:rPr>
            </w:pPr>
            <w:hyperlink r:id="rId19" w:history="1">
              <w:r w:rsidR="00C97C6E" w:rsidRPr="00907E33">
                <w:rPr>
                  <w:rStyle w:val="Hyperlink"/>
                  <w:rFonts w:asciiTheme="minorHAnsi" w:hAnsiTheme="minorHAnsi" w:cstheme="minorHAnsi"/>
                  <w:sz w:val="22"/>
                  <w:szCs w:val="22"/>
                </w:rPr>
                <w:t>Counseling@utrgv.edu</w:t>
              </w:r>
            </w:hyperlink>
            <w:r w:rsidR="00C97C6E" w:rsidRPr="00907E33">
              <w:rPr>
                <w:rFonts w:asciiTheme="minorHAnsi" w:hAnsiTheme="minorHAnsi" w:cstheme="minorHAnsi"/>
                <w:sz w:val="22"/>
                <w:szCs w:val="22"/>
              </w:rPr>
              <w:t xml:space="preserve"> </w:t>
            </w:r>
          </w:p>
          <w:p w:rsidR="00C97C6E" w:rsidRPr="00D766E8" w:rsidRDefault="00C97C6E" w:rsidP="0057481F">
            <w:pPr>
              <w:pStyle w:val="Default"/>
              <w:rPr>
                <w:rFonts w:asciiTheme="minorHAnsi" w:hAnsiTheme="minorHAnsi" w:cstheme="minorHAnsi"/>
                <w:sz w:val="8"/>
                <w:szCs w:val="8"/>
              </w:rPr>
            </w:pPr>
          </w:p>
          <w:p w:rsidR="00C97C6E" w:rsidRPr="00085A12" w:rsidRDefault="00000D08" w:rsidP="0057481F">
            <w:pPr>
              <w:pStyle w:val="Default"/>
              <w:rPr>
                <w:rFonts w:asciiTheme="minorHAnsi" w:hAnsiTheme="minorHAnsi" w:cstheme="minorHAnsi"/>
                <w:sz w:val="22"/>
                <w:szCs w:val="22"/>
              </w:rPr>
            </w:pPr>
            <w:hyperlink r:id="rId20" w:history="1">
              <w:r w:rsidR="00C97C6E" w:rsidRPr="00085A12">
                <w:rPr>
                  <w:rStyle w:val="Hyperlink"/>
                  <w:rFonts w:asciiTheme="minorHAnsi" w:hAnsiTheme="minorHAnsi" w:cstheme="minorHAnsi"/>
                  <w:sz w:val="22"/>
                  <w:szCs w:val="22"/>
                </w:rPr>
                <w:t>Counseling and Related Services List</w:t>
              </w:r>
            </w:hyperlink>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BSTUN 2.10</w:t>
            </w:r>
          </w:p>
          <w:p w:rsidR="00C97C6E"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882-3897</w:t>
            </w:r>
          </w:p>
          <w:p w:rsidR="00C97C6E" w:rsidRPr="00907E33" w:rsidRDefault="00C97C6E" w:rsidP="0057481F">
            <w:pPr>
              <w:pStyle w:val="Default"/>
              <w:rPr>
                <w:rFonts w:asciiTheme="minorHAnsi" w:hAnsiTheme="minorHAnsi" w:cstheme="minorHAnsi"/>
                <w:sz w:val="22"/>
                <w:szCs w:val="22"/>
              </w:rPr>
            </w:pP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EUCTR 109</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665-2574</w:t>
            </w:r>
          </w:p>
        </w:tc>
      </w:tr>
      <w:tr w:rsidR="00C97C6E" w:rsidRPr="00907E33" w:rsidTr="0057481F">
        <w:trPr>
          <w:trHeight w:val="557"/>
        </w:trPr>
        <w:tc>
          <w:tcPr>
            <w:tcW w:w="3596" w:type="dxa"/>
          </w:tcPr>
          <w:p w:rsidR="00C97C6E" w:rsidRDefault="00C97C6E" w:rsidP="0057481F">
            <w:pPr>
              <w:pStyle w:val="Default"/>
              <w:rPr>
                <w:rFonts w:asciiTheme="minorHAnsi" w:hAnsiTheme="minorHAnsi" w:cstheme="minorHAnsi"/>
                <w:b/>
                <w:bCs/>
                <w:sz w:val="22"/>
                <w:szCs w:val="22"/>
              </w:rPr>
            </w:pPr>
            <w:r>
              <w:rPr>
                <w:rFonts w:asciiTheme="minorHAnsi" w:hAnsiTheme="minorHAnsi" w:cstheme="minorHAnsi"/>
                <w:b/>
                <w:bCs/>
                <w:sz w:val="22"/>
                <w:szCs w:val="22"/>
              </w:rPr>
              <w:t>Food Pantry</w:t>
            </w:r>
          </w:p>
          <w:p w:rsidR="00C97C6E" w:rsidRPr="00362757" w:rsidRDefault="00000D08" w:rsidP="0057481F">
            <w:pPr>
              <w:pStyle w:val="Default"/>
              <w:rPr>
                <w:rFonts w:asciiTheme="minorHAnsi" w:hAnsiTheme="minorHAnsi" w:cstheme="minorHAnsi"/>
                <w:sz w:val="22"/>
                <w:szCs w:val="22"/>
              </w:rPr>
            </w:pPr>
            <w:hyperlink r:id="rId21" w:history="1">
              <w:r w:rsidR="00C97C6E" w:rsidRPr="0050248C">
                <w:rPr>
                  <w:rStyle w:val="Hyperlink"/>
                  <w:rFonts w:asciiTheme="minorHAnsi" w:hAnsiTheme="minorHAnsi" w:cstheme="minorHAnsi"/>
                  <w:sz w:val="22"/>
                  <w:szCs w:val="22"/>
                </w:rPr>
                <w:t>FoodPantry@utrgv.edu</w:t>
              </w:r>
            </w:hyperlink>
            <w:r w:rsidR="00C97C6E">
              <w:rPr>
                <w:rFonts w:asciiTheme="minorHAnsi" w:hAnsiTheme="minorHAnsi" w:cstheme="minorHAnsi"/>
                <w:sz w:val="22"/>
                <w:szCs w:val="22"/>
              </w:rPr>
              <w:t xml:space="preserve"> </w:t>
            </w:r>
          </w:p>
        </w:tc>
        <w:tc>
          <w:tcPr>
            <w:tcW w:w="3597" w:type="dxa"/>
          </w:tcPr>
          <w:p w:rsidR="00C97C6E" w:rsidRDefault="00C97C6E" w:rsidP="0057481F">
            <w:pPr>
              <w:pStyle w:val="Default"/>
              <w:rPr>
                <w:rFonts w:asciiTheme="minorHAnsi" w:hAnsiTheme="minorHAnsi" w:cstheme="minorHAnsi"/>
                <w:sz w:val="22"/>
                <w:szCs w:val="22"/>
              </w:rPr>
            </w:pPr>
            <w:r>
              <w:rPr>
                <w:rFonts w:asciiTheme="minorHAnsi" w:hAnsiTheme="minorHAnsi" w:cstheme="minorHAnsi"/>
                <w:sz w:val="22"/>
                <w:szCs w:val="22"/>
              </w:rPr>
              <w:t>BCAVL 101 &amp; 102</w:t>
            </w:r>
          </w:p>
          <w:p w:rsidR="00C97C6E" w:rsidRPr="00907E33" w:rsidRDefault="00C97C6E" w:rsidP="0057481F">
            <w:pPr>
              <w:pStyle w:val="Default"/>
              <w:rPr>
                <w:rFonts w:asciiTheme="minorHAnsi" w:hAnsiTheme="minorHAnsi" w:cstheme="minorHAnsi"/>
                <w:sz w:val="22"/>
                <w:szCs w:val="22"/>
              </w:rPr>
            </w:pPr>
            <w:r>
              <w:rPr>
                <w:rFonts w:asciiTheme="minorHAnsi" w:hAnsiTheme="minorHAnsi" w:cstheme="minorHAnsi"/>
                <w:sz w:val="22"/>
                <w:szCs w:val="22"/>
              </w:rPr>
              <w:t>(956) 882-7126</w:t>
            </w:r>
          </w:p>
        </w:tc>
        <w:tc>
          <w:tcPr>
            <w:tcW w:w="3597" w:type="dxa"/>
          </w:tcPr>
          <w:p w:rsidR="00C97C6E" w:rsidRPr="00907E33" w:rsidRDefault="00C97C6E" w:rsidP="0057481F">
            <w:pPr>
              <w:pStyle w:val="Default"/>
              <w:rPr>
                <w:rFonts w:asciiTheme="minorHAnsi" w:hAnsiTheme="minorHAnsi" w:cstheme="minorHAnsi"/>
                <w:sz w:val="22"/>
                <w:szCs w:val="22"/>
              </w:rPr>
            </w:pPr>
            <w:r>
              <w:rPr>
                <w:rFonts w:asciiTheme="minorHAnsi" w:hAnsiTheme="minorHAnsi" w:cstheme="minorHAnsi"/>
                <w:sz w:val="22"/>
                <w:szCs w:val="22"/>
              </w:rPr>
              <w:t>EUCTR 114</w:t>
            </w:r>
            <w:r>
              <w:rPr>
                <w:rFonts w:asciiTheme="minorHAnsi" w:hAnsiTheme="minorHAnsi" w:cstheme="minorHAnsi"/>
                <w:sz w:val="22"/>
                <w:szCs w:val="22"/>
              </w:rPr>
              <w:br/>
              <w:t>(956) 665-3663</w:t>
            </w:r>
          </w:p>
        </w:tc>
      </w:tr>
      <w:tr w:rsidR="00C97C6E" w:rsidRPr="00907E33" w:rsidTr="0057481F">
        <w:tc>
          <w:tcPr>
            <w:tcW w:w="3596" w:type="dxa"/>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Learning Center</w:t>
            </w:r>
          </w:p>
          <w:p w:rsidR="00C97C6E" w:rsidRPr="00907E33" w:rsidRDefault="00000D08" w:rsidP="0057481F">
            <w:pPr>
              <w:pStyle w:val="Default"/>
              <w:rPr>
                <w:rFonts w:asciiTheme="minorHAnsi" w:hAnsiTheme="minorHAnsi" w:cstheme="minorHAnsi"/>
                <w:sz w:val="22"/>
                <w:szCs w:val="22"/>
              </w:rPr>
            </w:pPr>
            <w:hyperlink r:id="rId22" w:history="1">
              <w:r w:rsidR="00C97C6E" w:rsidRPr="00907E33">
                <w:rPr>
                  <w:rStyle w:val="Hyperlink"/>
                  <w:rFonts w:asciiTheme="minorHAnsi" w:hAnsiTheme="minorHAnsi" w:cstheme="minorHAnsi"/>
                  <w:sz w:val="22"/>
                  <w:szCs w:val="22"/>
                </w:rPr>
                <w:t>LearningCenter@utrgv.edu</w:t>
              </w:r>
            </w:hyperlink>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BMSLC 2.118</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882-8208</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ELCTR 100</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665-2585</w:t>
            </w:r>
          </w:p>
        </w:tc>
      </w:tr>
      <w:tr w:rsidR="00C97C6E" w:rsidRPr="00907E33" w:rsidTr="0057481F">
        <w:tc>
          <w:tcPr>
            <w:tcW w:w="3596" w:type="dxa"/>
          </w:tcPr>
          <w:p w:rsidR="00C97C6E" w:rsidRPr="00907E33" w:rsidRDefault="00C97C6E" w:rsidP="0057481F">
            <w:pPr>
              <w:pStyle w:val="Default"/>
              <w:rPr>
                <w:rFonts w:asciiTheme="minorHAnsi" w:hAnsiTheme="minorHAnsi" w:cstheme="minorHAnsi"/>
                <w:b/>
                <w:bCs/>
                <w:sz w:val="22"/>
                <w:szCs w:val="22"/>
              </w:rPr>
            </w:pPr>
            <w:r w:rsidRPr="00907E33">
              <w:rPr>
                <w:rFonts w:asciiTheme="minorHAnsi" w:hAnsiTheme="minorHAnsi" w:cstheme="minorHAnsi"/>
                <w:b/>
                <w:bCs/>
                <w:sz w:val="22"/>
                <w:szCs w:val="22"/>
              </w:rPr>
              <w:t>Writing Center</w:t>
            </w:r>
          </w:p>
          <w:p w:rsidR="00C97C6E" w:rsidRPr="00907E33" w:rsidRDefault="00000D08" w:rsidP="0057481F">
            <w:pPr>
              <w:pStyle w:val="Default"/>
              <w:rPr>
                <w:rFonts w:asciiTheme="minorHAnsi" w:hAnsiTheme="minorHAnsi" w:cstheme="minorHAnsi"/>
                <w:sz w:val="22"/>
                <w:szCs w:val="22"/>
              </w:rPr>
            </w:pPr>
            <w:hyperlink r:id="rId23" w:history="1">
              <w:r w:rsidR="00C97C6E" w:rsidRPr="00907E33">
                <w:rPr>
                  <w:rStyle w:val="Hyperlink"/>
                  <w:rFonts w:asciiTheme="minorHAnsi" w:hAnsiTheme="minorHAnsi" w:cstheme="minorHAnsi"/>
                  <w:sz w:val="22"/>
                  <w:szCs w:val="22"/>
                </w:rPr>
                <w:t>WC@utrgv.edu</w:t>
              </w:r>
            </w:hyperlink>
            <w:r w:rsidR="00C97C6E" w:rsidRPr="00907E33">
              <w:rPr>
                <w:rFonts w:asciiTheme="minorHAnsi" w:hAnsiTheme="minorHAnsi" w:cstheme="minorHAnsi"/>
                <w:sz w:val="22"/>
                <w:szCs w:val="22"/>
              </w:rPr>
              <w:t xml:space="preserve"> </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BUBLB 3.206</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882-7065</w:t>
            </w:r>
          </w:p>
        </w:tc>
        <w:tc>
          <w:tcPr>
            <w:tcW w:w="3597" w:type="dxa"/>
          </w:tcPr>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ESTAC 3.119</w:t>
            </w:r>
          </w:p>
          <w:p w:rsidR="00C97C6E" w:rsidRPr="00907E33" w:rsidRDefault="00C97C6E" w:rsidP="0057481F">
            <w:pPr>
              <w:pStyle w:val="Default"/>
              <w:rPr>
                <w:rFonts w:asciiTheme="minorHAnsi" w:hAnsiTheme="minorHAnsi" w:cstheme="minorHAnsi"/>
                <w:sz w:val="22"/>
                <w:szCs w:val="22"/>
              </w:rPr>
            </w:pPr>
            <w:r w:rsidRPr="00907E33">
              <w:rPr>
                <w:rFonts w:asciiTheme="minorHAnsi" w:hAnsiTheme="minorHAnsi" w:cstheme="minorHAnsi"/>
                <w:sz w:val="22"/>
                <w:szCs w:val="22"/>
              </w:rPr>
              <w:t>(956) 665-2538</w:t>
            </w:r>
          </w:p>
        </w:tc>
      </w:tr>
    </w:tbl>
    <w:p w:rsidR="00C97C6E" w:rsidRPr="00D766E8" w:rsidRDefault="00C97C6E" w:rsidP="00C97C6E">
      <w:pPr>
        <w:pStyle w:val="Default"/>
        <w:rPr>
          <w:rFonts w:asciiTheme="minorHAnsi" w:hAnsiTheme="minorHAnsi" w:cstheme="minorHAnsi"/>
          <w:sz w:val="2"/>
          <w:szCs w:val="2"/>
        </w:rPr>
      </w:pPr>
    </w:p>
    <w:p w:rsidR="00FA6D18" w:rsidRPr="001A351B" w:rsidRDefault="00FA6D18" w:rsidP="00C97C6E">
      <w:pPr>
        <w:spacing w:before="0" w:after="0" w:line="240" w:lineRule="auto"/>
        <w:rPr>
          <w:rFonts w:ascii="Times New Roman" w:hAnsi="Times New Roman" w:cs="Times New Roman"/>
        </w:rPr>
      </w:pPr>
    </w:p>
    <w:sectPr w:rsidR="00FA6D18" w:rsidRPr="001A351B" w:rsidSect="007330D2">
      <w:footerReference w:type="default" r:id="rId24"/>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08" w:rsidRDefault="00000D08" w:rsidP="001A351B">
      <w:r>
        <w:separator/>
      </w:r>
    </w:p>
  </w:endnote>
  <w:endnote w:type="continuationSeparator" w:id="0">
    <w:p w:rsidR="00000D08" w:rsidRDefault="00000D08" w:rsidP="001A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7D3" w:rsidRDefault="00EE57D3" w:rsidP="001A351B">
    <w:pPr>
      <w:pStyle w:val="Footer"/>
    </w:pPr>
  </w:p>
  <w:p w:rsidR="00EE57D3" w:rsidRDefault="00EE57D3" w:rsidP="001A3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08" w:rsidRDefault="00000D08" w:rsidP="001A351B">
      <w:r>
        <w:separator/>
      </w:r>
    </w:p>
  </w:footnote>
  <w:footnote w:type="continuationSeparator" w:id="0">
    <w:p w:rsidR="00000D08" w:rsidRDefault="00000D08" w:rsidP="001A3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77D9"/>
    <w:multiLevelType w:val="hybridMultilevel"/>
    <w:tmpl w:val="030C23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C14B0"/>
    <w:multiLevelType w:val="hybridMultilevel"/>
    <w:tmpl w:val="9A72A98A"/>
    <w:lvl w:ilvl="0" w:tplc="4DC03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34BAB"/>
    <w:multiLevelType w:val="hybridMultilevel"/>
    <w:tmpl w:val="097E8B42"/>
    <w:lvl w:ilvl="0" w:tplc="0DB8BF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9158C"/>
    <w:multiLevelType w:val="hybridMultilevel"/>
    <w:tmpl w:val="5AB8B3C4"/>
    <w:lvl w:ilvl="0" w:tplc="8B8AA5D4">
      <w:start w:val="1"/>
      <w:numFmt w:val="decimal"/>
      <w:lvlText w:val="%1."/>
      <w:lvlJc w:val="left"/>
      <w:pPr>
        <w:ind w:left="720" w:hanging="360"/>
      </w:pPr>
      <w:rPr>
        <w:rFonts w:hint="default"/>
        <w:b w:val="0"/>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71E94"/>
    <w:multiLevelType w:val="hybridMultilevel"/>
    <w:tmpl w:val="42BA3C02"/>
    <w:lvl w:ilvl="0" w:tplc="3FA89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6203"/>
    <w:multiLevelType w:val="hybridMultilevel"/>
    <w:tmpl w:val="D43EFC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650C7"/>
    <w:multiLevelType w:val="hybridMultilevel"/>
    <w:tmpl w:val="E88614D6"/>
    <w:lvl w:ilvl="0" w:tplc="C16CD53C">
      <w:start w:val="1"/>
      <w:numFmt w:val="decimal"/>
      <w:lvlText w:val="%1."/>
      <w:lvlJc w:val="left"/>
      <w:pPr>
        <w:ind w:left="720" w:hanging="360"/>
      </w:pPr>
      <w:rPr>
        <w:rFonts w:hint="default"/>
        <w:b w:val="0"/>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825F7"/>
    <w:multiLevelType w:val="hybridMultilevel"/>
    <w:tmpl w:val="556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566CE"/>
    <w:multiLevelType w:val="hybridMultilevel"/>
    <w:tmpl w:val="574A3B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62A04"/>
    <w:multiLevelType w:val="hybridMultilevel"/>
    <w:tmpl w:val="7B201F4E"/>
    <w:lvl w:ilvl="0" w:tplc="841EF340">
      <w:start w:val="1"/>
      <w:numFmt w:val="decimal"/>
      <w:lvlText w:val="%1."/>
      <w:lvlJc w:val="left"/>
      <w:pPr>
        <w:ind w:left="720" w:hanging="360"/>
      </w:pPr>
      <w:rPr>
        <w:rFonts w:ascii="Times New Roman" w:hAnsi="Times New Roman" w:cs="Times New Roman" w:hint="default"/>
        <w:b w:val="0"/>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E20D9"/>
    <w:multiLevelType w:val="hybridMultilevel"/>
    <w:tmpl w:val="BF4C5922"/>
    <w:lvl w:ilvl="0" w:tplc="8B8AA5D4">
      <w:start w:val="1"/>
      <w:numFmt w:val="decimal"/>
      <w:lvlText w:val="%1."/>
      <w:lvlJc w:val="left"/>
      <w:pPr>
        <w:ind w:left="720" w:hanging="360"/>
      </w:pPr>
      <w:rPr>
        <w:rFonts w:hint="default"/>
        <w:b w:val="0"/>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55BB4"/>
    <w:multiLevelType w:val="hybridMultilevel"/>
    <w:tmpl w:val="AB6A6F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376FA1"/>
    <w:multiLevelType w:val="hybridMultilevel"/>
    <w:tmpl w:val="77B0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E57BB"/>
    <w:multiLevelType w:val="hybridMultilevel"/>
    <w:tmpl w:val="F0E64690"/>
    <w:lvl w:ilvl="0" w:tplc="DC540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695934"/>
    <w:multiLevelType w:val="hybridMultilevel"/>
    <w:tmpl w:val="BEC056E6"/>
    <w:lvl w:ilvl="0" w:tplc="04090011">
      <w:start w:val="1"/>
      <w:numFmt w:val="decimal"/>
      <w:lvlText w:val="%1)"/>
      <w:lvlJc w:val="left"/>
      <w:pPr>
        <w:ind w:left="720" w:hanging="360"/>
      </w:pPr>
      <w:rPr>
        <w:rFonts w:hint="default"/>
        <w:b w:val="0"/>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4"/>
  </w:num>
  <w:num w:numId="5">
    <w:abstractNumId w:val="8"/>
  </w:num>
  <w:num w:numId="6">
    <w:abstractNumId w:val="14"/>
  </w:num>
  <w:num w:numId="7">
    <w:abstractNumId w:val="1"/>
  </w:num>
  <w:num w:numId="8">
    <w:abstractNumId w:val="9"/>
  </w:num>
  <w:num w:numId="9">
    <w:abstractNumId w:val="6"/>
  </w:num>
  <w:num w:numId="10">
    <w:abstractNumId w:val="3"/>
  </w:num>
  <w:num w:numId="11">
    <w:abstractNumId w:val="10"/>
  </w:num>
  <w:num w:numId="12">
    <w:abstractNumId w:val="15"/>
  </w:num>
  <w:num w:numId="13">
    <w:abstractNumId w:val="12"/>
  </w:num>
  <w:num w:numId="14">
    <w:abstractNumId w:val="7"/>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6A"/>
    <w:rsid w:val="00000D08"/>
    <w:rsid w:val="00003EC2"/>
    <w:rsid w:val="00026C6A"/>
    <w:rsid w:val="00056B7D"/>
    <w:rsid w:val="00067A8C"/>
    <w:rsid w:val="0008213B"/>
    <w:rsid w:val="000A398D"/>
    <w:rsid w:val="000B5816"/>
    <w:rsid w:val="000C3097"/>
    <w:rsid w:val="000C5171"/>
    <w:rsid w:val="000C7EF9"/>
    <w:rsid w:val="000F44D1"/>
    <w:rsid w:val="00100F35"/>
    <w:rsid w:val="00106712"/>
    <w:rsid w:val="00131F3A"/>
    <w:rsid w:val="0013437D"/>
    <w:rsid w:val="00165DB0"/>
    <w:rsid w:val="001800BF"/>
    <w:rsid w:val="001A351B"/>
    <w:rsid w:val="001B1A80"/>
    <w:rsid w:val="001B378F"/>
    <w:rsid w:val="001D3179"/>
    <w:rsid w:val="001F74CA"/>
    <w:rsid w:val="00220CC0"/>
    <w:rsid w:val="00267095"/>
    <w:rsid w:val="002A6E35"/>
    <w:rsid w:val="002B516A"/>
    <w:rsid w:val="002E2DED"/>
    <w:rsid w:val="002F7AD3"/>
    <w:rsid w:val="003116BA"/>
    <w:rsid w:val="00327B8C"/>
    <w:rsid w:val="00327FEA"/>
    <w:rsid w:val="0033190B"/>
    <w:rsid w:val="00333A27"/>
    <w:rsid w:val="00334891"/>
    <w:rsid w:val="0035318B"/>
    <w:rsid w:val="00370E44"/>
    <w:rsid w:val="003A5B1D"/>
    <w:rsid w:val="003B7FF3"/>
    <w:rsid w:val="003D5645"/>
    <w:rsid w:val="004032AC"/>
    <w:rsid w:val="00416C9C"/>
    <w:rsid w:val="00456407"/>
    <w:rsid w:val="00477B96"/>
    <w:rsid w:val="00493B8D"/>
    <w:rsid w:val="004C1CB1"/>
    <w:rsid w:val="00561A56"/>
    <w:rsid w:val="00565EAD"/>
    <w:rsid w:val="00590845"/>
    <w:rsid w:val="005B342E"/>
    <w:rsid w:val="005B59EA"/>
    <w:rsid w:val="005C3A83"/>
    <w:rsid w:val="005D7F5B"/>
    <w:rsid w:val="00607DA9"/>
    <w:rsid w:val="0061108F"/>
    <w:rsid w:val="00623792"/>
    <w:rsid w:val="0065422F"/>
    <w:rsid w:val="0068286B"/>
    <w:rsid w:val="006A72DF"/>
    <w:rsid w:val="007330D2"/>
    <w:rsid w:val="00791881"/>
    <w:rsid w:val="007A0A71"/>
    <w:rsid w:val="007E18FE"/>
    <w:rsid w:val="007E32C0"/>
    <w:rsid w:val="008042F8"/>
    <w:rsid w:val="00804E48"/>
    <w:rsid w:val="00874B08"/>
    <w:rsid w:val="00877A7A"/>
    <w:rsid w:val="00892742"/>
    <w:rsid w:val="008A1584"/>
    <w:rsid w:val="00906B1F"/>
    <w:rsid w:val="00914657"/>
    <w:rsid w:val="009217B3"/>
    <w:rsid w:val="00925A6A"/>
    <w:rsid w:val="00950916"/>
    <w:rsid w:val="0095582E"/>
    <w:rsid w:val="00960FA5"/>
    <w:rsid w:val="00984B73"/>
    <w:rsid w:val="009E3AF5"/>
    <w:rsid w:val="009E5D9D"/>
    <w:rsid w:val="009F2866"/>
    <w:rsid w:val="00A139BD"/>
    <w:rsid w:val="00A3047E"/>
    <w:rsid w:val="00A33EE6"/>
    <w:rsid w:val="00A351FC"/>
    <w:rsid w:val="00A456D1"/>
    <w:rsid w:val="00A66B3E"/>
    <w:rsid w:val="00AF56BB"/>
    <w:rsid w:val="00B43518"/>
    <w:rsid w:val="00B53DE5"/>
    <w:rsid w:val="00B55795"/>
    <w:rsid w:val="00B75648"/>
    <w:rsid w:val="00B816A3"/>
    <w:rsid w:val="00B92DF8"/>
    <w:rsid w:val="00BC0F5A"/>
    <w:rsid w:val="00BD7BDD"/>
    <w:rsid w:val="00C027B1"/>
    <w:rsid w:val="00C41A12"/>
    <w:rsid w:val="00C5058D"/>
    <w:rsid w:val="00C55D56"/>
    <w:rsid w:val="00C770DD"/>
    <w:rsid w:val="00C97C6E"/>
    <w:rsid w:val="00CB3BC3"/>
    <w:rsid w:val="00CC3D0F"/>
    <w:rsid w:val="00CF4DC1"/>
    <w:rsid w:val="00CF580E"/>
    <w:rsid w:val="00D02500"/>
    <w:rsid w:val="00D22B82"/>
    <w:rsid w:val="00D67627"/>
    <w:rsid w:val="00D677AD"/>
    <w:rsid w:val="00D93A08"/>
    <w:rsid w:val="00D94A7E"/>
    <w:rsid w:val="00D97FE3"/>
    <w:rsid w:val="00DA4A47"/>
    <w:rsid w:val="00DC5C75"/>
    <w:rsid w:val="00E1560C"/>
    <w:rsid w:val="00E23430"/>
    <w:rsid w:val="00E82FD7"/>
    <w:rsid w:val="00EE57D3"/>
    <w:rsid w:val="00F21FDB"/>
    <w:rsid w:val="00F318C7"/>
    <w:rsid w:val="00F33E76"/>
    <w:rsid w:val="00F34036"/>
    <w:rsid w:val="00F6799C"/>
    <w:rsid w:val="00F87326"/>
    <w:rsid w:val="00F87C7A"/>
    <w:rsid w:val="00FA6D18"/>
    <w:rsid w:val="00FD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51B"/>
    <w:pPr>
      <w:ind w:left="720" w:hanging="720"/>
    </w:pPr>
    <w:rPr>
      <w:sz w:val="24"/>
      <w:szCs w:val="24"/>
    </w:rPr>
  </w:style>
  <w:style w:type="paragraph" w:styleId="Heading1">
    <w:name w:val="heading 1"/>
    <w:basedOn w:val="Normal"/>
    <w:next w:val="Normal"/>
    <w:link w:val="Heading1Char"/>
    <w:uiPriority w:val="9"/>
    <w:qFormat/>
    <w:rsid w:val="00F87C7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351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b/>
      <w:caps/>
      <w:spacing w:val="15"/>
    </w:rPr>
  </w:style>
  <w:style w:type="paragraph" w:styleId="Heading3">
    <w:name w:val="heading 3"/>
    <w:basedOn w:val="Normal"/>
    <w:next w:val="Normal"/>
    <w:link w:val="Heading3Char"/>
    <w:uiPriority w:val="9"/>
    <w:semiHidden/>
    <w:unhideWhenUsed/>
    <w:qFormat/>
    <w:rsid w:val="00F87C7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7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1A351B"/>
    <w:rPr>
      <w:b/>
      <w:caps/>
      <w:spacing w:val="15"/>
      <w:sz w:val="24"/>
      <w:szCs w:val="24"/>
      <w:shd w:val="clear" w:color="auto" w:fill="DEEAF6" w:themeFill="accent1" w:themeFillTint="33"/>
    </w:rPr>
  </w:style>
  <w:style w:type="character" w:customStyle="1" w:styleId="Heading3Char">
    <w:name w:val="Heading 3 Char"/>
    <w:basedOn w:val="DefaultParagraphFont"/>
    <w:link w:val="Heading3"/>
    <w:uiPriority w:val="9"/>
    <w:semiHidden/>
    <w:rsid w:val="00F87C7A"/>
    <w:rPr>
      <w:caps/>
      <w:color w:val="1F4D78" w:themeColor="accent1" w:themeShade="7F"/>
      <w:spacing w:val="15"/>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Normal"/>
    <w:next w:val="Normal"/>
    <w:link w:val="TitleChar"/>
    <w:uiPriority w:val="10"/>
    <w:qFormat/>
    <w:rsid w:val="00F87C7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87C7A"/>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xa-size-base">
    <w:name w:val="x_a-size-base"/>
    <w:basedOn w:val="DefaultParagraphFont"/>
    <w:rsid w:val="00984B73"/>
  </w:style>
  <w:style w:type="paragraph" w:styleId="ListParagraph">
    <w:name w:val="List Paragraph"/>
    <w:basedOn w:val="Normal"/>
    <w:uiPriority w:val="34"/>
    <w:qFormat/>
    <w:rsid w:val="00984B73"/>
    <w:pPr>
      <w:spacing w:before="0" w:after="0" w:line="240" w:lineRule="auto"/>
      <w:contextualSpacing/>
    </w:pPr>
    <w:rPr>
      <w:rFonts w:ascii="Times New Roman" w:eastAsia="SimSun" w:hAnsi="Times New Roman" w:cs="Times New Roman"/>
      <w:color w:val="0000FF"/>
    </w:rPr>
  </w:style>
  <w:style w:type="paragraph" w:styleId="PlainText">
    <w:name w:val="Plain Text"/>
    <w:basedOn w:val="Normal"/>
    <w:link w:val="PlainTextChar"/>
    <w:rsid w:val="001A351B"/>
    <w:pPr>
      <w:spacing w:before="0" w:after="0" w:line="240" w:lineRule="auto"/>
    </w:pPr>
    <w:rPr>
      <w:rFonts w:ascii="Courier New" w:eastAsia="Times New Roman" w:hAnsi="Courier New" w:cs="Times New Roman"/>
    </w:rPr>
  </w:style>
  <w:style w:type="character" w:customStyle="1" w:styleId="PlainTextChar">
    <w:name w:val="Plain Text Char"/>
    <w:basedOn w:val="DefaultParagraphFont"/>
    <w:link w:val="PlainText"/>
    <w:rsid w:val="001A351B"/>
    <w:rPr>
      <w:rFonts w:ascii="Courier New" w:eastAsia="Times New Roman" w:hAnsi="Courier New" w:cs="Times New Roman"/>
      <w:sz w:val="24"/>
      <w:szCs w:val="24"/>
    </w:rPr>
  </w:style>
  <w:style w:type="table" w:styleId="TableGrid">
    <w:name w:val="Table Grid"/>
    <w:basedOn w:val="TableNormal"/>
    <w:uiPriority w:val="39"/>
    <w:rsid w:val="00FA6D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sheng.lei@utrgv.edu" TargetMode="External"/><Relationship Id="rId13" Type="http://schemas.openxmlformats.org/officeDocument/2006/relationships/hyperlink" Target="mailto:oie@utrgv.edu" TargetMode="External"/><Relationship Id="rId18" Type="http://schemas.openxmlformats.org/officeDocument/2006/relationships/hyperlink" Target="mailto:CareerCenter@utrgv.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FoodPantry@utrgv.edu" TargetMode="External"/><Relationship Id="rId7" Type="http://schemas.openxmlformats.org/officeDocument/2006/relationships/endnotes" Target="endnotes.xml"/><Relationship Id="rId12" Type="http://schemas.openxmlformats.org/officeDocument/2006/relationships/hyperlink" Target="http://my.utrgv.edu" TargetMode="External"/><Relationship Id="rId17" Type="http://schemas.openxmlformats.org/officeDocument/2006/relationships/hyperlink" Target="mailto:AcademicAdvising@utrgv.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ucentral@utrgv.edu" TargetMode="External"/><Relationship Id="rId20" Type="http://schemas.openxmlformats.org/officeDocument/2006/relationships/hyperlink" Target="https://www.utrgv.edu/facultysuccess/_files/documents/syllabus-statement-for-counseling-12-16-1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ility@utrgv.edu"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OVAVP@utrgv.edu" TargetMode="External"/><Relationship Id="rId23" Type="http://schemas.openxmlformats.org/officeDocument/2006/relationships/hyperlink" Target="mailto:WC@utrgv.edu" TargetMode="External"/><Relationship Id="rId10" Type="http://schemas.openxmlformats.org/officeDocument/2006/relationships/hyperlink" Target="mailto:ability@utrgv.edu" TargetMode="External"/><Relationship Id="rId19" Type="http://schemas.openxmlformats.org/officeDocument/2006/relationships/hyperlink" Target="mailto:Counseling@utrgv.edu" TargetMode="External"/><Relationship Id="rId4" Type="http://schemas.openxmlformats.org/officeDocument/2006/relationships/settings" Target="settings.xml"/><Relationship Id="rId9" Type="http://schemas.openxmlformats.org/officeDocument/2006/relationships/hyperlink" Target="https://my.utrgv.edu/home" TargetMode="External"/><Relationship Id="rId14"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22" Type="http://schemas.openxmlformats.org/officeDocument/2006/relationships/hyperlink" Target="mailto:LearningCenter@utrg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D686A-778F-4B78-9327-BD1E4B97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Kristine Lowe</dc:creator>
  <cp:lastModifiedBy>Hansheng Lei</cp:lastModifiedBy>
  <cp:revision>10</cp:revision>
  <cp:lastPrinted>2015-08-18T03:18:00Z</cp:lastPrinted>
  <dcterms:created xsi:type="dcterms:W3CDTF">2020-01-09T21:04:00Z</dcterms:created>
  <dcterms:modified xsi:type="dcterms:W3CDTF">2020-01-09T22:07:00Z</dcterms:modified>
</cp:coreProperties>
</file>