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AZERBAIJAN STATE ECONOMIC UNIVERSITY (UNEC)</w:t>
      </w:r>
    </w:p>
    <w:p>
      <w:pPr>
        <w:spacing w:after="800"/>
        <w:jc w:val="center"/>
      </w:pPr>
      <w:r>
        <w:rPr>
          <w:sz w:val="24"/>
        </w:rPr>
        <w:t>MBA in Artificial Intelligence Program</w:t>
      </w:r>
    </w:p>
    <w:p>
      <w:pPr>
        <w:spacing w:after="600"/>
        <w:jc w:val="center"/>
      </w:pPr>
      <w:r>
        <w:rPr>
          <w:b/>
          <w:sz w:val="28"/>
        </w:rPr>
        <w:t>MASTER'S DISSERTATION</w:t>
      </w:r>
    </w:p>
    <w:p>
      <w:pPr>
        <w:spacing w:after="1000"/>
        <w:jc w:val="center"/>
      </w:pPr>
      <w:r>
        <w:rPr>
          <w:b/>
          <w:sz w:val="32"/>
        </w:rPr>
        <w:t>Design and Development of a Rule-Based</w:t>
        <w:br/>
        <w:t>Text-to-Speech System</w:t>
        <w:br/>
        <w:t>for the Azerbaijani Language</w:t>
      </w:r>
    </w:p>
    <w:p>
      <w:pPr>
        <w:spacing w:after="80"/>
        <w:jc w:val="center"/>
      </w:pPr>
      <w:r>
        <w:rPr>
          <w:b/>
          <w:sz w:val="24"/>
        </w:rPr>
        <w:t xml:space="preserve">Student:  </w:t>
      </w:r>
      <w:r>
        <w:rPr>
          <w:sz w:val="24"/>
        </w:rPr>
        <w:t>Ulvi Bashirov</w:t>
      </w:r>
    </w:p>
    <w:p>
      <w:pPr>
        <w:spacing w:after="80"/>
        <w:jc w:val="center"/>
      </w:pPr>
      <w:r>
        <w:rPr>
          <w:b/>
          <w:sz w:val="24"/>
        </w:rPr>
        <w:t xml:space="preserve">Program:  </w:t>
      </w:r>
      <w:r>
        <w:rPr>
          <w:sz w:val="24"/>
        </w:rPr>
        <w:t>MBA in Artificial Intelligence</w:t>
      </w:r>
    </w:p>
    <w:p>
      <w:pPr>
        <w:spacing w:after="80"/>
        <w:jc w:val="center"/>
      </w:pPr>
      <w:r>
        <w:rPr>
          <w:b/>
          <w:sz w:val="24"/>
        </w:rPr>
        <w:t xml:space="preserve">University:  </w:t>
      </w:r>
      <w:r>
        <w:rPr>
          <w:sz w:val="24"/>
        </w:rPr>
        <w:t>Azerbaijan State Economic University (UNEC)</w:t>
      </w:r>
    </w:p>
    <w:p>
      <w:pPr>
        <w:spacing w:after="80"/>
        <w:jc w:val="center"/>
      </w:pPr>
      <w:r>
        <w:rPr>
          <w:b/>
          <w:sz w:val="24"/>
        </w:rPr>
        <w:t xml:space="preserve">Supervisor:  </w:t>
      </w:r>
      <w:r>
        <w:rPr>
          <w:sz w:val="24"/>
        </w:rPr>
        <w:t>Khanim Pashayeva</w:t>
      </w:r>
    </w:p>
    <w:p>
      <w:pPr>
        <w:spacing w:after="80"/>
        <w:jc w:val="center"/>
      </w:pPr>
      <w:r>
        <w:rPr>
          <w:b/>
          <w:sz w:val="24"/>
        </w:rPr>
        <w:t xml:space="preserve">Citation Style:  </w:t>
      </w:r>
      <w:r>
        <w:rPr>
          <w:sz w:val="24"/>
        </w:rPr>
        <w:t>APA 7</w:t>
      </w:r>
    </w:p>
    <w:p>
      <w:pPr>
        <w:spacing w:before="1000"/>
        <w:jc w:val="center"/>
      </w:pPr>
      <w:r>
        <w:rPr>
          <w:b/>
          <w:sz w:val="24"/>
        </w:rPr>
        <w:t>Baku — 2026</w:t>
      </w:r>
    </w:p>
    <w:p>
      <w:r>
        <w:br w:type="page"/>
      </w:r>
    </w:p>
    <w:p>
      <w:pPr>
        <w:pStyle w:val="Heading1"/>
        <w:spacing w:before="360" w:after="240"/>
        <w:jc w:val="center"/>
      </w:pPr>
      <w:r>
        <w:rPr>
          <w:b/>
          <w:sz w:val="32"/>
        </w:rPr>
        <w:t>ABSTRACT</w:t>
      </w:r>
    </w:p>
    <w:p>
      <w:pPr>
        <w:spacing w:before="240" w:after="240"/>
        <w:jc w:val="center"/>
      </w:pPr>
      <w:r>
        <w:rPr>
          <w:i/>
          <w:color w:val="7F7F7F"/>
          <w:sz w:val="24"/>
        </w:rPr>
        <w:t>[Research objectives — to be written]</w:t>
      </w:r>
    </w:p>
    <w:p>
      <w:pPr>
        <w:spacing w:before="240" w:after="240"/>
        <w:jc w:val="center"/>
      </w:pPr>
      <w:r>
        <w:rPr>
          <w:i/>
          <w:color w:val="7F7F7F"/>
          <w:sz w:val="24"/>
        </w:rPr>
        <w:t>[Methodological approach — to be written]</w:t>
      </w:r>
    </w:p>
    <w:p>
      <w:pPr>
        <w:spacing w:before="240" w:after="240"/>
        <w:jc w:val="center"/>
      </w:pPr>
      <w:r>
        <w:rPr>
          <w:i/>
          <w:color w:val="7F7F7F"/>
          <w:sz w:val="24"/>
        </w:rPr>
        <w:t>[Key findings and contributions — to be written]</w:t>
      </w:r>
    </w:p>
    <w:p>
      <w:pPr>
        <w:spacing w:before="240" w:after="240"/>
        <w:jc w:val="center"/>
      </w:pPr>
      <w:r>
        <w:rPr>
          <w:i/>
          <w:color w:val="7F7F7F"/>
          <w:sz w:val="24"/>
        </w:rPr>
        <w:t>Keywords: Azerbaijani language, text-to-speech synthesis, rule-based TTS, grapheme-to-phoneme conversion, vowel harmony, speech intelligibility</w:t>
      </w:r>
    </w:p>
    <w:p>
      <w:r>
        <w:br w:type="page"/>
      </w:r>
    </w:p>
    <w:p>
      <w:pPr>
        <w:pStyle w:val="Heading1"/>
        <w:spacing w:before="360" w:after="240"/>
        <w:jc w:val="center"/>
      </w:pPr>
      <w:r>
        <w:rPr>
          <w:b/>
          <w:sz w:val="32"/>
        </w:rPr>
        <w:t>TABLE OF CONTENTS</w:t>
      </w:r>
    </w:p>
    <w:p>
      <w:pPr>
        <w:spacing w:after="80"/>
        <w:jc w:val="left"/>
      </w:pPr>
      <w:r>
        <w:rPr>
          <w:b/>
          <w:sz w:val="24"/>
        </w:rPr>
        <w:t>Abstract</w:t>
      </w:r>
      <w:r>
        <w:rPr>
          <w:color w:val="7F7F7F"/>
          <w:sz w:val="24"/>
        </w:rPr>
        <w:t xml:space="preserve">  .....  ii</w:t>
      </w:r>
    </w:p>
    <w:p>
      <w:pPr>
        <w:spacing w:after="80"/>
        <w:jc w:val="left"/>
      </w:pPr>
      <w:r>
        <w:rPr>
          <w:b/>
          <w:sz w:val="24"/>
        </w:rPr>
        <w:t>Table of Contents</w:t>
      </w:r>
      <w:r>
        <w:rPr>
          <w:color w:val="7F7F7F"/>
          <w:sz w:val="24"/>
        </w:rPr>
        <w:t xml:space="preserve">  .....  iii</w:t>
      </w:r>
    </w:p>
    <w:p>
      <w:pPr>
        <w:spacing w:after="80"/>
        <w:jc w:val="left"/>
      </w:pPr>
      <w:r>
        <w:rPr>
          <w:b/>
          <w:sz w:val="24"/>
        </w:rPr>
        <w:t>Introduction</w:t>
      </w:r>
      <w:r>
        <w:rPr>
          <w:color w:val="7F7F7F"/>
          <w:sz w:val="24"/>
        </w:rPr>
        <w:t xml:space="preserve">  .....  1</w:t>
      </w:r>
    </w:p>
    <w:p>
      <w:pPr>
        <w:spacing w:after="80"/>
        <w:jc w:val="left"/>
      </w:pPr>
      <w:r>
        <w:rPr>
          <w:b/>
          <w:sz w:val="24"/>
        </w:rPr>
        <w:t>Chapter I. Theoretical Foundations of Text-to-Speech Systems</w:t>
      </w:r>
    </w:p>
    <w:p>
      <w:pPr>
        <w:spacing w:after="80"/>
        <w:jc w:val="left"/>
      </w:pPr>
      <w:r>
        <w:rPr>
          <w:sz w:val="24"/>
        </w:rPr>
        <w:t xml:space="preserve">    1.1. General Overview of Text-to-Speech Systems</w:t>
      </w:r>
    </w:p>
    <w:p>
      <w:pPr>
        <w:spacing w:after="80"/>
        <w:jc w:val="left"/>
      </w:pPr>
      <w:r>
        <w:rPr>
          <w:sz w:val="24"/>
        </w:rPr>
        <w:t xml:space="preserve">    1.2. Rule-Based Text-to-Speech Systems</w:t>
      </w:r>
    </w:p>
    <w:p>
      <w:pPr>
        <w:spacing w:after="80"/>
        <w:jc w:val="left"/>
      </w:pPr>
      <w:r>
        <w:rPr>
          <w:sz w:val="24"/>
        </w:rPr>
        <w:t xml:space="preserve">    1.3. Advantages and Limitations: A SWOT Analysis</w:t>
      </w:r>
    </w:p>
    <w:p>
      <w:pPr>
        <w:spacing w:after="80"/>
        <w:jc w:val="left"/>
      </w:pPr>
      <w:r>
        <w:rPr>
          <w:b/>
          <w:sz w:val="24"/>
        </w:rPr>
        <w:t>Chapter II. Linguistic and Technical Analysis for Azerbaijani TTS</w:t>
      </w:r>
    </w:p>
    <w:p>
      <w:pPr>
        <w:spacing w:after="80"/>
        <w:jc w:val="left"/>
      </w:pPr>
      <w:r>
        <w:rPr>
          <w:sz w:val="24"/>
        </w:rPr>
        <w:t xml:space="preserve">    2.1. Phonetic and Morphological Characteristics of Azerbaijani</w:t>
      </w:r>
    </w:p>
    <w:p>
      <w:pPr>
        <w:spacing w:after="80"/>
        <w:jc w:val="left"/>
      </w:pPr>
      <w:r>
        <w:rPr>
          <w:sz w:val="24"/>
        </w:rPr>
        <w:t xml:space="preserve">    2.2. Text Normalization and Linguistic Rule Design</w:t>
      </w:r>
    </w:p>
    <w:p>
      <w:pPr>
        <w:spacing w:after="80"/>
        <w:jc w:val="left"/>
      </w:pPr>
      <w:r>
        <w:rPr>
          <w:sz w:val="24"/>
        </w:rPr>
        <w:t xml:space="preserve">    2.3. Architecture of the Rule-Based Azerbaijani TTS System</w:t>
      </w:r>
    </w:p>
    <w:p>
      <w:pPr>
        <w:spacing w:after="80"/>
        <w:jc w:val="left"/>
      </w:pPr>
      <w:r>
        <w:rPr>
          <w:b/>
          <w:sz w:val="24"/>
        </w:rPr>
        <w:t>Chapter III. Design, Implementation, and Evaluation</w:t>
      </w:r>
      <w:r>
        <w:rPr>
          <w:color w:val="7F7F7F"/>
          <w:sz w:val="24"/>
        </w:rPr>
        <w:t xml:space="preserve">  .....  [placeholder]</w:t>
      </w:r>
    </w:p>
    <w:p>
      <w:pPr>
        <w:spacing w:after="80"/>
        <w:jc w:val="left"/>
      </w:pPr>
      <w:r>
        <w:rPr>
          <w:sz w:val="24"/>
        </w:rPr>
        <w:t xml:space="preserve">    3.1. System Design and Development Methodology</w:t>
      </w:r>
      <w:r>
        <w:rPr>
          <w:color w:val="7F7F7F"/>
          <w:sz w:val="24"/>
        </w:rPr>
        <w:t xml:space="preserve">  .....  [placeholder]</w:t>
      </w:r>
    </w:p>
    <w:p>
      <w:pPr>
        <w:spacing w:after="80"/>
        <w:jc w:val="left"/>
      </w:pPr>
      <w:r>
        <w:rPr>
          <w:sz w:val="24"/>
        </w:rPr>
        <w:t xml:space="preserve">    3.2. Implementation of the Rule-Based TTS Prototype</w:t>
      </w:r>
      <w:r>
        <w:rPr>
          <w:color w:val="7F7F7F"/>
          <w:sz w:val="24"/>
        </w:rPr>
        <w:t xml:space="preserve">  .....  [placeholder]</w:t>
      </w:r>
    </w:p>
    <w:p>
      <w:pPr>
        <w:spacing w:after="80"/>
        <w:jc w:val="left"/>
      </w:pPr>
      <w:r>
        <w:rPr>
          <w:sz w:val="24"/>
        </w:rPr>
        <w:t xml:space="preserve">    3.3. Experimental Evaluation and Performance Analysis</w:t>
      </w:r>
      <w:r>
        <w:rPr>
          <w:color w:val="7F7F7F"/>
          <w:sz w:val="24"/>
        </w:rPr>
        <w:t xml:space="preserve">  .....  [placeholder]</w:t>
      </w:r>
    </w:p>
    <w:p>
      <w:pPr>
        <w:spacing w:after="80"/>
        <w:jc w:val="left"/>
      </w:pPr>
      <w:r>
        <w:rPr>
          <w:b/>
          <w:sz w:val="24"/>
        </w:rPr>
        <w:t>Conclusion</w:t>
      </w:r>
      <w:r>
        <w:rPr>
          <w:color w:val="7F7F7F"/>
          <w:sz w:val="24"/>
        </w:rPr>
        <w:t xml:space="preserve">  .....  [placeholder]</w:t>
      </w:r>
    </w:p>
    <w:p>
      <w:pPr>
        <w:spacing w:after="80"/>
        <w:jc w:val="left"/>
      </w:pPr>
      <w:r>
        <w:rPr>
          <w:b/>
          <w:sz w:val="24"/>
        </w:rPr>
        <w:t>References</w:t>
      </w:r>
    </w:p>
    <w:p>
      <w:r>
        <w:br w:type="page"/>
      </w:r>
    </w:p>
    <w:p>
      <w:pPr>
        <w:pStyle w:val="Heading1"/>
        <w:spacing w:before="360" w:after="240"/>
        <w:jc w:val="center"/>
      </w:pPr>
      <w:r>
        <w:rPr>
          <w:b/>
          <w:sz w:val="32"/>
        </w:rPr>
        <w:t>INTRODUCTION</w:t>
      </w:r>
    </w:p>
    <w:p>
      <w:pPr>
        <w:spacing w:after="120"/>
        <w:ind w:firstLine="709"/>
        <w:jc w:val="both"/>
      </w:pPr>
      <w:r>
        <w:rPr>
          <w:b/>
          <w:sz w:val="24"/>
        </w:rPr>
        <w:t>Relevance of the Topic.</w:t>
      </w:r>
      <w:r>
        <w:rPr>
          <w:sz w:val="24"/>
        </w:rPr>
        <w:t xml:space="preserve"> Text-to-speech (TTS) synthesis is a foundational component of modern human-computer interaction. Despite major advances in neural TTS for well-resourced languages, the vast majority of the world's languages — including Azerbaijani — remain without openly available, well-documented TTS systems. This dissertation addresses this gap for the Azerbaijani language.</w:t>
      </w:r>
    </w:p>
    <w:p>
      <w:pPr>
        <w:spacing w:after="120"/>
        <w:ind w:firstLine="709"/>
        <w:jc w:val="both"/>
      </w:pPr>
      <w:r>
        <w:rPr>
          <w:b/>
          <w:sz w:val="24"/>
        </w:rPr>
        <w:t>Degree of Exploration.</w:t>
      </w:r>
      <w:r>
        <w:rPr>
          <w:sz w:val="24"/>
        </w:rPr>
        <w:t xml:space="preserve"> Existing work on Azerbaijani TTS includes the formant-based system by Aida-Zade and Sharifova (2010), the neural system by Aghalari (2023), and the multilingual Turkic TTS by Yeshpanov et al. (2023). None of these systems have made their linguistic rule bases openly available, and none have been designed specifically for transparency and academic documentation.</w:t>
      </w:r>
    </w:p>
    <w:p>
      <w:pPr>
        <w:spacing w:after="120"/>
        <w:ind w:firstLine="709"/>
        <w:jc w:val="both"/>
      </w:pPr>
      <w:r>
        <w:rPr>
          <w:b/>
          <w:sz w:val="24"/>
        </w:rPr>
        <w:t>Purpose of Exploration.</w:t>
      </w:r>
      <w:r>
        <w:rPr>
          <w:sz w:val="24"/>
        </w:rPr>
        <w:t xml:space="preserve"> [To be written — research aim and objectives]</w:t>
      </w:r>
    </w:p>
    <w:p>
      <w:pPr>
        <w:spacing w:after="120"/>
        <w:ind w:firstLine="709"/>
        <w:jc w:val="both"/>
      </w:pPr>
      <w:r>
        <w:rPr>
          <w:b/>
          <w:sz w:val="24"/>
        </w:rPr>
        <w:t>The Object of the Study.</w:t>
      </w:r>
      <w:r>
        <w:rPr>
          <w:sz w:val="24"/>
        </w:rPr>
        <w:t xml:space="preserve"> The object of this study is the process of automated speech synthesis from text in the Azerbaijani language. The subject of the study is the set of linguistic rules, algorithmic design decisions, and evaluation methodology used to build and assess a rule-based Azerbaijani TTS prototype.</w:t>
      </w:r>
    </w:p>
    <w:p>
      <w:pPr>
        <w:spacing w:after="120"/>
        <w:ind w:firstLine="709"/>
        <w:jc w:val="both"/>
      </w:pPr>
      <w:r>
        <w:rPr>
          <w:b/>
          <w:sz w:val="24"/>
        </w:rPr>
        <w:t>Theoretical Foundations.</w:t>
      </w:r>
      <w:r>
        <w:rPr>
          <w:sz w:val="24"/>
        </w:rPr>
        <w:t xml:space="preserve"> [To be written — theoretical foundations of research]</w:t>
      </w:r>
    </w:p>
    <w:p>
      <w:pPr>
        <w:spacing w:after="120"/>
        <w:ind w:firstLine="709"/>
        <w:jc w:val="both"/>
      </w:pPr>
      <w:r>
        <w:rPr>
          <w:b/>
          <w:sz w:val="24"/>
        </w:rPr>
        <w:t>The Scientific-Practical Significance.</w:t>
      </w:r>
      <w:r>
        <w:rPr>
          <w:sz w:val="24"/>
        </w:rPr>
        <w:t xml:space="preserve"> [To be written — scientific novelty and practical significance]</w:t>
      </w:r>
    </w:p>
    <w:p>
      <w:pPr>
        <w:spacing w:after="120"/>
        <w:ind w:firstLine="709"/>
        <w:jc w:val="both"/>
      </w:pPr>
      <w:r>
        <w:rPr>
          <w:b/>
          <w:sz w:val="24"/>
        </w:rPr>
        <w:t>Structure of Work:</w:t>
      </w:r>
      <w:r>
        <w:rPr>
          <w:sz w:val="24"/>
        </w:rPr>
        <w:t xml:space="preserve"> This dissertation is structured into three chapters. Chapter I reviews the theoretical foundations of TTS technology, the principles of rule-based systems, and a SWOT analysis of the rule-based approach in the Azerbaijani context. Chapter II examines the phonological and morphological characteristics of Azerbaijani, describes the linguistic rule design for text normalization, G2P conversion, stress assignment, and prosody modeling, and presents the system architecture. Chapter III presents the implementation details, test suite design, and experimental evaluation results including MOS and WER measurements.</w:t>
      </w:r>
    </w:p>
    <w:p>
      <w:r>
        <w:br w:type="page"/>
      </w:r>
    </w:p>
    <w:p>
      <w:pPr>
        <w:pStyle w:val="Heading1"/>
        <w:spacing w:before="360" w:after="240"/>
        <w:jc w:val="center"/>
      </w:pPr>
      <w:r>
        <w:rPr>
          <w:b/>
          <w:sz w:val="32"/>
        </w:rPr>
        <w:t>CHAPTER I. THEORETICAL FOUNDATIONS OF TEXT-TO-SPEECH SYSTEMS</w:t>
      </w:r>
    </w:p>
    <w:p>
      <w:pPr>
        <w:spacing w:before="0" w:after="120"/>
        <w:ind w:firstLine="709"/>
        <w:jc w:val="both"/>
      </w:pPr>
      <w:r>
        <w:rPr>
          <w:sz w:val="24"/>
        </w:rPr>
        <w:t>This chapter reviews the theoretical foundations of text-to-speech (TTS) synthesis. It is organized into three sections: a general overview of TTS systems and their historical evolution; a focused treatment of rule-based TTS principles, phonetic modeling, and comparison with competing paradigms; and a structured SWOT analysis of the rule-based approach applied specifically to the Azerbaijani language context.</w:t>
      </w:r>
    </w:p>
    <w:p>
      <w:pPr>
        <w:pStyle w:val="Heading2"/>
        <w:spacing w:before="280" w:after="160"/>
        <w:jc w:val="center"/>
      </w:pPr>
      <w:r>
        <w:rPr>
          <w:b/>
          <w:sz w:val="28"/>
        </w:rPr>
        <w:t>1.1. General Overview of Text-to-Speech Systems</w:t>
      </w:r>
    </w:p>
    <w:p>
      <w:pPr>
        <w:pStyle w:val="Heading3"/>
        <w:spacing w:before="200" w:after="80"/>
        <w:jc w:val="left"/>
      </w:pPr>
      <w:r>
        <w:rPr>
          <w:b/>
          <w:color w:val="000000"/>
          <w:sz w:val="24"/>
        </w:rPr>
        <w:t>1.1.1. Definition and Purpose of Text-to-Speech Technology</w:t>
      </w:r>
    </w:p>
    <w:p>
      <w:pPr>
        <w:spacing w:before="0" w:after="120"/>
        <w:ind w:firstLine="709"/>
        <w:jc w:val="both"/>
      </w:pPr>
      <w:r>
        <w:rPr>
          <w:sz w:val="24"/>
        </w:rPr>
        <w:t>Text-to-speech (TTS) synthesis is the automatic conversion of written natural language text into intelligible, natural-sounding spoken audio. The goal is not merely to produce any sound corresponding to the input text, but to generate speech that is simultaneously intelligible — correctly understood by listeners — and natural — resembling the prosodic and phonetic properties of human speech (Taylor et al., 1998; Tan et al., 2021).</w:t>
      </w:r>
    </w:p>
    <w:p>
      <w:pPr>
        <w:spacing w:before="0" w:after="120"/>
        <w:ind w:firstLine="709"/>
        <w:jc w:val="both"/>
      </w:pPr>
      <w:r>
        <w:rPr>
          <w:sz w:val="24"/>
        </w:rPr>
        <w:t>TTS technology has become a critical component of modern human-computer interaction across a broad spectrum of applications:</w:t>
      </w:r>
    </w:p>
    <w:p>
      <w:pPr>
        <w:pStyle w:val="ListBullet"/>
        <w:spacing w:after="80"/>
        <w:jc w:val="both"/>
      </w:pPr>
      <w:r>
        <w:rPr>
          <w:sz w:val="24"/>
        </w:rPr>
        <w:t>Accessibility tools for individuals with visual impairments or reading disabilities</w:t>
      </w:r>
    </w:p>
    <w:p>
      <w:pPr>
        <w:pStyle w:val="ListBullet"/>
        <w:spacing w:after="80"/>
        <w:jc w:val="both"/>
      </w:pPr>
      <w:r>
        <w:rPr>
          <w:sz w:val="24"/>
        </w:rPr>
        <w:t>Voice assistants (Siri, Alexa, Google Assistant)</w:t>
      </w:r>
    </w:p>
    <w:p>
      <w:pPr>
        <w:pStyle w:val="ListBullet"/>
        <w:spacing w:after="80"/>
        <w:jc w:val="both"/>
      </w:pPr>
      <w:r>
        <w:rPr>
          <w:sz w:val="24"/>
        </w:rPr>
        <w:t>Audiobook and podcast generation</w:t>
      </w:r>
    </w:p>
    <w:p>
      <w:pPr>
        <w:pStyle w:val="ListBullet"/>
        <w:spacing w:after="80"/>
        <w:jc w:val="both"/>
      </w:pPr>
      <w:r>
        <w:rPr>
          <w:sz w:val="24"/>
        </w:rPr>
        <w:t>Navigation and mapping systems</w:t>
      </w:r>
    </w:p>
    <w:p>
      <w:pPr>
        <w:pStyle w:val="ListBullet"/>
        <w:spacing w:after="80"/>
        <w:jc w:val="both"/>
      </w:pPr>
      <w:r>
        <w:rPr>
          <w:sz w:val="24"/>
        </w:rPr>
        <w:t>Language learning and e-learning platforms</w:t>
      </w:r>
    </w:p>
    <w:p>
      <w:pPr>
        <w:pStyle w:val="ListBullet"/>
        <w:spacing w:after="80"/>
        <w:jc w:val="both"/>
      </w:pPr>
      <w:r>
        <w:rPr>
          <w:sz w:val="24"/>
        </w:rPr>
        <w:t>Customer service automation and interactive voice response systems</w:t>
      </w:r>
    </w:p>
    <w:p>
      <w:pPr>
        <w:pStyle w:val="ListBullet"/>
        <w:spacing w:after="80"/>
        <w:jc w:val="both"/>
      </w:pPr>
      <w:r>
        <w:rPr>
          <w:sz w:val="24"/>
        </w:rPr>
        <w:t>Assistive communication devices for people with speech disorders</w:t>
      </w:r>
    </w:p>
    <w:p>
      <w:pPr>
        <w:spacing w:before="0" w:after="120"/>
        <w:ind w:firstLine="709"/>
        <w:jc w:val="both"/>
      </w:pPr>
      <w:r>
        <w:rPr>
          <w:sz w:val="24"/>
        </w:rPr>
        <w:t>Market research indicates that the global TTS market exceeded $3.1 billion in 2023 and is projected to expand at a compound annual growth rate of 14.6% through 2030 (arXiv:2412.06602, 2024). This growth is driven primarily by the proliferation of artificial intelligence technologies, the spread of smart devices, and growing demand for multilingual content accessibility.</w:t>
      </w:r>
    </w:p>
    <w:p>
      <w:pPr>
        <w:spacing w:before="0" w:after="120"/>
        <w:ind w:firstLine="709"/>
        <w:jc w:val="both"/>
      </w:pPr>
      <w:r>
        <w:rPr>
          <w:sz w:val="24"/>
        </w:rPr>
        <w:t>However, high-quality TTS technology remains unavailable for the majority of the world's languages. Azerbaijani — the official language of the Republic of Azerbaijan and spoken by approximately 35 million people worldwide — is among the languages underserved by modern speech technology. While some systems exist for Azerbaijani (notably Samir Rustamov's commercial system and the IS2AI multilingual Turkic TTS system by Yeshpanov et al., 2023), no openly available, well-documented system with a transparent linguistic foundation has been published. Addressing this gap is the principal motivation of this dissertation.</w:t>
      </w:r>
    </w:p>
    <w:p>
      <w:pPr>
        <w:pStyle w:val="Heading3"/>
        <w:spacing w:before="200" w:after="80"/>
        <w:jc w:val="left"/>
      </w:pPr>
      <w:r>
        <w:rPr>
          <w:b/>
          <w:color w:val="000000"/>
          <w:sz w:val="24"/>
        </w:rPr>
        <w:t>1.1.2. Core Components of TTS Systems</w:t>
      </w:r>
    </w:p>
    <w:p>
      <w:pPr>
        <w:spacing w:before="0" w:after="120"/>
        <w:ind w:firstLine="709"/>
        <w:jc w:val="both"/>
      </w:pPr>
      <w:r>
        <w:rPr>
          <w:sz w:val="24"/>
        </w:rPr>
        <w:t>Despite the diversity of acoustic backends, all TTS systems share a common two-stage architecture: a linguistic front-end that analyzes and enriches the input text, and an acoustic back-end that converts the linguistic representation to a waveform (Tan et al., 2021).</w:t>
      </w:r>
    </w:p>
    <w:p>
      <w:pPr>
        <w:spacing w:before="120" w:after="40"/>
        <w:jc w:val="center"/>
      </w:pPr>
      <w:r>
        <w:rPr>
          <w:i/>
          <w:color w:val="7F7F7F"/>
          <w:sz w:val="20"/>
        </w:rPr>
        <w:t>[Figure 1.1: General TTS system architecture — block diagram from text input to speech output]</w:t>
      </w:r>
    </w:p>
    <w:p>
      <w:pPr>
        <w:spacing w:after="160"/>
        <w:jc w:val="center"/>
      </w:pPr>
      <w:r>
        <w:rPr>
          <w:i/>
          <w:color w:val="7F7F7F"/>
          <w:sz w:val="18"/>
        </w:rPr>
        <w:t>Source: ResearchGate (2021). Text-To-Speech system architecture. https://www.researchgate.net/figure/Text-To-Speech-system-architecture_fig1_241025907</w:t>
      </w:r>
    </w:p>
    <w:p>
      <w:pPr>
        <w:spacing w:before="0" w:after="120"/>
        <w:ind w:firstLine="709"/>
        <w:jc w:val="both"/>
      </w:pPr>
      <w:r>
        <w:rPr>
          <w:sz w:val="24"/>
        </w:rPr>
        <w:t>The linguistic front-end comprises four principal components:</w:t>
      </w:r>
    </w:p>
    <w:p>
      <w:pPr>
        <w:spacing w:after="120"/>
        <w:ind w:firstLine="709"/>
        <w:jc w:val="both"/>
      </w:pPr>
      <w:r>
        <w:rPr>
          <w:b/>
          <w:sz w:val="24"/>
        </w:rPr>
        <w:t xml:space="preserve">1. </w:t>
      </w:r>
      <w:r>
        <w:rPr>
          <w:b/>
          <w:sz w:val="24"/>
        </w:rPr>
        <w:t xml:space="preserve">TEXT NORMALIZATION: </w:t>
      </w:r>
      <w:r>
        <w:rPr>
          <w:sz w:val="24"/>
        </w:rPr>
        <w:t>Conversion of non-standard words (NSWs) — numerals, abbreviations, symbols, dates, times, currency amounts — into their fully expanded, pronounceable form. Production systems such as NVIDIA NeMo use weighted finite-state transducers (WFSTs) for this process (NVIDIA, 2020–2024). Recent LLM-based approaches such as PolyNorm (Apple Machine Learning Research, 2024) achieve multilingual normalization from few examples.</w:t>
      </w:r>
    </w:p>
    <w:p>
      <w:pPr>
        <w:spacing w:after="120"/>
        <w:ind w:firstLine="709"/>
        <w:jc w:val="both"/>
      </w:pPr>
      <w:r>
        <w:rPr>
          <w:b/>
          <w:sz w:val="24"/>
        </w:rPr>
        <w:t xml:space="preserve">2. </w:t>
      </w:r>
      <w:r>
        <w:rPr>
          <w:b/>
          <w:sz w:val="24"/>
        </w:rPr>
        <w:t xml:space="preserve">MORPHOLOGICAL ANALYSIS: </w:t>
      </w:r>
      <w:r>
        <w:rPr>
          <w:sz w:val="24"/>
        </w:rPr>
        <w:t>Segmentation of words into morphemes, assignment of part-of-speech labels, and resolution of lexical ambiguity. Agglutinative languages — Azerbaijani among them — present particular challenges at this stage, since a single word may consist of a root plus many suffixes, each modifying the pronunciation of the whole (MorAz, 2019).</w:t>
      </w:r>
    </w:p>
    <w:p>
      <w:pPr>
        <w:spacing w:after="120"/>
        <w:ind w:firstLine="709"/>
        <w:jc w:val="both"/>
      </w:pPr>
      <w:r>
        <w:rPr>
          <w:b/>
          <w:sz w:val="24"/>
        </w:rPr>
        <w:t xml:space="preserve">3. </w:t>
      </w:r>
      <w:r>
        <w:rPr>
          <w:b/>
          <w:sz w:val="24"/>
        </w:rPr>
        <w:t xml:space="preserve">GRAPHEME-TO-PHONEME (G2P) CONVERSION: </w:t>
      </w:r>
      <w:r>
        <w:rPr>
          <w:sz w:val="24"/>
        </w:rPr>
        <w:t>Mapping of orthographic characters to their phonemic representation, typically in the International Phonetic Alphabet (IPA). This step must handle language-specific correspondences between spelling and pronunciation, including context-sensitive rules and exceptions (Survey of G2P Methods, 2024).</w:t>
      </w:r>
    </w:p>
    <w:p>
      <w:pPr>
        <w:spacing w:after="120"/>
        <w:ind w:firstLine="709"/>
        <w:jc w:val="both"/>
      </w:pPr>
      <w:r>
        <w:rPr>
          <w:b/>
          <w:sz w:val="24"/>
        </w:rPr>
        <w:t xml:space="preserve">4. </w:t>
      </w:r>
      <w:r>
        <w:rPr>
          <w:b/>
          <w:sz w:val="24"/>
        </w:rPr>
        <w:t xml:space="preserve">PROSODY PREDICTION: </w:t>
      </w:r>
      <w:r>
        <w:rPr>
          <w:sz w:val="24"/>
        </w:rPr>
        <w:t>Generation of the suprasegmental properties of speech: lexical stress, phrase-level pitch accents, intonation contours, phone durations, and pause locations. Recent work includes LSTM-based natural prosody learning (Sensors, 2024) and PitchFlow (Sadekova et al., 2024).</w:t>
      </w:r>
    </w:p>
    <w:p>
      <w:pPr>
        <w:spacing w:before="0" w:after="120"/>
        <w:ind w:firstLine="709"/>
        <w:jc w:val="both"/>
      </w:pPr>
      <w:r>
        <w:rPr>
          <w:sz w:val="24"/>
        </w:rPr>
        <w:t>TTS system quality is measured along two primary dimensions (Speech Quality Metrics, 2020–2024): Mean Opinion Score (MOS) — human listeners rate naturalness on a five-point ITU-T P.800 scale from 1 (bad) to 5 (excellent) — and Word Error Rate (WER) — intelligibility measured via transcription accuracy.</w:t>
      </w:r>
    </w:p>
    <w:p>
      <w:pPr>
        <w:spacing w:before="200" w:after="80"/>
        <w:jc w:val="center"/>
      </w:pPr>
      <w:r>
        <w:rPr>
          <w:b/>
          <w:sz w:val="22"/>
        </w:rPr>
        <w:t>Table 1.1. MOS Evaluation Scale (ITU-T P.800)</w:t>
      </w:r>
    </w:p>
    <w:tbl>
      <w:tblPr>
        <w:tblStyle w:val="TableGrid"/>
        <w:tblW w:type="auto" w:w="0"/>
        <w:jc w:val="center"/>
        <w:tblLook w:firstColumn="1" w:firstRow="1" w:lastColumn="0" w:lastRow="0" w:noHBand="0" w:noVBand="1" w:val="04A0"/>
      </w:tblPr>
      <w:tblGrid>
        <w:gridCol w:w="3043"/>
        <w:gridCol w:w="3043"/>
        <w:gridCol w:w="3043"/>
      </w:tblGrid>
      <w:tr>
        <w:tc>
          <w:tcPr>
            <w:tcW w:type="dxa" w:w="3043"/>
            <w:shd w:val="clear" w:color="auto" w:fill="D9E2F3"/>
          </w:tcPr>
          <w:p>
            <w:pPr>
              <w:jc w:val="center"/>
            </w:pPr>
            <w:r>
              <w:rPr>
                <w:b/>
                <w:sz w:val="20"/>
              </w:rPr>
              <w:t>Score</w:t>
            </w:r>
          </w:p>
        </w:tc>
        <w:tc>
          <w:tcPr>
            <w:tcW w:type="dxa" w:w="3043"/>
            <w:shd w:val="clear" w:color="auto" w:fill="D9E2F3"/>
          </w:tcPr>
          <w:p>
            <w:pPr>
              <w:jc w:val="center"/>
            </w:pPr>
            <w:r>
              <w:rPr>
                <w:b/>
                <w:sz w:val="20"/>
              </w:rPr>
              <w:t>Label</w:t>
            </w:r>
          </w:p>
        </w:tc>
        <w:tc>
          <w:tcPr>
            <w:tcW w:type="dxa" w:w="3043"/>
            <w:shd w:val="clear" w:color="auto" w:fill="D9E2F3"/>
          </w:tcPr>
          <w:p>
            <w:pPr>
              <w:jc w:val="center"/>
            </w:pPr>
            <w:r>
              <w:rPr>
                <w:b/>
                <w:sz w:val="20"/>
              </w:rPr>
              <w:t>Description</w:t>
            </w:r>
          </w:p>
        </w:tc>
      </w:tr>
      <w:tr>
        <w:tc>
          <w:tcPr>
            <w:tcW w:type="dxa" w:w="3043"/>
          </w:tcPr>
          <w:p>
            <w:pPr>
              <w:jc w:val="center"/>
            </w:pPr>
            <w:r>
              <w:rPr>
                <w:sz w:val="20"/>
              </w:rPr>
              <w:t>5</w:t>
            </w:r>
          </w:p>
        </w:tc>
        <w:tc>
          <w:tcPr>
            <w:tcW w:type="dxa" w:w="3043"/>
          </w:tcPr>
          <w:p>
            <w:pPr>
              <w:jc w:val="center"/>
            </w:pPr>
            <w:r>
              <w:rPr>
                <w:sz w:val="20"/>
              </w:rPr>
              <w:t>Excellent</w:t>
            </w:r>
          </w:p>
        </w:tc>
        <w:tc>
          <w:tcPr>
            <w:tcW w:type="dxa" w:w="3043"/>
          </w:tcPr>
          <w:p>
            <w:pPr>
              <w:jc w:val="center"/>
            </w:pPr>
            <w:r>
              <w:rPr>
                <w:sz w:val="20"/>
              </w:rPr>
              <w:t>Completely natural, no synthetic quality</w:t>
            </w:r>
          </w:p>
        </w:tc>
      </w:tr>
      <w:tr>
        <w:tc>
          <w:tcPr>
            <w:tcW w:type="dxa" w:w="3043"/>
          </w:tcPr>
          <w:p>
            <w:pPr>
              <w:jc w:val="center"/>
            </w:pPr>
            <w:r>
              <w:rPr>
                <w:sz w:val="20"/>
              </w:rPr>
              <w:t>4</w:t>
            </w:r>
          </w:p>
        </w:tc>
        <w:tc>
          <w:tcPr>
            <w:tcW w:type="dxa" w:w="3043"/>
          </w:tcPr>
          <w:p>
            <w:pPr>
              <w:jc w:val="center"/>
            </w:pPr>
            <w:r>
              <w:rPr>
                <w:sz w:val="20"/>
              </w:rPr>
              <w:t>Good</w:t>
            </w:r>
          </w:p>
        </w:tc>
        <w:tc>
          <w:tcPr>
            <w:tcW w:type="dxa" w:w="3043"/>
          </w:tcPr>
          <w:p>
            <w:pPr>
              <w:jc w:val="center"/>
            </w:pPr>
            <w:r>
              <w:rPr>
                <w:sz w:val="20"/>
              </w:rPr>
              <w:t>Mostly natural, minor synthetic quality</w:t>
            </w:r>
          </w:p>
        </w:tc>
      </w:tr>
      <w:tr>
        <w:tc>
          <w:tcPr>
            <w:tcW w:type="dxa" w:w="3043"/>
          </w:tcPr>
          <w:p>
            <w:pPr>
              <w:jc w:val="center"/>
            </w:pPr>
            <w:r>
              <w:rPr>
                <w:sz w:val="20"/>
              </w:rPr>
              <w:t>3</w:t>
            </w:r>
          </w:p>
        </w:tc>
        <w:tc>
          <w:tcPr>
            <w:tcW w:type="dxa" w:w="3043"/>
          </w:tcPr>
          <w:p>
            <w:pPr>
              <w:jc w:val="center"/>
            </w:pPr>
            <w:r>
              <w:rPr>
                <w:sz w:val="20"/>
              </w:rPr>
              <w:t>Fair</w:t>
            </w:r>
          </w:p>
        </w:tc>
        <w:tc>
          <w:tcPr>
            <w:tcW w:type="dxa" w:w="3043"/>
          </w:tcPr>
          <w:p>
            <w:pPr>
              <w:jc w:val="center"/>
            </w:pPr>
            <w:r>
              <w:rPr>
                <w:sz w:val="20"/>
              </w:rPr>
              <w:t>Noticeable synthetic quality, fully intelligible</w:t>
            </w:r>
          </w:p>
        </w:tc>
      </w:tr>
      <w:tr>
        <w:tc>
          <w:tcPr>
            <w:tcW w:type="dxa" w:w="3043"/>
          </w:tcPr>
          <w:p>
            <w:pPr>
              <w:jc w:val="center"/>
            </w:pPr>
            <w:r>
              <w:rPr>
                <w:sz w:val="20"/>
              </w:rPr>
              <w:t>2</w:t>
            </w:r>
          </w:p>
        </w:tc>
        <w:tc>
          <w:tcPr>
            <w:tcW w:type="dxa" w:w="3043"/>
          </w:tcPr>
          <w:p>
            <w:pPr>
              <w:jc w:val="center"/>
            </w:pPr>
            <w:r>
              <w:rPr>
                <w:sz w:val="20"/>
              </w:rPr>
              <w:t>Poor</w:t>
            </w:r>
          </w:p>
        </w:tc>
        <w:tc>
          <w:tcPr>
            <w:tcW w:type="dxa" w:w="3043"/>
          </w:tcPr>
          <w:p>
            <w:pPr>
              <w:jc w:val="center"/>
            </w:pPr>
            <w:r>
              <w:rPr>
                <w:sz w:val="20"/>
              </w:rPr>
              <w:t>Clearly synthetic, somewhat difficult to follow</w:t>
            </w:r>
          </w:p>
        </w:tc>
      </w:tr>
      <w:tr>
        <w:tc>
          <w:tcPr>
            <w:tcW w:type="dxa" w:w="3043"/>
          </w:tcPr>
          <w:p>
            <w:pPr>
              <w:jc w:val="center"/>
            </w:pPr>
            <w:r>
              <w:rPr>
                <w:sz w:val="20"/>
              </w:rPr>
              <w:t>1</w:t>
            </w:r>
          </w:p>
        </w:tc>
        <w:tc>
          <w:tcPr>
            <w:tcW w:type="dxa" w:w="3043"/>
          </w:tcPr>
          <w:p>
            <w:pPr>
              <w:jc w:val="center"/>
            </w:pPr>
            <w:r>
              <w:rPr>
                <w:sz w:val="20"/>
              </w:rPr>
              <w:t>Bad</w:t>
            </w:r>
          </w:p>
        </w:tc>
        <w:tc>
          <w:tcPr>
            <w:tcW w:type="dxa" w:w="3043"/>
          </w:tcPr>
          <w:p>
            <w:pPr>
              <w:jc w:val="center"/>
            </w:pPr>
            <w:r>
              <w:rPr>
                <w:sz w:val="20"/>
              </w:rPr>
              <w:t>Completely unnatural, very difficult to follow</w:t>
            </w:r>
          </w:p>
        </w:tc>
      </w:tr>
    </w:tbl>
    <w:p>
      <w:pPr>
        <w:spacing w:after="80"/>
      </w:pPr>
    </w:p>
    <w:p>
      <w:pPr>
        <w:spacing w:after="200"/>
        <w:jc w:val="center"/>
      </w:pPr>
      <w:r>
        <w:rPr>
          <w:i/>
          <w:color w:val="505050"/>
          <w:sz w:val="18"/>
        </w:rPr>
        <w:t>Source: Speech Quality Metrics and Evaluation (2020–2024). https://indextts2.online/blog/speech-quality-metrics-evaluation</w:t>
      </w:r>
    </w:p>
    <w:p>
      <w:pPr>
        <w:spacing w:before="0" w:after="120"/>
        <w:ind w:firstLine="709"/>
        <w:jc w:val="both"/>
      </w:pPr>
      <w:r>
        <w:rPr>
          <w:sz w:val="24"/>
        </w:rPr>
        <w:t>For reference: natural human speech consistently achieves MOS 4.4–4.7; current neural TTS systems for English reach MOS 4.2–4.5; rule-based systems typically achieve MOS 3.0–3.8 depending on language and evaluator population (Kim et al., 2021; Oyucu, 2023).</w:t>
      </w:r>
    </w:p>
    <w:p>
      <w:pPr>
        <w:pStyle w:val="Heading3"/>
        <w:spacing w:before="200" w:after="80"/>
        <w:jc w:val="left"/>
      </w:pPr>
      <w:r>
        <w:rPr>
          <w:b/>
          <w:color w:val="000000"/>
          <w:sz w:val="24"/>
        </w:rPr>
        <w:t>1.1.3. Historical Development of TTS Technologies</w:t>
      </w:r>
    </w:p>
    <w:p>
      <w:pPr>
        <w:spacing w:before="0" w:after="120"/>
        <w:ind w:firstLine="709"/>
        <w:jc w:val="both"/>
      </w:pPr>
      <w:r>
        <w:rPr>
          <w:sz w:val="24"/>
        </w:rPr>
        <w:t>The history of TTS synthesis spans nearly a century and is characterized by a succession of distinct technological paradigms, each achieving progressively greater naturalness at the cost of increasing data and computational requirements.</w:t>
      </w:r>
    </w:p>
    <w:p>
      <w:pPr>
        <w:spacing w:before="120" w:after="40"/>
        <w:jc w:val="center"/>
      </w:pPr>
      <w:r>
        <w:rPr>
          <w:i/>
          <w:color w:val="7F7F7F"/>
          <w:sz w:val="20"/>
        </w:rPr>
        <w:t>[Figure 1.2: Timeline of TTS technology development from 1939 to the present]</w:t>
      </w:r>
    </w:p>
    <w:p>
      <w:pPr>
        <w:spacing w:after="160"/>
        <w:jc w:val="center"/>
      </w:pPr>
      <w:r>
        <w:rPr>
          <w:i/>
          <w:color w:val="7F7F7F"/>
          <w:sz w:val="18"/>
        </w:rPr>
        <w:t>Source: Tan et al. (2021). A Survey on Neural Speech Synthesis. arXiv:2106.15561.</w:t>
      </w:r>
    </w:p>
    <w:p>
      <w:pPr>
        <w:pStyle w:val="Heading3"/>
        <w:spacing w:before="200" w:after="80"/>
        <w:jc w:val="left"/>
      </w:pPr>
      <w:r>
        <w:rPr>
          <w:b/>
          <w:color w:val="000000"/>
          <w:sz w:val="24"/>
        </w:rPr>
        <w:t>EARLY MECHANICAL SYNTHESIS (1930s–1950s)</w:t>
      </w:r>
    </w:p>
    <w:p>
      <w:pPr>
        <w:spacing w:before="0" w:after="120"/>
        <w:ind w:firstLine="709"/>
        <w:jc w:val="both"/>
      </w:pPr>
      <w:r>
        <w:rPr>
          <w:sz w:val="24"/>
        </w:rPr>
        <w:t>Attempts at creating artificial speech date to the eighteenth century. In 1779, Wolfgang von Kempelen constructed a mechanical speaking machine simulating the human vocal tract. The first electronic speech synthesizer, the VODER (Voice Operating Demonstrator), was developed by Homer Dudley at Bell Laboratories and demonstrated at the 1939 World's Fair. This device established the key insight that perceptually essential speech information can be captured by a small number of acoustic parameters — primarily vocal tract resonant frequencies, later formalized as formants (Tan et al., 2021).</w:t>
      </w:r>
    </w:p>
    <w:p>
      <w:pPr>
        <w:pStyle w:val="Heading3"/>
        <w:spacing w:before="200" w:after="80"/>
        <w:jc w:val="left"/>
      </w:pPr>
      <w:r>
        <w:rPr>
          <w:b/>
          <w:color w:val="000000"/>
          <w:sz w:val="24"/>
        </w:rPr>
        <w:t>FORMANT SYNTHESIS (1960s–1990s)</w:t>
      </w:r>
    </w:p>
    <w:p>
      <w:pPr>
        <w:spacing w:before="0" w:after="120"/>
        <w:ind w:firstLine="709"/>
        <w:jc w:val="both"/>
      </w:pPr>
      <w:r>
        <w:rPr>
          <w:sz w:val="24"/>
        </w:rPr>
        <w:t>The first fully automated TTS systems were based on formant synthesis, which modeled the human vocal tract as a series of acoustic tubes. The Klatt cascade-parallel formant synthesizer became the dominant architecture and formed the acoustic backbone of commercial products such as DECtalk. In the Azerbaijani context, the earliest documented TTS system was presented by Aida-Zade and Sharifova (2010), using a formant-concatenative hybrid approach — the foundational reference for Azerbaijani TTS research.</w:t>
      </w:r>
    </w:p>
    <w:p>
      <w:pPr>
        <w:pStyle w:val="Heading3"/>
        <w:spacing w:before="200" w:after="80"/>
        <w:jc w:val="left"/>
      </w:pPr>
      <w:r>
        <w:rPr>
          <w:b/>
          <w:color w:val="000000"/>
          <w:sz w:val="24"/>
        </w:rPr>
        <w:t>CONCATENATIVE SYNTHESIS (1990s–2000s)</w:t>
      </w:r>
    </w:p>
    <w:p>
      <w:pPr>
        <w:spacing w:before="0" w:after="120"/>
        <w:ind w:firstLine="709"/>
        <w:jc w:val="both"/>
      </w:pPr>
      <w:r>
        <w:rPr>
          <w:sz w:val="24"/>
        </w:rPr>
        <w:t>To overcome naturalness limitations, researchers developed concatenative synthesis systems. The MBROLA project (Dutoit et al., 1993) uses databases of approximately 1,000–2,000 diphone units. The Festival Speech Synthesis System (Taylor et al., 1998), developed at the University of Edinburgh, selects and concatenates larger speech units from large recorded corpora using dynamic programming minimizing target cost and join cost.</w:t>
      </w:r>
    </w:p>
    <w:p>
      <w:pPr>
        <w:pStyle w:val="Heading3"/>
        <w:spacing w:before="200" w:after="80"/>
        <w:jc w:val="left"/>
      </w:pPr>
      <w:r>
        <w:rPr>
          <w:b/>
          <w:color w:val="000000"/>
          <w:sz w:val="24"/>
        </w:rPr>
        <w:t>STATISTICAL PARAMETRIC SYNTHESIS (2000s–2010s)</w:t>
      </w:r>
    </w:p>
    <w:p>
      <w:pPr>
        <w:spacing w:before="0" w:after="120"/>
        <w:ind w:firstLine="709"/>
        <w:jc w:val="both"/>
      </w:pPr>
      <w:r>
        <w:rPr>
          <w:sz w:val="24"/>
        </w:rPr>
        <w:t>HMM-based statistical parametric speech synthesis (SPSS), most fully realized in the HTS system, learns statistical models of acoustic features from annotated training data. HMM-based synthesis is more consistent than unit selection for unseen phonetic contexts but is characterized by a distinctive 'muffled' quality due to over-smoothing (Statistical Parametric Speech Synthesis, 2015).</w:t>
      </w:r>
    </w:p>
    <w:p>
      <w:pPr>
        <w:pStyle w:val="Heading3"/>
        <w:spacing w:before="200" w:after="80"/>
        <w:jc w:val="left"/>
      </w:pPr>
      <w:r>
        <w:rPr>
          <w:b/>
          <w:color w:val="000000"/>
          <w:sz w:val="24"/>
        </w:rPr>
        <w:t>NEURAL TTS (2016–present)</w:t>
      </w:r>
    </w:p>
    <w:p>
      <w:pPr>
        <w:spacing w:before="0" w:after="120"/>
        <w:ind w:firstLine="709"/>
        <w:jc w:val="both"/>
      </w:pPr>
      <w:r>
        <w:rPr>
          <w:sz w:val="24"/>
        </w:rPr>
        <w:t>Google's Tacotron and Tacotron 2 demonstrated that end-to-end sequence-to-sequence models could learn to map character sequences directly to mel-spectrograms. Combined with neural vocoders such as WaveNet or HiFi-GAN (Kong et al., 2020), these systems achieved MOS scores indistinguishable from natural speech for English (MOS ≈ 4.5). Subsequent architectures — FastSpeech, VITS (Kim et al., 2021), and flow-matching models — further improved efficiency. As of 2024, integration of large language models with TTS synthesis defines the next standard paradigm (arXiv:2412.06602, 2024).</w:t>
      </w:r>
    </w:p>
    <w:p>
      <w:pPr>
        <w:spacing w:before="200" w:after="80"/>
        <w:jc w:val="center"/>
      </w:pPr>
      <w:r>
        <w:rPr>
          <w:b/>
          <w:sz w:val="22"/>
        </w:rPr>
        <w:t>Table 1.2. Comparison of TTS Paradigms Across Generations</w:t>
      </w:r>
    </w:p>
    <w:tbl>
      <w:tblPr>
        <w:tblStyle w:val="TableGrid"/>
        <w:tblW w:type="auto" w:w="0"/>
        <w:jc w:val="center"/>
        <w:tblLook w:firstColumn="1" w:firstRow="1" w:lastColumn="0" w:lastRow="0" w:noHBand="0" w:noVBand="1" w:val="04A0"/>
      </w:tblPr>
      <w:tblGrid>
        <w:gridCol w:w="1826"/>
        <w:gridCol w:w="1826"/>
        <w:gridCol w:w="1826"/>
        <w:gridCol w:w="1826"/>
        <w:gridCol w:w="1826"/>
      </w:tblGrid>
      <w:tr>
        <w:tc>
          <w:tcPr>
            <w:tcW w:type="dxa" w:w="1826"/>
            <w:shd w:val="clear" w:color="auto" w:fill="D9E2F3"/>
          </w:tcPr>
          <w:p>
            <w:pPr>
              <w:jc w:val="center"/>
            </w:pPr>
            <w:r>
              <w:rPr>
                <w:b/>
                <w:sz w:val="20"/>
              </w:rPr>
              <w:t>Criterion</w:t>
            </w:r>
          </w:p>
        </w:tc>
        <w:tc>
          <w:tcPr>
            <w:tcW w:type="dxa" w:w="1826"/>
            <w:shd w:val="clear" w:color="auto" w:fill="D9E2F3"/>
          </w:tcPr>
          <w:p>
            <w:pPr>
              <w:jc w:val="center"/>
            </w:pPr>
            <w:r>
              <w:rPr>
                <w:b/>
                <w:sz w:val="20"/>
              </w:rPr>
              <w:t>Formant</w:t>
            </w:r>
          </w:p>
        </w:tc>
        <w:tc>
          <w:tcPr>
            <w:tcW w:type="dxa" w:w="1826"/>
            <w:shd w:val="clear" w:color="auto" w:fill="D9E2F3"/>
          </w:tcPr>
          <w:p>
            <w:pPr>
              <w:jc w:val="center"/>
            </w:pPr>
            <w:r>
              <w:rPr>
                <w:b/>
                <w:sz w:val="20"/>
              </w:rPr>
              <w:t>Concatenative</w:t>
            </w:r>
          </w:p>
        </w:tc>
        <w:tc>
          <w:tcPr>
            <w:tcW w:type="dxa" w:w="1826"/>
            <w:shd w:val="clear" w:color="auto" w:fill="D9E2F3"/>
          </w:tcPr>
          <w:p>
            <w:pPr>
              <w:jc w:val="center"/>
            </w:pPr>
            <w:r>
              <w:rPr>
                <w:b/>
                <w:sz w:val="20"/>
              </w:rPr>
              <w:t>HMM</w:t>
            </w:r>
          </w:p>
        </w:tc>
        <w:tc>
          <w:tcPr>
            <w:tcW w:type="dxa" w:w="1826"/>
            <w:shd w:val="clear" w:color="auto" w:fill="D9E2F3"/>
          </w:tcPr>
          <w:p>
            <w:pPr>
              <w:jc w:val="center"/>
            </w:pPr>
            <w:r>
              <w:rPr>
                <w:b/>
                <w:sz w:val="20"/>
              </w:rPr>
              <w:t>Neural</w:t>
            </w:r>
          </w:p>
        </w:tc>
      </w:tr>
      <w:tr>
        <w:tc>
          <w:tcPr>
            <w:tcW w:type="dxa" w:w="1826"/>
          </w:tcPr>
          <w:p>
            <w:pPr>
              <w:jc w:val="center"/>
            </w:pPr>
            <w:r>
              <w:rPr>
                <w:sz w:val="20"/>
              </w:rPr>
              <w:t>MOS (approximate)</w:t>
            </w:r>
          </w:p>
        </w:tc>
        <w:tc>
          <w:tcPr>
            <w:tcW w:type="dxa" w:w="1826"/>
          </w:tcPr>
          <w:p>
            <w:pPr>
              <w:jc w:val="center"/>
            </w:pPr>
            <w:r>
              <w:rPr>
                <w:sz w:val="20"/>
              </w:rPr>
              <w:t>2.5–3.0</w:t>
            </w:r>
          </w:p>
        </w:tc>
        <w:tc>
          <w:tcPr>
            <w:tcW w:type="dxa" w:w="1826"/>
          </w:tcPr>
          <w:p>
            <w:pPr>
              <w:jc w:val="center"/>
            </w:pPr>
            <w:r>
              <w:rPr>
                <w:sz w:val="20"/>
              </w:rPr>
              <w:t>3.0–3.8</w:t>
            </w:r>
          </w:p>
        </w:tc>
        <w:tc>
          <w:tcPr>
            <w:tcW w:type="dxa" w:w="1826"/>
          </w:tcPr>
          <w:p>
            <w:pPr>
              <w:jc w:val="center"/>
            </w:pPr>
            <w:r>
              <w:rPr>
                <w:sz w:val="20"/>
              </w:rPr>
              <w:t>3.5–4.0</w:t>
            </w:r>
          </w:p>
        </w:tc>
        <w:tc>
          <w:tcPr>
            <w:tcW w:type="dxa" w:w="1826"/>
          </w:tcPr>
          <w:p>
            <w:pPr>
              <w:jc w:val="center"/>
            </w:pPr>
            <w:r>
              <w:rPr>
                <w:sz w:val="20"/>
              </w:rPr>
              <w:t>4.2–4.5</w:t>
            </w:r>
          </w:p>
        </w:tc>
      </w:tr>
      <w:tr>
        <w:tc>
          <w:tcPr>
            <w:tcW w:type="dxa" w:w="1826"/>
          </w:tcPr>
          <w:p>
            <w:pPr>
              <w:jc w:val="center"/>
            </w:pPr>
            <w:r>
              <w:rPr>
                <w:sz w:val="20"/>
              </w:rPr>
              <w:t>Training data</w:t>
            </w:r>
          </w:p>
        </w:tc>
        <w:tc>
          <w:tcPr>
            <w:tcW w:type="dxa" w:w="1826"/>
          </w:tcPr>
          <w:p>
            <w:pPr>
              <w:jc w:val="center"/>
            </w:pPr>
            <w:r>
              <w:rPr>
                <w:sz w:val="20"/>
              </w:rPr>
              <w:t>None</w:t>
            </w:r>
          </w:p>
        </w:tc>
        <w:tc>
          <w:tcPr>
            <w:tcW w:type="dxa" w:w="1826"/>
          </w:tcPr>
          <w:p>
            <w:pPr>
              <w:jc w:val="center"/>
            </w:pPr>
            <w:r>
              <w:rPr>
                <w:sz w:val="20"/>
              </w:rPr>
              <w:t>20–50 hrs</w:t>
            </w:r>
          </w:p>
        </w:tc>
        <w:tc>
          <w:tcPr>
            <w:tcW w:type="dxa" w:w="1826"/>
          </w:tcPr>
          <w:p>
            <w:pPr>
              <w:jc w:val="center"/>
            </w:pPr>
            <w:r>
              <w:rPr>
                <w:sz w:val="20"/>
              </w:rPr>
              <w:t>5–20 hrs</w:t>
            </w:r>
          </w:p>
        </w:tc>
        <w:tc>
          <w:tcPr>
            <w:tcW w:type="dxa" w:w="1826"/>
          </w:tcPr>
          <w:p>
            <w:pPr>
              <w:jc w:val="center"/>
            </w:pPr>
            <w:r>
              <w:rPr>
                <w:sz w:val="20"/>
              </w:rPr>
              <w:t>1–50+ hrs</w:t>
            </w:r>
          </w:p>
        </w:tc>
      </w:tr>
      <w:tr>
        <w:tc>
          <w:tcPr>
            <w:tcW w:type="dxa" w:w="1826"/>
          </w:tcPr>
          <w:p>
            <w:pPr>
              <w:jc w:val="center"/>
            </w:pPr>
            <w:r>
              <w:rPr>
                <w:sz w:val="20"/>
              </w:rPr>
              <w:t>Computational cost</w:t>
            </w:r>
          </w:p>
        </w:tc>
        <w:tc>
          <w:tcPr>
            <w:tcW w:type="dxa" w:w="1826"/>
          </w:tcPr>
          <w:p>
            <w:pPr>
              <w:jc w:val="center"/>
            </w:pPr>
            <w:r>
              <w:rPr>
                <w:sz w:val="20"/>
              </w:rPr>
              <w:t>Very low</w:t>
            </w:r>
          </w:p>
        </w:tc>
        <w:tc>
          <w:tcPr>
            <w:tcW w:type="dxa" w:w="1826"/>
          </w:tcPr>
          <w:p>
            <w:pPr>
              <w:jc w:val="center"/>
            </w:pPr>
            <w:r>
              <w:rPr>
                <w:sz w:val="20"/>
              </w:rPr>
              <w:t>Low</w:t>
            </w:r>
          </w:p>
        </w:tc>
        <w:tc>
          <w:tcPr>
            <w:tcW w:type="dxa" w:w="1826"/>
          </w:tcPr>
          <w:p>
            <w:pPr>
              <w:jc w:val="center"/>
            </w:pPr>
            <w:r>
              <w:rPr>
                <w:sz w:val="20"/>
              </w:rPr>
              <w:t>Medium</w:t>
            </w:r>
          </w:p>
        </w:tc>
        <w:tc>
          <w:tcPr>
            <w:tcW w:type="dxa" w:w="1826"/>
          </w:tcPr>
          <w:p>
            <w:pPr>
              <w:jc w:val="center"/>
            </w:pPr>
            <w:r>
              <w:rPr>
                <w:sz w:val="20"/>
              </w:rPr>
              <w:t>High</w:t>
            </w:r>
          </w:p>
        </w:tc>
      </w:tr>
      <w:tr>
        <w:tc>
          <w:tcPr>
            <w:tcW w:type="dxa" w:w="1826"/>
          </w:tcPr>
          <w:p>
            <w:pPr>
              <w:jc w:val="center"/>
            </w:pPr>
            <w:r>
              <w:rPr>
                <w:sz w:val="20"/>
              </w:rPr>
              <w:t>Interpretability</w:t>
            </w:r>
          </w:p>
        </w:tc>
        <w:tc>
          <w:tcPr>
            <w:tcW w:type="dxa" w:w="1826"/>
          </w:tcPr>
          <w:p>
            <w:pPr>
              <w:jc w:val="center"/>
            </w:pPr>
            <w:r>
              <w:rPr>
                <w:sz w:val="20"/>
              </w:rPr>
              <w:t>Full</w:t>
            </w:r>
          </w:p>
        </w:tc>
        <w:tc>
          <w:tcPr>
            <w:tcW w:type="dxa" w:w="1826"/>
          </w:tcPr>
          <w:p>
            <w:pPr>
              <w:jc w:val="center"/>
            </w:pPr>
            <w:r>
              <w:rPr>
                <w:sz w:val="20"/>
              </w:rPr>
              <w:t>Full</w:t>
            </w:r>
          </w:p>
        </w:tc>
        <w:tc>
          <w:tcPr>
            <w:tcW w:type="dxa" w:w="1826"/>
          </w:tcPr>
          <w:p>
            <w:pPr>
              <w:jc w:val="center"/>
            </w:pPr>
            <w:r>
              <w:rPr>
                <w:sz w:val="20"/>
              </w:rPr>
              <w:t>Partial</w:t>
            </w:r>
          </w:p>
        </w:tc>
        <w:tc>
          <w:tcPr>
            <w:tcW w:type="dxa" w:w="1826"/>
          </w:tcPr>
          <w:p>
            <w:pPr>
              <w:jc w:val="center"/>
            </w:pPr>
            <w:r>
              <w:rPr>
                <w:sz w:val="20"/>
              </w:rPr>
              <w:t>Minimal</w:t>
            </w:r>
          </w:p>
        </w:tc>
      </w:tr>
      <w:tr>
        <w:tc>
          <w:tcPr>
            <w:tcW w:type="dxa" w:w="1826"/>
          </w:tcPr>
          <w:p>
            <w:pPr>
              <w:jc w:val="center"/>
            </w:pPr>
            <w:r>
              <w:rPr>
                <w:sz w:val="20"/>
              </w:rPr>
              <w:t>Lexical flexibility</w:t>
            </w:r>
          </w:p>
        </w:tc>
        <w:tc>
          <w:tcPr>
            <w:tcW w:type="dxa" w:w="1826"/>
          </w:tcPr>
          <w:p>
            <w:pPr>
              <w:jc w:val="center"/>
            </w:pPr>
            <w:r>
              <w:rPr>
                <w:sz w:val="20"/>
              </w:rPr>
              <w:t>Low</w:t>
            </w:r>
          </w:p>
        </w:tc>
        <w:tc>
          <w:tcPr>
            <w:tcW w:type="dxa" w:w="1826"/>
          </w:tcPr>
          <w:p>
            <w:pPr>
              <w:jc w:val="center"/>
            </w:pPr>
            <w:r>
              <w:rPr>
                <w:sz w:val="20"/>
              </w:rPr>
              <w:t>Medium</w:t>
            </w:r>
          </w:p>
        </w:tc>
        <w:tc>
          <w:tcPr>
            <w:tcW w:type="dxa" w:w="1826"/>
          </w:tcPr>
          <w:p>
            <w:pPr>
              <w:jc w:val="center"/>
            </w:pPr>
            <w:r>
              <w:rPr>
                <w:sz w:val="20"/>
              </w:rPr>
              <w:t>High</w:t>
            </w:r>
          </w:p>
        </w:tc>
        <w:tc>
          <w:tcPr>
            <w:tcW w:type="dxa" w:w="1826"/>
          </w:tcPr>
          <w:p>
            <w:pPr>
              <w:jc w:val="center"/>
            </w:pPr>
            <w:r>
              <w:rPr>
                <w:sz w:val="20"/>
              </w:rPr>
              <w:t>High</w:t>
            </w:r>
          </w:p>
        </w:tc>
      </w:tr>
    </w:tbl>
    <w:p>
      <w:pPr>
        <w:spacing w:after="80"/>
      </w:pPr>
    </w:p>
    <w:p>
      <w:pPr>
        <w:spacing w:after="200"/>
        <w:jc w:val="center"/>
      </w:pPr>
      <w:r>
        <w:rPr>
          <w:i/>
          <w:color w:val="505050"/>
          <w:sz w:val="18"/>
        </w:rPr>
        <w:t>Source: Compiled by the author based on Tan et al. (2021).</w:t>
      </w:r>
    </w:p>
    <w:p>
      <w:pPr>
        <w:pStyle w:val="Heading2"/>
        <w:spacing w:before="280" w:after="160"/>
        <w:jc w:val="center"/>
      </w:pPr>
      <w:r>
        <w:rPr>
          <w:b/>
          <w:sz w:val="28"/>
        </w:rPr>
        <w:t>1.2. Rule-Based Text-to-Speech Systems</w:t>
      </w:r>
    </w:p>
    <w:p>
      <w:pPr>
        <w:pStyle w:val="Heading3"/>
        <w:spacing w:before="200" w:after="80"/>
        <w:jc w:val="left"/>
      </w:pPr>
      <w:r>
        <w:rPr>
          <w:b/>
          <w:color w:val="000000"/>
          <w:sz w:val="24"/>
        </w:rPr>
        <w:t>1.2.1. Concept and Principles of Rule-Based TTS</w:t>
      </w:r>
    </w:p>
    <w:p>
      <w:pPr>
        <w:spacing w:before="0" w:after="120"/>
        <w:ind w:firstLine="709"/>
        <w:jc w:val="both"/>
      </w:pPr>
      <w:r>
        <w:rPr>
          <w:sz w:val="24"/>
        </w:rPr>
        <w:t>A rule-based TTS system is one in which every decision in the conversion from text to speech is made by an explicitly programmed rule encoding human linguistic knowledge. This contrasts with data-driven approaches: statistical systems learn patterns from annotated corpora; neural systems learn from raw audio-text pairs without explicit encoding of phonological principles (Survey of G2P Methods, 2024).</w:t>
      </w:r>
    </w:p>
    <w:p>
      <w:pPr>
        <w:spacing w:before="0" w:after="120"/>
        <w:ind w:firstLine="709"/>
        <w:jc w:val="both"/>
      </w:pPr>
      <w:r>
        <w:rPr>
          <w:sz w:val="24"/>
        </w:rPr>
        <w:t>Rule-based TTS rests on the foundational claim that the mapping from orthography to phonetics — and from phonetics to prosody — in a given language is sufficiently regular and well-understood to be captured in a finite, maintainable set of rules. For languages with a highly regular, phonemic orthography — such as Azerbaijani, Finnish, Spanish, and Turkish — this claim is substantially true (Tan et al., 2021).</w:t>
      </w:r>
    </w:p>
    <w:p>
      <w:pPr>
        <w:spacing w:before="0" w:after="120"/>
        <w:ind w:firstLine="709"/>
        <w:jc w:val="both"/>
      </w:pPr>
      <w:r>
        <w:rPr>
          <w:sz w:val="24"/>
        </w:rPr>
        <w:t>The four foundational principles of rule-based TTS systems are:</w:t>
      </w:r>
    </w:p>
    <w:p>
      <w:pPr>
        <w:spacing w:after="120"/>
        <w:ind w:firstLine="709"/>
        <w:jc w:val="both"/>
      </w:pPr>
      <w:r>
        <w:rPr>
          <w:b/>
          <w:sz w:val="24"/>
        </w:rPr>
        <w:t xml:space="preserve">1. </w:t>
      </w:r>
      <w:r>
        <w:rPr>
          <w:b/>
          <w:sz w:val="24"/>
        </w:rPr>
        <w:t>EXPLICIT KNOWLEDGE ENCODING:</w:t>
      </w:r>
      <w:r>
        <w:rPr>
          <w:sz w:val="24"/>
        </w:rPr>
        <w:t xml:space="preserve"> Every phonetic rule is written down and documented based on linguistic knowledge, making the system fully transparent for academic research and audit.</w:t>
      </w:r>
    </w:p>
    <w:p>
      <w:pPr>
        <w:spacing w:after="120"/>
        <w:ind w:firstLine="709"/>
        <w:jc w:val="both"/>
      </w:pPr>
      <w:r>
        <w:rPr>
          <w:b/>
          <w:sz w:val="24"/>
        </w:rPr>
        <w:t xml:space="preserve">2. </w:t>
      </w:r>
      <w:r>
        <w:rPr>
          <w:b/>
          <w:sz w:val="24"/>
        </w:rPr>
        <w:t>DETERMINISTIC OUTPUT:</w:t>
      </w:r>
      <w:r>
        <w:rPr>
          <w:sz w:val="24"/>
        </w:rPr>
        <w:t xml:space="preserve"> Given the same input, the system always produces exactly the same output — valuable in contexts requiring reproducibility.</w:t>
      </w:r>
    </w:p>
    <w:p>
      <w:pPr>
        <w:spacing w:after="120"/>
        <w:ind w:firstLine="709"/>
        <w:jc w:val="both"/>
      </w:pPr>
      <w:r>
        <w:rPr>
          <w:b/>
          <w:sz w:val="24"/>
        </w:rPr>
        <w:t xml:space="preserve">3. </w:t>
      </w:r>
      <w:r>
        <w:rPr>
          <w:b/>
          <w:sz w:val="24"/>
        </w:rPr>
        <w:t>MODULAR ARCHITECTURE:</w:t>
      </w:r>
      <w:r>
        <w:rPr>
          <w:sz w:val="24"/>
        </w:rPr>
        <w:t xml:space="preserve"> Each component — text normalization, G2P conversion, stress assignment, prosody — can be developed, tested, and improved independently (Taylor et al., 1998).</w:t>
      </w:r>
    </w:p>
    <w:p>
      <w:pPr>
        <w:spacing w:after="120"/>
        <w:ind w:firstLine="709"/>
        <w:jc w:val="both"/>
      </w:pPr>
      <w:r>
        <w:rPr>
          <w:b/>
          <w:sz w:val="24"/>
        </w:rPr>
        <w:t xml:space="preserve">4. </w:t>
      </w:r>
      <w:r>
        <w:rPr>
          <w:b/>
          <w:sz w:val="24"/>
        </w:rPr>
        <w:t>TRANSPARENCY AND DEBUGGABILITY:</w:t>
      </w:r>
      <w:r>
        <w:rPr>
          <w:sz w:val="24"/>
        </w:rPr>
        <w:t xml:space="preserve"> When the system makes an error, the source rule can be identified and corrected without retraining — a research value neural systems do not offer.</w:t>
      </w:r>
    </w:p>
    <w:p>
      <w:pPr>
        <w:pStyle w:val="Heading3"/>
        <w:spacing w:before="200" w:after="80"/>
        <w:jc w:val="left"/>
      </w:pPr>
      <w:r>
        <w:rPr>
          <w:b/>
          <w:color w:val="000000"/>
          <w:sz w:val="24"/>
        </w:rPr>
        <w:t>1.2.2. Linguistic Rule Formulation and Phonetic Modeling</w:t>
      </w:r>
    </w:p>
    <w:p>
      <w:pPr>
        <w:pStyle w:val="Heading3"/>
        <w:spacing w:before="200" w:after="80"/>
        <w:jc w:val="left"/>
      </w:pPr>
      <w:r>
        <w:rPr>
          <w:b/>
          <w:color w:val="000000"/>
          <w:sz w:val="24"/>
        </w:rPr>
        <w:t>FORMANT SYNTHESIS AND espeak-ng</w:t>
      </w:r>
    </w:p>
    <w:p>
      <w:pPr>
        <w:spacing w:before="0" w:after="120"/>
        <w:ind w:firstLine="709"/>
        <w:jc w:val="both"/>
      </w:pPr>
      <w:r>
        <w:rPr>
          <w:sz w:val="24"/>
        </w:rPr>
        <w:t>Formant synthesis generates speech waveforms by mathematically modeling the resonant properties of the human vocal tract treated as a variable-length series of cylindrical sections. The Klatt cascade-parallel formant synthesizer (Klatt, 1980) remains the definitive reference architecture. The espeak-ng system (originally developed by Jonathan Duddington) uses a compact hand-crafted formant synthesis model with phoneme definitions specified in text configuration files. espeak-ng supports over 100 languages including Azerbaijani (-v az) and serves as the acoustic backend in the present system.</w:t>
      </w:r>
    </w:p>
    <w:p>
      <w:pPr>
        <w:pStyle w:val="Heading3"/>
        <w:spacing w:before="200" w:after="80"/>
        <w:jc w:val="left"/>
      </w:pPr>
      <w:r>
        <w:rPr>
          <w:b/>
          <w:color w:val="000000"/>
          <w:sz w:val="24"/>
        </w:rPr>
        <w:t>RULE-BASED CONCATENATIVE SYNTHESIS (MBROLA / Festival)</w:t>
      </w:r>
    </w:p>
    <w:p>
      <w:pPr>
        <w:spacing w:before="0" w:after="120"/>
        <w:ind w:firstLine="709"/>
        <w:jc w:val="both"/>
      </w:pPr>
      <w:r>
        <w:rPr>
          <w:sz w:val="24"/>
        </w:rPr>
        <w:t>The MBROLA project (Dutoit et al., 1993) provides phoneme inventories for dozens of languages including Turkish. Given a sequence of (phoneme, duration, F0) triplets, MBROLA synthesizes speech by time-scaling and pitch-modifying the corresponding segments and concatenating them. The Festival Speech Synthesis System (Taylor et al., 1998) provides a complete rule-based TTS framework integrating text normalization, morphological analysis, G2P conversion, prosodic analysis, and multiple acoustic backends.</w:t>
      </w:r>
    </w:p>
    <w:p>
      <w:pPr>
        <w:pStyle w:val="Heading3"/>
        <w:spacing w:before="200" w:after="80"/>
        <w:jc w:val="left"/>
      </w:pPr>
      <w:r>
        <w:rPr>
          <w:b/>
          <w:color w:val="000000"/>
          <w:sz w:val="24"/>
        </w:rPr>
        <w:t>G2P RULE DESIGN</w:t>
      </w:r>
    </w:p>
    <w:p>
      <w:pPr>
        <w:spacing w:before="0" w:after="120"/>
        <w:ind w:firstLine="709"/>
        <w:jc w:val="both"/>
      </w:pPr>
      <w:r>
        <w:rPr>
          <w:sz w:val="24"/>
        </w:rPr>
        <w:t>G2P conversion is the most linguistically complex component of the front-end. A comprehensive 2024 survey (Survey of G2P Methods, 2024) categorizes existing approaches as: rule-based — explicit linguistic rules achieving PER of 2–6% for regular orthographies like Azerbaijani; data-driven — transformer models learning G2P mappings from annotated data; and morpheme-based — designed specifically for agglutinative languages, using phonetic patterns and morphophonemic connectivity information.</w:t>
      </w:r>
    </w:p>
    <w:p>
      <w:pPr>
        <w:pStyle w:val="Heading3"/>
        <w:spacing w:before="200" w:after="80"/>
        <w:jc w:val="left"/>
      </w:pPr>
      <w:r>
        <w:rPr>
          <w:b/>
          <w:color w:val="000000"/>
          <w:sz w:val="24"/>
        </w:rPr>
        <w:t>PROSODY MODELING</w:t>
      </w:r>
    </w:p>
    <w:p>
      <w:pPr>
        <w:spacing w:before="0" w:after="120"/>
        <w:ind w:firstLine="709"/>
        <w:jc w:val="both"/>
      </w:pPr>
      <w:r>
        <w:rPr>
          <w:sz w:val="24"/>
        </w:rPr>
        <w:t>Prosodic modeling governs the systematic control of pitch, duration, intensity, and rhythm. Recent work on duration prediction for agglutinative languages (arXiv:2507.16875, 2024) identifies specific challenges for morphologically complex languages such as Azerbaijani. PitchFlow (Sadekova et al., 2024) proposes a flow-matching approach to pitch contour control. The present system employs the ToBI (Tones and Break Indices) framework, specifying pitch accents (H*, L+H*, L*) and boundary tones (L%, H%) for each sentence type.</w:t>
      </w:r>
    </w:p>
    <w:p>
      <w:pPr>
        <w:spacing w:before="120" w:after="40"/>
        <w:jc w:val="center"/>
      </w:pPr>
      <w:r>
        <w:rPr>
          <w:i/>
          <w:color w:val="7F7F7F"/>
          <w:sz w:val="20"/>
        </w:rPr>
        <w:t>[Figure 1.3: G2P conversion process flow — rule application sequence for context-insensitive and context-sensitive rules]</w:t>
      </w:r>
    </w:p>
    <w:p>
      <w:pPr>
        <w:spacing w:after="160"/>
        <w:jc w:val="center"/>
      </w:pPr>
      <w:r>
        <w:rPr>
          <w:i/>
          <w:color w:val="7F7F7F"/>
          <w:sz w:val="18"/>
        </w:rPr>
        <w:t>Source: Survey of G2P Conversion Methods (2024). Applied Sciences, 14(24), 11790. https://www.mdpi.com/2076-3417/14/24/11790</w:t>
      </w:r>
    </w:p>
    <w:p>
      <w:pPr>
        <w:pStyle w:val="Heading3"/>
        <w:spacing w:before="200" w:after="80"/>
        <w:jc w:val="left"/>
      </w:pPr>
      <w:r>
        <w:rPr>
          <w:b/>
          <w:color w:val="000000"/>
          <w:sz w:val="24"/>
        </w:rPr>
        <w:t>1.2.3. Comparison with Statistical and Neural TTS Approaches</w:t>
      </w:r>
    </w:p>
    <w:p>
      <w:pPr>
        <w:spacing w:before="0" w:after="120"/>
        <w:ind w:firstLine="709"/>
        <w:jc w:val="both"/>
      </w:pPr>
      <w:r>
        <w:rPr>
          <w:sz w:val="24"/>
        </w:rPr>
        <w:t>The three major TTS paradigms — rule-based, statistical parametric (HMM), and neural — each present distinct trade-offs relevant to the Azerbaijani language context.</w:t>
      </w:r>
    </w:p>
    <w:p>
      <w:pPr>
        <w:spacing w:after="120"/>
        <w:ind w:firstLine="709"/>
        <w:jc w:val="both"/>
      </w:pPr>
      <w:r>
        <w:rPr>
          <w:b/>
          <w:sz w:val="24"/>
        </w:rPr>
        <w:t>Statistical Parametric Synthesis (HMM):</w:t>
      </w:r>
      <w:r>
        <w:rPr>
          <w:sz w:val="24"/>
        </w:rPr>
        <w:t xml:space="preserve"> HMM-based systems learn statistical models of acoustic features from annotated training data. Their primary advantage over rule-based systems is more consistent behavior for unseen phonetic contexts. However, the over-smoothing inherent in statistical averaging produces the characteristic 'muffled' quality of HMM synthesis (Statistical Parametric Speech Synthesis, 2015).</w:t>
      </w:r>
    </w:p>
    <w:p>
      <w:pPr>
        <w:spacing w:after="120"/>
        <w:ind w:firstLine="709"/>
        <w:jc w:val="both"/>
      </w:pPr>
      <w:r>
        <w:rPr>
          <w:b/>
          <w:sz w:val="24"/>
        </w:rPr>
        <w:t>Neural TTS:</w:t>
      </w:r>
      <w:r>
        <w:rPr>
          <w:sz w:val="24"/>
        </w:rPr>
        <w:t xml:space="preserve"> Neural TTS systems have fundamentally transformed achievable quality. For Azerbaijani, Aghalari (2023) used Tacotron 2 and achieved MOS 3.3 with approximately 19 hours of training data. For Turkish — closely related to Azerbaijani — Oyucu (2023) achieved MOS 4.49 using Tacotron 2 + HiFi-GAN. For Turkic languages as a group, Yeshpanov, Mussakhojayeva, and Khassanov (2023) developed a multilingual TTS system covering Azerbaijani and nine other Turkic languages (open source: github.com/IS2AI/TurkicTTS). VITS (Kim et al., 2021) achieves MOS comparable to natural speech in an end-to-end variational autoencoder + GAN architecture.</w:t>
      </w:r>
    </w:p>
    <w:p>
      <w:pPr>
        <w:spacing w:before="200" w:after="80"/>
        <w:jc w:val="center"/>
      </w:pPr>
      <w:r>
        <w:rPr>
          <w:b/>
          <w:sz w:val="22"/>
        </w:rPr>
        <w:t>Table 1.3. Detailed Comparison of TTS Paradigms</w:t>
      </w:r>
    </w:p>
    <w:tbl>
      <w:tblPr>
        <w:tblStyle w:val="TableGrid"/>
        <w:tblW w:type="auto" w:w="0"/>
        <w:jc w:val="center"/>
        <w:tblLook w:firstColumn="1" w:firstRow="1" w:lastColumn="0" w:lastRow="0" w:noHBand="0" w:noVBand="1" w:val="04A0"/>
      </w:tblPr>
      <w:tblGrid>
        <w:gridCol w:w="2282"/>
        <w:gridCol w:w="2282"/>
        <w:gridCol w:w="2282"/>
        <w:gridCol w:w="2282"/>
      </w:tblGrid>
      <w:tr>
        <w:tc>
          <w:tcPr>
            <w:tcW w:type="dxa" w:w="2282"/>
            <w:shd w:val="clear" w:color="auto" w:fill="D9E2F3"/>
          </w:tcPr>
          <w:p>
            <w:pPr>
              <w:jc w:val="center"/>
            </w:pPr>
            <w:r>
              <w:rPr>
                <w:b/>
                <w:sz w:val="20"/>
              </w:rPr>
              <w:t>Criterion</w:t>
            </w:r>
          </w:p>
        </w:tc>
        <w:tc>
          <w:tcPr>
            <w:tcW w:type="dxa" w:w="2282"/>
            <w:shd w:val="clear" w:color="auto" w:fill="D9E2F3"/>
          </w:tcPr>
          <w:p>
            <w:pPr>
              <w:jc w:val="center"/>
            </w:pPr>
            <w:r>
              <w:rPr>
                <w:b/>
                <w:sz w:val="20"/>
              </w:rPr>
              <w:t>Rule-Based</w:t>
            </w:r>
          </w:p>
        </w:tc>
        <w:tc>
          <w:tcPr>
            <w:tcW w:type="dxa" w:w="2282"/>
            <w:shd w:val="clear" w:color="auto" w:fill="D9E2F3"/>
          </w:tcPr>
          <w:p>
            <w:pPr>
              <w:jc w:val="center"/>
            </w:pPr>
            <w:r>
              <w:rPr>
                <w:b/>
                <w:sz w:val="20"/>
              </w:rPr>
              <w:t>HMM / Statistical</w:t>
            </w:r>
          </w:p>
        </w:tc>
        <w:tc>
          <w:tcPr>
            <w:tcW w:type="dxa" w:w="2282"/>
            <w:shd w:val="clear" w:color="auto" w:fill="D9E2F3"/>
          </w:tcPr>
          <w:p>
            <w:pPr>
              <w:jc w:val="center"/>
            </w:pPr>
            <w:r>
              <w:rPr>
                <w:b/>
                <w:sz w:val="20"/>
              </w:rPr>
              <w:t>Neural TTS</w:t>
            </w:r>
          </w:p>
        </w:tc>
      </w:tr>
      <w:tr>
        <w:tc>
          <w:tcPr>
            <w:tcW w:type="dxa" w:w="2282"/>
          </w:tcPr>
          <w:p>
            <w:pPr>
              <w:jc w:val="center"/>
            </w:pPr>
            <w:r>
              <w:rPr>
                <w:sz w:val="20"/>
              </w:rPr>
              <w:t>MOS (typical)</w:t>
            </w:r>
          </w:p>
        </w:tc>
        <w:tc>
          <w:tcPr>
            <w:tcW w:type="dxa" w:w="2282"/>
          </w:tcPr>
          <w:p>
            <w:pPr>
              <w:jc w:val="center"/>
            </w:pPr>
            <w:r>
              <w:rPr>
                <w:sz w:val="20"/>
              </w:rPr>
              <w:t>3.0–3.8</w:t>
            </w:r>
          </w:p>
        </w:tc>
        <w:tc>
          <w:tcPr>
            <w:tcW w:type="dxa" w:w="2282"/>
          </w:tcPr>
          <w:p>
            <w:pPr>
              <w:jc w:val="center"/>
            </w:pPr>
            <w:r>
              <w:rPr>
                <w:sz w:val="20"/>
              </w:rPr>
              <w:t>3.5–4.0</w:t>
            </w:r>
          </w:p>
        </w:tc>
        <w:tc>
          <w:tcPr>
            <w:tcW w:type="dxa" w:w="2282"/>
          </w:tcPr>
          <w:p>
            <w:pPr>
              <w:jc w:val="center"/>
            </w:pPr>
            <w:r>
              <w:rPr>
                <w:sz w:val="20"/>
              </w:rPr>
              <w:t>4.2–4.5</w:t>
            </w:r>
          </w:p>
        </w:tc>
      </w:tr>
      <w:tr>
        <w:tc>
          <w:tcPr>
            <w:tcW w:type="dxa" w:w="2282"/>
          </w:tcPr>
          <w:p>
            <w:pPr>
              <w:jc w:val="center"/>
            </w:pPr>
            <w:r>
              <w:rPr>
                <w:sz w:val="20"/>
              </w:rPr>
              <w:t>Training data</w:t>
            </w:r>
          </w:p>
        </w:tc>
        <w:tc>
          <w:tcPr>
            <w:tcW w:type="dxa" w:w="2282"/>
          </w:tcPr>
          <w:p>
            <w:pPr>
              <w:jc w:val="center"/>
            </w:pPr>
            <w:r>
              <w:rPr>
                <w:sz w:val="20"/>
              </w:rPr>
              <w:t>None</w:t>
            </w:r>
          </w:p>
        </w:tc>
        <w:tc>
          <w:tcPr>
            <w:tcW w:type="dxa" w:w="2282"/>
          </w:tcPr>
          <w:p>
            <w:pPr>
              <w:jc w:val="center"/>
            </w:pPr>
            <w:r>
              <w:rPr>
                <w:sz w:val="20"/>
              </w:rPr>
              <w:t>5–20 hours</w:t>
            </w:r>
          </w:p>
        </w:tc>
        <w:tc>
          <w:tcPr>
            <w:tcW w:type="dxa" w:w="2282"/>
          </w:tcPr>
          <w:p>
            <w:pPr>
              <w:jc w:val="center"/>
            </w:pPr>
            <w:r>
              <w:rPr>
                <w:sz w:val="20"/>
              </w:rPr>
              <w:t>1–50+ hours</w:t>
            </w:r>
          </w:p>
        </w:tc>
      </w:tr>
      <w:tr>
        <w:tc>
          <w:tcPr>
            <w:tcW w:type="dxa" w:w="2282"/>
          </w:tcPr>
          <w:p>
            <w:pPr>
              <w:jc w:val="center"/>
            </w:pPr>
            <w:r>
              <w:rPr>
                <w:sz w:val="20"/>
              </w:rPr>
              <w:t>Interpretability</w:t>
            </w:r>
          </w:p>
        </w:tc>
        <w:tc>
          <w:tcPr>
            <w:tcW w:type="dxa" w:w="2282"/>
          </w:tcPr>
          <w:p>
            <w:pPr>
              <w:jc w:val="center"/>
            </w:pPr>
            <w:r>
              <w:rPr>
                <w:sz w:val="20"/>
              </w:rPr>
              <w:t>Full</w:t>
            </w:r>
          </w:p>
        </w:tc>
        <w:tc>
          <w:tcPr>
            <w:tcW w:type="dxa" w:w="2282"/>
          </w:tcPr>
          <w:p>
            <w:pPr>
              <w:jc w:val="center"/>
            </w:pPr>
            <w:r>
              <w:rPr>
                <w:sz w:val="20"/>
              </w:rPr>
              <w:t>Partial</w:t>
            </w:r>
          </w:p>
        </w:tc>
        <w:tc>
          <w:tcPr>
            <w:tcW w:type="dxa" w:w="2282"/>
          </w:tcPr>
          <w:p>
            <w:pPr>
              <w:jc w:val="center"/>
            </w:pPr>
            <w:r>
              <w:rPr>
                <w:sz w:val="20"/>
              </w:rPr>
              <w:t>Minimal</w:t>
            </w:r>
          </w:p>
        </w:tc>
      </w:tr>
      <w:tr>
        <w:tc>
          <w:tcPr>
            <w:tcW w:type="dxa" w:w="2282"/>
          </w:tcPr>
          <w:p>
            <w:pPr>
              <w:jc w:val="center"/>
            </w:pPr>
            <w:r>
              <w:rPr>
                <w:sz w:val="20"/>
              </w:rPr>
              <w:t>Inference compute</w:t>
            </w:r>
          </w:p>
        </w:tc>
        <w:tc>
          <w:tcPr>
            <w:tcW w:type="dxa" w:w="2282"/>
          </w:tcPr>
          <w:p>
            <w:pPr>
              <w:jc w:val="center"/>
            </w:pPr>
            <w:r>
              <w:rPr>
                <w:sz w:val="20"/>
              </w:rPr>
              <w:t>CPU, &lt;1 ms</w:t>
            </w:r>
          </w:p>
        </w:tc>
        <w:tc>
          <w:tcPr>
            <w:tcW w:type="dxa" w:w="2282"/>
          </w:tcPr>
          <w:p>
            <w:pPr>
              <w:jc w:val="center"/>
            </w:pPr>
            <w:r>
              <w:rPr>
                <w:sz w:val="20"/>
              </w:rPr>
              <w:t>CPU, ~10 ms</w:t>
            </w:r>
          </w:p>
        </w:tc>
        <w:tc>
          <w:tcPr>
            <w:tcW w:type="dxa" w:w="2282"/>
          </w:tcPr>
          <w:p>
            <w:pPr>
              <w:jc w:val="center"/>
            </w:pPr>
            <w:r>
              <w:rPr>
                <w:sz w:val="20"/>
              </w:rPr>
              <w:t>GPU, ~50 ms</w:t>
            </w:r>
          </w:p>
        </w:tc>
      </w:tr>
      <w:tr>
        <w:tc>
          <w:tcPr>
            <w:tcW w:type="dxa" w:w="2282"/>
          </w:tcPr>
          <w:p>
            <w:pPr>
              <w:jc w:val="center"/>
            </w:pPr>
            <w:r>
              <w:rPr>
                <w:sz w:val="20"/>
              </w:rPr>
              <w:t>Error diagnosis</w:t>
            </w:r>
          </w:p>
        </w:tc>
        <w:tc>
          <w:tcPr>
            <w:tcW w:type="dxa" w:w="2282"/>
          </w:tcPr>
          <w:p>
            <w:pPr>
              <w:jc w:val="center"/>
            </w:pPr>
            <w:r>
              <w:rPr>
                <w:sz w:val="20"/>
              </w:rPr>
              <w:t>Easy</w:t>
            </w:r>
          </w:p>
        </w:tc>
        <w:tc>
          <w:tcPr>
            <w:tcW w:type="dxa" w:w="2282"/>
          </w:tcPr>
          <w:p>
            <w:pPr>
              <w:jc w:val="center"/>
            </w:pPr>
            <w:r>
              <w:rPr>
                <w:sz w:val="20"/>
              </w:rPr>
              <w:t>Complex</w:t>
            </w:r>
          </w:p>
        </w:tc>
        <w:tc>
          <w:tcPr>
            <w:tcW w:type="dxa" w:w="2282"/>
          </w:tcPr>
          <w:p>
            <w:pPr>
              <w:jc w:val="center"/>
            </w:pPr>
            <w:r>
              <w:rPr>
                <w:sz w:val="20"/>
              </w:rPr>
              <w:t>Very difficult</w:t>
            </w:r>
          </w:p>
        </w:tc>
      </w:tr>
      <w:tr>
        <w:tc>
          <w:tcPr>
            <w:tcW w:type="dxa" w:w="2282"/>
          </w:tcPr>
          <w:p>
            <w:pPr>
              <w:jc w:val="center"/>
            </w:pPr>
            <w:r>
              <w:rPr>
                <w:sz w:val="20"/>
              </w:rPr>
              <w:t>Output consistency</w:t>
            </w:r>
          </w:p>
        </w:tc>
        <w:tc>
          <w:tcPr>
            <w:tcW w:type="dxa" w:w="2282"/>
          </w:tcPr>
          <w:p>
            <w:pPr>
              <w:jc w:val="center"/>
            </w:pPr>
            <w:r>
              <w:rPr>
                <w:sz w:val="20"/>
              </w:rPr>
              <w:t>Deterministic</w:t>
            </w:r>
          </w:p>
        </w:tc>
        <w:tc>
          <w:tcPr>
            <w:tcW w:type="dxa" w:w="2282"/>
          </w:tcPr>
          <w:p>
            <w:pPr>
              <w:jc w:val="center"/>
            </w:pPr>
            <w:r>
              <w:rPr>
                <w:sz w:val="20"/>
              </w:rPr>
              <w:t>Partially det.</w:t>
            </w:r>
          </w:p>
        </w:tc>
        <w:tc>
          <w:tcPr>
            <w:tcW w:type="dxa" w:w="2282"/>
          </w:tcPr>
          <w:p>
            <w:pPr>
              <w:jc w:val="center"/>
            </w:pPr>
            <w:r>
              <w:rPr>
                <w:sz w:val="20"/>
              </w:rPr>
              <w:t>Stochastic</w:t>
            </w:r>
          </w:p>
        </w:tc>
      </w:tr>
      <w:tr>
        <w:tc>
          <w:tcPr>
            <w:tcW w:type="dxa" w:w="2282"/>
          </w:tcPr>
          <w:p>
            <w:pPr>
              <w:jc w:val="center"/>
            </w:pPr>
            <w:r>
              <w:rPr>
                <w:sz w:val="20"/>
              </w:rPr>
              <w:t>Low-resource language fit</w:t>
            </w:r>
          </w:p>
        </w:tc>
        <w:tc>
          <w:tcPr>
            <w:tcW w:type="dxa" w:w="2282"/>
          </w:tcPr>
          <w:p>
            <w:pPr>
              <w:jc w:val="center"/>
            </w:pPr>
            <w:r>
              <w:rPr>
                <w:sz w:val="20"/>
              </w:rPr>
              <w:t>High</w:t>
            </w:r>
          </w:p>
        </w:tc>
        <w:tc>
          <w:tcPr>
            <w:tcW w:type="dxa" w:w="2282"/>
          </w:tcPr>
          <w:p>
            <w:pPr>
              <w:jc w:val="center"/>
            </w:pPr>
            <w:r>
              <w:rPr>
                <w:sz w:val="20"/>
              </w:rPr>
              <w:t>Medium</w:t>
            </w:r>
          </w:p>
        </w:tc>
        <w:tc>
          <w:tcPr>
            <w:tcW w:type="dxa" w:w="2282"/>
          </w:tcPr>
          <w:p>
            <w:pPr>
              <w:jc w:val="center"/>
            </w:pPr>
            <w:r>
              <w:rPr>
                <w:sz w:val="20"/>
              </w:rPr>
              <w:t>Low</w:t>
            </w:r>
          </w:p>
        </w:tc>
      </w:tr>
      <w:tr>
        <w:tc>
          <w:tcPr>
            <w:tcW w:type="dxa" w:w="2282"/>
          </w:tcPr>
          <w:p>
            <w:pPr>
              <w:jc w:val="center"/>
            </w:pPr>
            <w:r>
              <w:rPr>
                <w:sz w:val="20"/>
              </w:rPr>
              <w:t>Domain adaptation</w:t>
            </w:r>
          </w:p>
        </w:tc>
        <w:tc>
          <w:tcPr>
            <w:tcW w:type="dxa" w:w="2282"/>
          </w:tcPr>
          <w:p>
            <w:pPr>
              <w:jc w:val="center"/>
            </w:pPr>
            <w:r>
              <w:rPr>
                <w:sz w:val="20"/>
              </w:rPr>
              <w:t>Easy</w:t>
            </w:r>
          </w:p>
        </w:tc>
        <w:tc>
          <w:tcPr>
            <w:tcW w:type="dxa" w:w="2282"/>
          </w:tcPr>
          <w:p>
            <w:pPr>
              <w:jc w:val="center"/>
            </w:pPr>
            <w:r>
              <w:rPr>
                <w:sz w:val="20"/>
              </w:rPr>
              <w:t>Difficult</w:t>
            </w:r>
          </w:p>
        </w:tc>
        <w:tc>
          <w:tcPr>
            <w:tcW w:type="dxa" w:w="2282"/>
          </w:tcPr>
          <w:p>
            <w:pPr>
              <w:jc w:val="center"/>
            </w:pPr>
            <w:r>
              <w:rPr>
                <w:sz w:val="20"/>
              </w:rPr>
              <w:t>Very difficult</w:t>
            </w:r>
          </w:p>
        </w:tc>
      </w:tr>
    </w:tbl>
    <w:p>
      <w:pPr>
        <w:spacing w:after="80"/>
      </w:pPr>
    </w:p>
    <w:p>
      <w:pPr>
        <w:spacing w:after="200"/>
        <w:jc w:val="center"/>
      </w:pPr>
      <w:r>
        <w:rPr>
          <w:i/>
          <w:color w:val="505050"/>
          <w:sz w:val="18"/>
        </w:rPr>
        <w:t>Source: Compiled by the author based on Tan et al. (2021), Oyucu (2023), Kim et al. (2021), Yeshpanov et al. (2023).</w:t>
      </w:r>
    </w:p>
    <w:p>
      <w:pPr>
        <w:spacing w:before="0" w:after="120"/>
        <w:ind w:firstLine="709"/>
        <w:jc w:val="both"/>
      </w:pPr>
      <w:r>
        <w:rPr>
          <w:sz w:val="24"/>
        </w:rPr>
        <w:t>Neural TTS for Azerbaijani requires a sufficiently large, high-quality, annotated speech corpus. While recent transfer learning work demonstrates that as little as 30 minutes of target language data may suffice with pre-trained multilingual models (Transfer Learning for Low-Resource TTS, 2024; LRSpeech, 2020), this still requires minimum data collection effort. At the current stage of Azerbaijani speech technology development, the rule-based paradigm remains the most viable approach for producing a transparent, documented, and immediately deployable system.</w:t>
      </w:r>
    </w:p>
    <w:p>
      <w:pPr>
        <w:pStyle w:val="Heading2"/>
        <w:spacing w:before="280" w:after="160"/>
        <w:jc w:val="center"/>
      </w:pPr>
      <w:r>
        <w:rPr>
          <w:b/>
          <w:sz w:val="28"/>
        </w:rPr>
        <w:t>1.3. Advantages and Limitations of Rule-Based TTS Systems: A SWOT Analysis</w:t>
      </w:r>
    </w:p>
    <w:p>
      <w:pPr>
        <w:spacing w:before="0" w:after="120"/>
        <w:ind w:firstLine="709"/>
        <w:jc w:val="both"/>
      </w:pPr>
      <w:r>
        <w:rPr>
          <w:sz w:val="24"/>
        </w:rPr>
        <w:t>SWOT analysis — Strengths, Weaknesses, Opportunities, Threats — is a widely employed strategic assessment framework in management science and research planning. This section presents a SWOT analysis of the rule-based TTS approach applied specifically to the Azerbaijani language context.</w:t>
      </w:r>
    </w:p>
    <w:p>
      <w:pPr>
        <w:spacing w:before="120" w:after="40"/>
        <w:jc w:val="center"/>
      </w:pPr>
      <w:r>
        <w:rPr>
          <w:i/>
          <w:color w:val="7F7F7F"/>
          <w:sz w:val="20"/>
        </w:rPr>
        <w:t>[Figure 1.4: SWOT matrix for the rule-based Azerbaijani TTS system]</w:t>
      </w:r>
    </w:p>
    <w:p>
      <w:pPr>
        <w:spacing w:after="160"/>
        <w:jc w:val="center"/>
      </w:pPr>
      <w:r>
        <w:rPr>
          <w:i/>
          <w:color w:val="7F7F7F"/>
          <w:sz w:val="18"/>
        </w:rPr>
        <w:t>Source: Compiled by the author based on Tan et al. (2021), LRSpeech (2020), Open Foundation Models for Azerbaijani Language (2024).</w:t>
      </w:r>
    </w:p>
    <w:p>
      <w:pPr>
        <w:pStyle w:val="Heading3"/>
        <w:spacing w:before="200" w:after="80"/>
        <w:jc w:val="left"/>
      </w:pPr>
      <w:r>
        <w:rPr>
          <w:b/>
          <w:color w:val="000000"/>
          <w:sz w:val="24"/>
        </w:rPr>
        <w:t>1.3.1. Strengths</w:t>
      </w:r>
    </w:p>
    <w:p>
      <w:pPr>
        <w:spacing w:after="120"/>
        <w:ind w:firstLine="709"/>
        <w:jc w:val="both"/>
      </w:pPr>
      <w:r>
        <w:rPr>
          <w:b/>
          <w:sz w:val="24"/>
        </w:rPr>
        <w:t xml:space="preserve">S1. NO SPEECH TRAINING DATA REQUIRED. </w:t>
      </w:r>
      <w:r>
        <w:rPr>
          <w:sz w:val="24"/>
        </w:rPr>
        <w:t>Neural TTS systems require 1–50+ hours of high-quality, professionally recorded, transcribed speech data in the target language. For low-resource languages like Azerbaijani, no such publicly available corpus exists. Rule-based systems can be built with linguistic expertise alone, with zero speech data.</w:t>
      </w:r>
    </w:p>
    <w:p>
      <w:pPr>
        <w:spacing w:after="120"/>
        <w:ind w:firstLine="709"/>
        <w:jc w:val="both"/>
      </w:pPr>
      <w:r>
        <w:rPr>
          <w:b/>
          <w:sz w:val="24"/>
        </w:rPr>
        <w:t xml:space="preserve">S2. FULL INTERPRETABILITY AND TRANSPARENCY. </w:t>
      </w:r>
      <w:r>
        <w:rPr>
          <w:sz w:val="24"/>
        </w:rPr>
        <w:t>Every output of a rule-based system is the direct consequence of an explicitly stated rule. When the system mispronounces a word, the source of the error can be identified by examining and updating the relevant rule — a property neural systems do not offer.</w:t>
      </w:r>
    </w:p>
    <w:p>
      <w:pPr>
        <w:spacing w:after="120"/>
        <w:ind w:firstLine="709"/>
        <w:jc w:val="both"/>
      </w:pPr>
      <w:r>
        <w:rPr>
          <w:b/>
          <w:sz w:val="24"/>
        </w:rPr>
        <w:t xml:space="preserve">S3. DETERMINISTIC AND CONSISTENT BEHAVIOR. </w:t>
      </w:r>
      <w:r>
        <w:rPr>
          <w:sz w:val="24"/>
        </w:rPr>
        <w:t>Given the same input, a rule-based system always produces exactly the same output. This consistency is valuable in accessibility applications and standardized language learning tools.</w:t>
      </w:r>
    </w:p>
    <w:p>
      <w:pPr>
        <w:spacing w:after="120"/>
        <w:ind w:firstLine="709"/>
        <w:jc w:val="both"/>
      </w:pPr>
      <w:r>
        <w:rPr>
          <w:b/>
          <w:sz w:val="24"/>
        </w:rPr>
        <w:t xml:space="preserve">S4. DIRECT INCORPORATION OF LINGUISTIC KNOWLEDGE. </w:t>
      </w:r>
      <w:r>
        <w:rPr>
          <w:sz w:val="24"/>
        </w:rPr>
        <w:t>Linguists who study a language can directly encode their knowledge into a rule-based system, creating productive collaboration between linguistics and engineering.</w:t>
      </w:r>
    </w:p>
    <w:p>
      <w:pPr>
        <w:spacing w:after="120"/>
        <w:ind w:firstLine="709"/>
        <w:jc w:val="both"/>
      </w:pPr>
      <w:r>
        <w:rPr>
          <w:b/>
          <w:sz w:val="24"/>
        </w:rPr>
        <w:t xml:space="preserve">S5. LOW COMPUTATIONAL REQUIREMENTS. </w:t>
      </w:r>
      <w:r>
        <w:rPr>
          <w:sz w:val="24"/>
        </w:rPr>
        <w:t>Rule-based synthesis runs in real time on commodity hardware without a GPU, using only a few megabytes of memory — suitable for embedded systems and offline applications.</w:t>
      </w:r>
    </w:p>
    <w:p>
      <w:pPr>
        <w:spacing w:after="120"/>
        <w:ind w:firstLine="709"/>
        <w:jc w:val="both"/>
      </w:pPr>
      <w:r>
        <w:rPr>
          <w:b/>
          <w:sz w:val="24"/>
        </w:rPr>
        <w:t xml:space="preserve">S6. EASY DOMAIN ADAPTATION. </w:t>
      </w:r>
      <w:r>
        <w:rPr>
          <w:sz w:val="24"/>
        </w:rPr>
        <w:t>Adding new vocabulary or pronunciation variants requires only editing the relevant rules or exception dictionary, rather than retraining a full neural model.</w:t>
      </w:r>
    </w:p>
    <w:p>
      <w:pPr>
        <w:pStyle w:val="Heading3"/>
        <w:spacing w:before="200" w:after="80"/>
        <w:jc w:val="left"/>
      </w:pPr>
      <w:r>
        <w:rPr>
          <w:b/>
          <w:color w:val="000000"/>
          <w:sz w:val="24"/>
        </w:rPr>
        <w:t>1.3.2. Weaknesses</w:t>
      </w:r>
    </w:p>
    <w:p>
      <w:pPr>
        <w:spacing w:after="120"/>
        <w:ind w:firstLine="709"/>
        <w:jc w:val="both"/>
      </w:pPr>
      <w:r>
        <w:rPr>
          <w:b/>
          <w:sz w:val="24"/>
        </w:rPr>
        <w:t xml:space="preserve">W1. LIMITED NATURALNESS. </w:t>
      </w:r>
      <w:r>
        <w:rPr>
          <w:sz w:val="24"/>
        </w:rPr>
        <w:t>Formant synthesizers and MBROLA-style concatenative systems produce speech recognizable as synthetic. Empirically, rule-based systems achieve MOS 3.0–3.8, compared to 4.2–4.5 for state-of-the-art neural systems. For applications where naturalness is paramount this gap is significant.</w:t>
      </w:r>
    </w:p>
    <w:p>
      <w:pPr>
        <w:spacing w:after="120"/>
        <w:ind w:firstLine="709"/>
        <w:jc w:val="both"/>
      </w:pPr>
      <w:r>
        <w:rPr>
          <w:b/>
          <w:sz w:val="24"/>
        </w:rPr>
        <w:t xml:space="preserve">W2. HIGH DEVELOPMENT EFFORT FOR COMPLEX LANGUAGES. </w:t>
      </w:r>
      <w:r>
        <w:rPr>
          <w:sz w:val="24"/>
        </w:rPr>
        <w:t>Azerbaijani's agglutinative morphology and context-sensitive phonological rules require substantial engineering effort. Designing, testing, and refining a complete rule set requires deep linguistic expertise and is time-consuming.</w:t>
      </w:r>
    </w:p>
    <w:p>
      <w:pPr>
        <w:spacing w:after="120"/>
        <w:ind w:firstLine="709"/>
        <w:jc w:val="both"/>
      </w:pPr>
      <w:r>
        <w:rPr>
          <w:b/>
          <w:sz w:val="24"/>
        </w:rPr>
        <w:t xml:space="preserve">W3. DIFFICULTY HANDLING LOANWORDS. </w:t>
      </w:r>
      <w:r>
        <w:rPr>
          <w:sz w:val="24"/>
        </w:rPr>
        <w:t>Azerbaijani contains loanwords from Russian, Arabic, and Persian with pronunciations that violate native phonological patterns. These require manually maintained exception lists and special-case rules.</w:t>
      </w:r>
    </w:p>
    <w:p>
      <w:pPr>
        <w:spacing w:after="120"/>
        <w:ind w:firstLine="709"/>
        <w:jc w:val="both"/>
      </w:pPr>
      <w:r>
        <w:rPr>
          <w:b/>
          <w:sz w:val="24"/>
        </w:rPr>
        <w:t xml:space="preserve">W4. PROSODIC EXPRESSIVENESS LIMITATIONS. </w:t>
      </w:r>
      <w:r>
        <w:rPr>
          <w:sz w:val="24"/>
        </w:rPr>
        <w:t>Generating genuinely natural-sounding prosody is extremely difficult to encode in explicit rules. Neural prosody models capture statistical regularities of human prosody in ways that rule-based systems cannot fully replicate.</w:t>
      </w:r>
    </w:p>
    <w:p>
      <w:pPr>
        <w:spacing w:after="120"/>
        <w:ind w:firstLine="709"/>
        <w:jc w:val="both"/>
      </w:pPr>
      <w:r>
        <w:rPr>
          <w:b/>
          <w:sz w:val="24"/>
        </w:rPr>
        <w:t xml:space="preserve">W5. COARTICULATION MODELING. </w:t>
      </w:r>
      <w:r>
        <w:rPr>
          <w:sz w:val="24"/>
        </w:rPr>
        <w:t>In natural speech, the acoustic properties of each phoneme are strongly influenced by neighboring phonemes. Rule-based systems model coarticulation through transition rules and formant interpolation, which approximate but do not fully capture the complexity of natural coarticulation.</w:t>
      </w:r>
    </w:p>
    <w:p>
      <w:pPr>
        <w:pStyle w:val="Heading3"/>
        <w:spacing w:before="200" w:after="80"/>
        <w:jc w:val="left"/>
      </w:pPr>
      <w:r>
        <w:rPr>
          <w:b/>
          <w:color w:val="000000"/>
          <w:sz w:val="24"/>
        </w:rPr>
        <w:t>1.3.3. Opportunities</w:t>
      </w:r>
    </w:p>
    <w:p>
      <w:pPr>
        <w:spacing w:after="120"/>
        <w:ind w:firstLine="709"/>
        <w:jc w:val="both"/>
      </w:pPr>
      <w:r>
        <w:rPr>
          <w:b/>
          <w:sz w:val="24"/>
        </w:rPr>
        <w:t xml:space="preserve">O1. AZERBAIJAN'S DIGITAL TRANSFORMATION AGENDA. </w:t>
      </w:r>
      <w:r>
        <w:rPr>
          <w:sz w:val="24"/>
        </w:rPr>
        <w:t>The Republic of Azerbaijan has an active state strategy for digital transformation and e-government service development. This policy environment creates favorable conditions for the development of local speech technologies including TTS for accessibility tools and national language technology development.</w:t>
      </w:r>
    </w:p>
    <w:p>
      <w:pPr>
        <w:spacing w:after="120"/>
        <w:ind w:firstLine="709"/>
        <w:jc w:val="both"/>
      </w:pPr>
      <w:r>
        <w:rPr>
          <w:b/>
          <w:sz w:val="24"/>
        </w:rPr>
        <w:t xml:space="preserve">O2. GROWING INTERNATIONAL INTEREST IN LOW-RESOURCE NLP. </w:t>
      </w:r>
      <w:r>
        <w:rPr>
          <w:sz w:val="24"/>
        </w:rPr>
        <w:t>International interest in NLP technologies for low-resource languages has grown substantially. Projects such as CML-TTS (2023) are developing corpus development methodologies for low-resource TTS. Recent multilingual Turkic ASR research (Applied Sciences, 2024; Nature Scientific Reports, 2024) includes Azerbaijani data.</w:t>
      </w:r>
    </w:p>
    <w:p>
      <w:pPr>
        <w:spacing w:after="120"/>
        <w:ind w:firstLine="709"/>
        <w:jc w:val="both"/>
      </w:pPr>
      <w:r>
        <w:rPr>
          <w:b/>
          <w:sz w:val="24"/>
        </w:rPr>
        <w:t xml:space="preserve">O3. FOUNDATION FOR FUTURE HYBRID SYSTEMS. </w:t>
      </w:r>
      <w:r>
        <w:rPr>
          <w:sz w:val="24"/>
        </w:rPr>
        <w:t>An explicitly documented rule-based system provides a valuable starting point for future hybrid approaches: automatic rule learning under LLM supervision, transfer learning once a small Azerbaijani speech corpus becomes available, or development of an Azerbaijani MBROLA phoneme inventory.</w:t>
      </w:r>
    </w:p>
    <w:p>
      <w:pPr>
        <w:spacing w:after="120"/>
        <w:ind w:firstLine="709"/>
        <w:jc w:val="both"/>
      </w:pPr>
      <w:r>
        <w:rPr>
          <w:b/>
          <w:sz w:val="24"/>
        </w:rPr>
        <w:t xml:space="preserve">O4. GROWING AZERBAIJANI NLP ECOSYSTEM. </w:t>
      </w:r>
      <w:r>
        <w:rPr>
          <w:sz w:val="24"/>
        </w:rPr>
        <w:t>The 2024 work 'Open Foundation Models for Azerbaijani Language' introduced the 651.1-million-word DOLLMA corpus and associated datasets (arXiv:2407.02337). This growing data ecosystem creates conditions for future Azerbaijani speech corpus development.</w:t>
      </w:r>
    </w:p>
    <w:p>
      <w:pPr>
        <w:spacing w:after="120"/>
        <w:ind w:firstLine="709"/>
        <w:jc w:val="both"/>
      </w:pPr>
      <w:r>
        <w:rPr>
          <w:b/>
          <w:sz w:val="24"/>
        </w:rPr>
        <w:t xml:space="preserve">O5. TRANSFER LEARNING WITH MINIMAL DATA. </w:t>
      </w:r>
      <w:r>
        <w:rPr>
          <w:sz w:val="24"/>
        </w:rPr>
        <w:t>Recent research (Transfer Learning for Low-Resource TTS, 2024; LRSpeech, 2020) demonstrates that acceptable neural TTS quality for Azerbaijani may be achievable with as little as 30 minutes of target language audio using pre-trained Turkish models.</w:t>
      </w:r>
    </w:p>
    <w:p>
      <w:pPr>
        <w:pStyle w:val="Heading3"/>
        <w:spacing w:before="200" w:after="80"/>
        <w:jc w:val="left"/>
      </w:pPr>
      <w:r>
        <w:rPr>
          <w:b/>
          <w:color w:val="000000"/>
          <w:sz w:val="24"/>
        </w:rPr>
        <w:t>1.3.4. Threats</w:t>
      </w:r>
    </w:p>
    <w:p>
      <w:pPr>
        <w:spacing w:after="120"/>
        <w:ind w:firstLine="709"/>
        <w:jc w:val="both"/>
      </w:pPr>
      <w:r>
        <w:rPr>
          <w:b/>
          <w:sz w:val="24"/>
        </w:rPr>
        <w:t xml:space="preserve">T1. RAPID ADVANCEMENT OF NEURAL TTS. </w:t>
      </w:r>
      <w:r>
        <w:rPr>
          <w:sz w:val="24"/>
        </w:rPr>
        <w:t>The pace of neural TTS development for low-resource languages is accelerating. Architectures such as VITS (Kim et al., 2021), YourTTS, and OpenVoice operate with progressively less data. If a minimal Azerbaijani speech corpus becomes available, this trend could render the rule-based paradigm obsolete for naturalness-critical applications.</w:t>
      </w:r>
    </w:p>
    <w:p>
      <w:pPr>
        <w:spacing w:after="120"/>
        <w:ind w:firstLine="709"/>
        <w:jc w:val="both"/>
      </w:pPr>
      <w:r>
        <w:rPr>
          <w:b/>
          <w:sz w:val="24"/>
        </w:rPr>
        <w:t xml:space="preserve">T2. PROLIFERATION OF COMMERCIAL TTS PLATFORMS. </w:t>
      </w:r>
      <w:r>
        <w:rPr>
          <w:sz w:val="24"/>
        </w:rPr>
        <w:t>Major technology companies — Google, Amazon, Microsoft — are expanding their multilingual TTS platforms. Azerbaijani language support already exists in some commercial offerings, though without transparent linguistic foundations.</w:t>
      </w:r>
    </w:p>
    <w:p>
      <w:pPr>
        <w:spacing w:after="120"/>
        <w:ind w:firstLine="709"/>
        <w:jc w:val="both"/>
      </w:pPr>
      <w:r>
        <w:rPr>
          <w:b/>
          <w:sz w:val="24"/>
        </w:rPr>
        <w:t xml:space="preserve">T3. LIMITED SPEECH DATA AVAILABILITY. </w:t>
      </w:r>
      <w:r>
        <w:rPr>
          <w:sz w:val="24"/>
        </w:rPr>
        <w:t>The limited availability of open Azerbaijani speech corpora constitutes both the core argument for the rule-based approach (Strength S1) and a potential long-term threat: as data becomes available, the relative advantage of rule-based systems diminishes.</w:t>
      </w:r>
    </w:p>
    <w:p>
      <w:pPr>
        <w:spacing w:after="120"/>
        <w:ind w:firstLine="709"/>
        <w:jc w:val="both"/>
      </w:pPr>
      <w:r>
        <w:rPr>
          <w:b/>
          <w:sz w:val="24"/>
        </w:rPr>
        <w:t xml:space="preserve">T4. SPARSE PHONETIC DOCUMENTATION. </w:t>
      </w:r>
      <w:r>
        <w:rPr>
          <w:sz w:val="24"/>
        </w:rPr>
        <w:t>Existing linguistic literature on Azerbaijani phonetics is limited compared to well-resourced languages, particularly regarding loanword pronunciations and subtle dialect-level variation.</w:t>
      </w:r>
    </w:p>
    <w:p>
      <w:pPr>
        <w:spacing w:after="240"/>
        <w:ind w:firstLine="709"/>
        <w:jc w:val="both"/>
      </w:pPr>
      <w:r>
        <w:rPr>
          <w:b/>
          <w:sz w:val="24"/>
        </w:rPr>
        <w:t xml:space="preserve">Chapter 1 Summary. </w:t>
      </w:r>
      <w:r>
        <w:rPr>
          <w:sz w:val="24"/>
        </w:rPr>
        <w:t>Having reviewed the historical development of TTS technology, the principles of rule-based systems, their comparison with statistical and neural paradigms, and a SWOT analysis in the Azerbaijani language context, it is evident that the rule-based paradigm represents the most appropriate methodological choice for Azerbaijani TTS at the current stage of the language's technological development. While the naturalness advantage of neural TTS is undeniable, the following factors collectively justify the rule-based choice: absence of available speech training data; well-documented and regular Azerbaijani phonology; transparency requirement for academic contribution; low computational cost; and the value of the resulting linguistic rule base as a foundation for future hybrid approaches.</w:t>
      </w:r>
    </w:p>
    <w:p>
      <w:pPr>
        <w:pStyle w:val="Heading3"/>
        <w:spacing w:before="200" w:after="80"/>
        <w:jc w:val="left"/>
      </w:pPr>
      <w:r>
        <w:rPr>
          <w:b/>
          <w:color w:val="000000"/>
          <w:sz w:val="24"/>
        </w:rPr>
        <w:t>References for Chapter I</w:t>
      </w:r>
    </w:p>
    <w:p>
      <w:pPr>
        <w:spacing w:after="80"/>
        <w:ind w:left="709" w:hanging="709"/>
        <w:jc w:val="both"/>
      </w:pPr>
      <w:r>
        <w:rPr>
          <w:b/>
          <w:sz w:val="22"/>
        </w:rPr>
        <w:t xml:space="preserve">Aida-Zade, K., &amp; Sharifova, A. (2010). </w:t>
      </w:r>
      <w:r>
        <w:rPr>
          <w:sz w:val="22"/>
        </w:rPr>
        <w:t>Azerbaijan text-to-speech synthesis system. The Third International Conference 'Problems of Cybernetics and Informatics', Section #2, 282–285. www.pci2010.science.az/2/19.pdf</w:t>
      </w:r>
    </w:p>
    <w:p>
      <w:pPr>
        <w:spacing w:after="80"/>
        <w:ind w:left="709" w:hanging="709"/>
        <w:jc w:val="both"/>
      </w:pPr>
      <w:r>
        <w:rPr>
          <w:b/>
          <w:sz w:val="22"/>
        </w:rPr>
        <w:t xml:space="preserve">Aghalari, Y. (2023). </w:t>
      </w:r>
      <w:r>
        <w:rPr>
          <w:sz w:val="22"/>
        </w:rPr>
        <w:t>Text to speech system for Azerbaijani language [Master's thesis, ADA University &amp; George Washington University].</w:t>
      </w:r>
    </w:p>
    <w:p>
      <w:pPr>
        <w:spacing w:after="80"/>
        <w:ind w:left="709" w:hanging="709"/>
        <w:jc w:val="both"/>
      </w:pPr>
      <w:r>
        <w:rPr>
          <w:b/>
          <w:sz w:val="22"/>
        </w:rPr>
        <w:t xml:space="preserve">Apple Machine Learning Research. (2024). </w:t>
      </w:r>
      <w:r>
        <w:rPr>
          <w:sz w:val="22"/>
        </w:rPr>
        <w:t>PolyNorm: Few-shot LLM-based text normalization for text-to-speech. arXiv:2511.03080. https://arxiv.org/abs/2511.03080</w:t>
      </w:r>
    </w:p>
    <w:p>
      <w:pPr>
        <w:spacing w:after="80"/>
        <w:ind w:left="709" w:hanging="709"/>
        <w:jc w:val="both"/>
      </w:pPr>
      <w:r>
        <w:rPr>
          <w:b/>
          <w:sz w:val="22"/>
        </w:rPr>
        <w:t xml:space="preserve">Kim, J., Kong, J., &amp; Son, J. (2021). </w:t>
      </w:r>
      <w:r>
        <w:rPr>
          <w:sz w:val="22"/>
        </w:rPr>
        <w:t>Conditional variational autoencoder with adversarial learning for end-to-end text-to-speech. ICML 2021. https://arxiv.org/pdf/2106.06103</w:t>
      </w:r>
    </w:p>
    <w:p>
      <w:pPr>
        <w:spacing w:after="80"/>
        <w:ind w:left="709" w:hanging="709"/>
        <w:jc w:val="both"/>
      </w:pPr>
      <w:r>
        <w:rPr>
          <w:b/>
          <w:sz w:val="22"/>
        </w:rPr>
        <w:t xml:space="preserve">Kong, J., Kim, J., &amp; Bae, J. (2020). </w:t>
      </w:r>
      <w:r>
        <w:rPr>
          <w:sz w:val="22"/>
        </w:rPr>
        <w:t>HiFi-GAN: Generative adversarial networks for efficient and high fidelity speech synthesis. NeurIPS 2020.</w:t>
      </w:r>
    </w:p>
    <w:p>
      <w:pPr>
        <w:spacing w:after="80"/>
        <w:ind w:left="709" w:hanging="709"/>
        <w:jc w:val="both"/>
      </w:pPr>
      <w:r>
        <w:rPr>
          <w:b/>
          <w:sz w:val="22"/>
        </w:rPr>
        <w:t xml:space="preserve">MorAz: An open-source morphological analyzer for Azerbaijani Turkish. (2019). </w:t>
      </w:r>
      <w:r>
        <w:rPr>
          <w:sz w:val="22"/>
        </w:rPr>
        <w:t>ResearchGate. https://www.researchgate.net/publication/331168185</w:t>
      </w:r>
    </w:p>
    <w:p>
      <w:pPr>
        <w:spacing w:after="80"/>
        <w:ind w:left="709" w:hanging="709"/>
        <w:jc w:val="both"/>
      </w:pPr>
      <w:r>
        <w:rPr>
          <w:b/>
          <w:sz w:val="22"/>
        </w:rPr>
        <w:t xml:space="preserve">NVIDIA. (2020–2024). </w:t>
      </w:r>
      <w:r>
        <w:rPr>
          <w:sz w:val="22"/>
        </w:rPr>
        <w:t>Text normalization and inverse text normalization with NVIDIA NeMo. NVIDIA Technical Blog. https://developer.nvidia.com/blog/text-normalization-and-inverse-text-normalization-with-nvidia-nemo/</w:t>
      </w:r>
    </w:p>
    <w:p>
      <w:pPr>
        <w:spacing w:after="80"/>
        <w:ind w:left="709" w:hanging="709"/>
        <w:jc w:val="both"/>
      </w:pPr>
      <w:r>
        <w:rPr>
          <w:b/>
          <w:sz w:val="22"/>
        </w:rPr>
        <w:t xml:space="preserve">Oyucu, S. (2023). </w:t>
      </w:r>
      <w:r>
        <w:rPr>
          <w:sz w:val="22"/>
        </w:rPr>
        <w:t>A novel end-to-end Turkish text-to-speech (TTS) system via deep learning. Electronics, 12(8), 1900. https://doi.org/10.3390/electronics12081900</w:t>
      </w:r>
    </w:p>
    <w:p>
      <w:pPr>
        <w:spacing w:after="80"/>
        <w:ind w:left="709" w:hanging="709"/>
        <w:jc w:val="both"/>
      </w:pPr>
      <w:r>
        <w:rPr>
          <w:b/>
          <w:sz w:val="22"/>
        </w:rPr>
        <w:t xml:space="preserve">Sadekova, T., et al. (2024). </w:t>
      </w:r>
      <w:r>
        <w:rPr>
          <w:sz w:val="22"/>
        </w:rPr>
        <w:t>PitchFlow: Adding pitch control to a flow-matching based TTS model. Interspeech 2024. https://www.isca-archive.org/interspeech_2024/sadekova24_interspeech.pdf</w:t>
      </w:r>
    </w:p>
    <w:p>
      <w:pPr>
        <w:spacing w:after="80"/>
        <w:ind w:left="709" w:hanging="709"/>
        <w:jc w:val="both"/>
      </w:pPr>
      <w:r>
        <w:rPr>
          <w:b/>
          <w:sz w:val="22"/>
        </w:rPr>
        <w:t xml:space="preserve">Speech Quality Metrics and Evaluation. (2020–2024). </w:t>
      </w:r>
      <w:r>
        <w:rPr>
          <w:sz w:val="22"/>
        </w:rPr>
        <w:t>https://indextts2.online/blog/speech-quality-metrics-evaluation</w:t>
      </w:r>
    </w:p>
    <w:p>
      <w:pPr>
        <w:spacing w:after="80"/>
        <w:ind w:left="709" w:hanging="709"/>
        <w:jc w:val="both"/>
      </w:pPr>
      <w:r>
        <w:rPr>
          <w:b/>
          <w:sz w:val="22"/>
        </w:rPr>
        <w:t xml:space="preserve">Statistical parametric speech synthesis. (2015). </w:t>
      </w:r>
      <w:r>
        <w:rPr>
          <w:sz w:val="22"/>
        </w:rPr>
        <w:t>IEEE Signal Processing Magazine. https://ieeexplore.ieee.org/document/7282379</w:t>
      </w:r>
    </w:p>
    <w:p>
      <w:pPr>
        <w:spacing w:after="80"/>
        <w:ind w:left="709" w:hanging="709"/>
        <w:jc w:val="both"/>
      </w:pPr>
      <w:r>
        <w:rPr>
          <w:b/>
          <w:sz w:val="22"/>
        </w:rPr>
        <w:t xml:space="preserve">Survey of grapheme-to-phoneme conversion methods. (2024). </w:t>
      </w:r>
      <w:r>
        <w:rPr>
          <w:sz w:val="22"/>
        </w:rPr>
        <w:t>Applied Sciences, 14(24), 11790. https://www.mdpi.com/2076-3417/14/24/11790</w:t>
      </w:r>
    </w:p>
    <w:p>
      <w:pPr>
        <w:spacing w:after="80"/>
        <w:ind w:left="709" w:hanging="709"/>
        <w:jc w:val="both"/>
      </w:pPr>
      <w:r>
        <w:rPr>
          <w:b/>
          <w:sz w:val="22"/>
        </w:rPr>
        <w:t xml:space="preserve">Tan, X., Qin, T., Soong, F., &amp; Liu, T.-Y. (2021). </w:t>
      </w:r>
      <w:r>
        <w:rPr>
          <w:sz w:val="22"/>
        </w:rPr>
        <w:t>A survey on neural speech synthesis. arXiv:2106.15561. https://arxiv.org/abs/2106.15561</w:t>
      </w:r>
    </w:p>
    <w:p>
      <w:pPr>
        <w:spacing w:after="80"/>
        <w:ind w:left="709" w:hanging="709"/>
        <w:jc w:val="both"/>
      </w:pPr>
      <w:r>
        <w:rPr>
          <w:b/>
          <w:sz w:val="22"/>
        </w:rPr>
        <w:t xml:space="preserve">Taylor, P., Black, A. W., &amp; Caley, R. (1998). </w:t>
      </w:r>
      <w:r>
        <w:rPr>
          <w:sz w:val="22"/>
        </w:rPr>
        <w:t>The architecture of the Festival speech synthesis system. ESCA Workshop on Speech Synthesis, 147–151. https://www.cs.cmu.edu/~awb/papers/ESCA98_arch.pdf</w:t>
      </w:r>
    </w:p>
    <w:p>
      <w:pPr>
        <w:spacing w:after="80"/>
        <w:ind w:left="709" w:hanging="709"/>
        <w:jc w:val="both"/>
      </w:pPr>
      <w:r>
        <w:rPr>
          <w:b/>
          <w:sz w:val="22"/>
        </w:rPr>
        <w:t xml:space="preserve">Towards controllable speech synthesis in the era of large language models: A survey. (2024). </w:t>
      </w:r>
      <w:r>
        <w:rPr>
          <w:sz w:val="22"/>
        </w:rPr>
        <w:t>arXiv:2412.06602. https://arxiv.org/html/2412.06602v1</w:t>
      </w:r>
    </w:p>
    <w:p>
      <w:pPr>
        <w:spacing w:after="80"/>
        <w:ind w:left="709" w:hanging="709"/>
        <w:jc w:val="both"/>
      </w:pPr>
      <w:r>
        <w:rPr>
          <w:b/>
          <w:sz w:val="22"/>
        </w:rPr>
        <w:t xml:space="preserve">Transfer learning for low-resource, multi-lingual, and zero-shot multi-speaker TTS. (2024). </w:t>
      </w:r>
      <w:r>
        <w:rPr>
          <w:sz w:val="22"/>
        </w:rPr>
        <w:t>IEEE/ACM Transactions on Audio, Speech and Language Processing. https://dl.acm.org/doi/10.1109/TASLP.2024.3364085</w:t>
      </w:r>
    </w:p>
    <w:p>
      <w:pPr>
        <w:spacing w:after="80"/>
        <w:ind w:left="709" w:hanging="709"/>
        <w:jc w:val="both"/>
      </w:pPr>
      <w:r>
        <w:rPr>
          <w:b/>
          <w:sz w:val="22"/>
        </w:rPr>
        <w:t xml:space="preserve">Xu, Y., Tan, X., et al. (2020). </w:t>
      </w:r>
      <w:r>
        <w:rPr>
          <w:sz w:val="22"/>
        </w:rPr>
        <w:t>LRSpeech: Extremely low-resource speech synthesis and recognition. KDD 2020.</w:t>
      </w:r>
    </w:p>
    <w:p>
      <w:pPr>
        <w:spacing w:after="80"/>
        <w:ind w:left="709" w:hanging="709"/>
        <w:jc w:val="both"/>
      </w:pPr>
      <w:r>
        <w:rPr>
          <w:b/>
          <w:sz w:val="22"/>
        </w:rPr>
        <w:t xml:space="preserve">Various authors. (2024). </w:t>
      </w:r>
      <w:r>
        <w:rPr>
          <w:sz w:val="22"/>
        </w:rPr>
        <w:t>Open foundation models for Azerbaijani language. arXiv:2407.02337. https://arxiv.org/html/2407.02337v1</w:t>
      </w:r>
    </w:p>
    <w:p>
      <w:pPr>
        <w:spacing w:after="80"/>
        <w:ind w:left="709" w:hanging="709"/>
        <w:jc w:val="both"/>
      </w:pPr>
      <w:r>
        <w:rPr>
          <w:b/>
          <w:sz w:val="22"/>
        </w:rPr>
        <w:t xml:space="preserve">Vesik, K., et al. (2020). </w:t>
      </w:r>
      <w:r>
        <w:rPr>
          <w:sz w:val="22"/>
        </w:rPr>
        <w:t>Grapheme-to-phoneme conversion with a multilingual transformer model. SIGMORPHON 2020. https://aclanthology.org/2020.sigmorphon-1.7/</w:t>
      </w:r>
    </w:p>
    <w:p>
      <w:pPr>
        <w:spacing w:after="80"/>
        <w:ind w:left="709" w:hanging="709"/>
        <w:jc w:val="both"/>
      </w:pPr>
      <w:r>
        <w:rPr>
          <w:b/>
          <w:sz w:val="22"/>
        </w:rPr>
        <w:t xml:space="preserve">Voice synthesis improvement by machine learning of natural prosody. (2024). </w:t>
      </w:r>
      <w:r>
        <w:rPr>
          <w:sz w:val="22"/>
        </w:rPr>
        <w:t>Sensors, 24(5), 1624. https://www.mdpi.com/1424-8220/24/5/1624</w:t>
      </w:r>
    </w:p>
    <w:p>
      <w:pPr>
        <w:spacing w:after="80"/>
        <w:ind w:left="709" w:hanging="709"/>
        <w:jc w:val="both"/>
      </w:pPr>
      <w:r>
        <w:rPr>
          <w:b/>
          <w:sz w:val="22"/>
        </w:rPr>
        <w:t xml:space="preserve">Yeshpanov, R., Mussakhojayeva, S., &amp; Khassanov, Y. (2023). </w:t>
      </w:r>
      <w:r>
        <w:rPr>
          <w:sz w:val="22"/>
        </w:rPr>
        <w:t>Multilingual text-to-speech synthesis for Turkic languages using transliteration. Interspeech 2023. https://github.com/IS2AI/TurkicTTS</w:t>
      </w:r>
    </w:p>
    <w:p>
      <w:r>
        <w:br w:type="page"/>
      </w:r>
    </w:p>
    <w:p>
      <w:pPr>
        <w:pStyle w:val="Heading1"/>
        <w:spacing w:before="360" w:after="240"/>
        <w:jc w:val="center"/>
      </w:pPr>
      <w:r>
        <w:rPr>
          <w:b/>
          <w:sz w:val="32"/>
        </w:rPr>
        <w:t>CHAPTER II. LINGUISTIC AND TECHNICAL ANALYSIS FOR AZERBAIJANI TTS</w:t>
      </w:r>
    </w:p>
    <w:p>
      <w:pPr>
        <w:spacing w:before="0" w:after="120"/>
        <w:ind w:firstLine="709"/>
        <w:jc w:val="both"/>
      </w:pPr>
      <w:r>
        <w:rPr>
          <w:sz w:val="24"/>
        </w:rPr>
        <w:t>This chapter provides the linguistic and technical foundations for the proposed Azerbaijani rule-based TTS system. Section 2.1 examines the phonological and morphological characteristics of the Azerbaijani language that most directly affect speech synthesis design. Section 2.2 describes the linguistic rule design for text normalization, syllabification, stress assignment, and prosody modeling. Section 2.3 presents the overall architecture of the system, including module decomposition and data flow.</w:t>
      </w:r>
    </w:p>
    <w:p>
      <w:pPr>
        <w:pStyle w:val="Heading2"/>
        <w:spacing w:before="280" w:after="160"/>
        <w:jc w:val="center"/>
      </w:pPr>
      <w:r>
        <w:rPr>
          <w:b/>
          <w:sz w:val="28"/>
        </w:rPr>
        <w:t>2.1. Phonetic and Morphological Characteristics of Azerbaijani</w:t>
      </w:r>
    </w:p>
    <w:p>
      <w:pPr>
        <w:pStyle w:val="Heading3"/>
        <w:spacing w:before="200" w:after="80"/>
        <w:jc w:val="left"/>
      </w:pPr>
      <w:r>
        <w:rPr>
          <w:b/>
          <w:color w:val="000000"/>
          <w:sz w:val="24"/>
        </w:rPr>
        <w:t>2.1.1. Typological Classification and Orthography</w:t>
      </w:r>
    </w:p>
    <w:p>
      <w:pPr>
        <w:spacing w:before="0" w:after="120"/>
        <w:ind w:firstLine="709"/>
        <w:jc w:val="both"/>
      </w:pPr>
      <w:r>
        <w:rPr>
          <w:sz w:val="24"/>
        </w:rPr>
        <w:t>Azerbaijani (also called Azeri) belongs to the Oghuz branch of the Turkic language family, closely related to Turkish, Turkmen, and Gagauz. It is the official language of the Republic of Azerbaijan, spoken by approximately 10 million people within Azerbaijan and an estimated 25 million in northwestern Iran. This dissertation addresses North Azerbaijani — the standard variety codified in the Latin-based orthography adopted in 1992 (Various authors, 2024).</w:t>
      </w:r>
    </w:p>
    <w:p>
      <w:pPr>
        <w:spacing w:before="0" w:after="120"/>
        <w:ind w:firstLine="709"/>
        <w:jc w:val="both"/>
      </w:pPr>
      <w:r>
        <w:rPr>
          <w:sz w:val="24"/>
        </w:rPr>
        <w:t>As a Turkic language, Azerbaijani exhibits several typological features with direct relevance to TTS design:</w:t>
      </w:r>
    </w:p>
    <w:p>
      <w:pPr>
        <w:pStyle w:val="ListBullet"/>
        <w:spacing w:after="80"/>
        <w:jc w:val="both"/>
      </w:pPr>
      <w:r>
        <w:rPr>
          <w:sz w:val="24"/>
        </w:rPr>
        <w:t>Agglutinative morphology: words are formed by concatenating morphemes, each with a clearly defined phonological and grammatical function. A single verbal form may carry suffixes encoding tense, aspect, mood, negation, and agreement — dramatically increasing the number of distinct word forms encountered at runtime.</w:t>
      </w:r>
    </w:p>
    <w:p>
      <w:pPr>
        <w:pStyle w:val="ListBullet"/>
        <w:spacing w:after="80"/>
        <w:jc w:val="both"/>
      </w:pPr>
      <w:r>
        <w:rPr>
          <w:sz w:val="24"/>
        </w:rPr>
        <w:t>Vowel harmony: suffixal vowels must agree with the root vowel in frontness/backness. Vowel harmony is largely encoded in the spelling for native words, simplifying the G2P task.</w:t>
      </w:r>
    </w:p>
    <w:p>
      <w:pPr>
        <w:pStyle w:val="ListBullet"/>
        <w:spacing w:after="80"/>
        <w:jc w:val="both"/>
      </w:pPr>
      <w:r>
        <w:rPr>
          <w:sz w:val="24"/>
        </w:rPr>
        <w:t>Verb-final word order (SOV): the main verb typically occupies sentence-final position, influencing prosodic phrasing and pitch accent placement.</w:t>
      </w:r>
    </w:p>
    <w:p>
      <w:pPr>
        <w:pStyle w:val="ListBullet"/>
        <w:spacing w:after="80"/>
        <w:jc w:val="both"/>
      </w:pPr>
      <w:r>
        <w:rPr>
          <w:sz w:val="24"/>
        </w:rPr>
        <w:t>Predominantly suffixing morphological system: derivational and inflectional morphemes are appended to the right of the stem, making the left edge of words relatively stable.</w:t>
      </w:r>
    </w:p>
    <w:p>
      <w:pPr>
        <w:spacing w:before="0" w:after="120"/>
        <w:ind w:firstLine="709"/>
        <w:jc w:val="both"/>
      </w:pPr>
      <w:r>
        <w:rPr>
          <w:sz w:val="24"/>
        </w:rPr>
        <w:t>Since 1992, North Azerbaijani has been written in a 32-letter Latin alphabet that is broadly phonemic — the correspondence between graphemes and phonemes is close, though not entirely one-to-one — making it considerably more amenable to rule-based G2P conversion than English or French (Salimi, n.d.).</w:t>
      </w:r>
    </w:p>
    <w:p>
      <w:pPr>
        <w:pStyle w:val="Heading3"/>
        <w:spacing w:before="200" w:after="80"/>
        <w:jc w:val="left"/>
      </w:pPr>
      <w:r>
        <w:rPr>
          <w:b/>
          <w:color w:val="000000"/>
          <w:sz w:val="24"/>
        </w:rPr>
        <w:t>2.1.2. Phoneme Inventory</w:t>
      </w:r>
    </w:p>
    <w:p>
      <w:pPr>
        <w:spacing w:before="0" w:after="120"/>
        <w:ind w:firstLine="709"/>
        <w:jc w:val="both"/>
      </w:pPr>
      <w:r>
        <w:rPr>
          <w:sz w:val="24"/>
        </w:rPr>
        <w:t>Azerbaijani has nine vowel phonemes and twenty-three consonant phonemes — a richer inventory than Turkish and considerably richer than most Indo-European languages (Cambridge Core, n.d.; Comparative Analysis, 2024).</w:t>
      </w:r>
    </w:p>
    <w:p>
      <w:pPr>
        <w:spacing w:before="200" w:after="80"/>
        <w:jc w:val="center"/>
      </w:pPr>
      <w:r>
        <w:rPr>
          <w:b/>
          <w:sz w:val="22"/>
        </w:rPr>
        <w:t>Table 2.1. Azerbaijani Vowel Inventory</w:t>
      </w:r>
    </w:p>
    <w:tbl>
      <w:tblPr>
        <w:tblStyle w:val="TableGrid"/>
        <w:tblW w:type="auto" w:w="0"/>
        <w:jc w:val="center"/>
        <w:tblLook w:firstColumn="1" w:firstRow="1" w:lastColumn="0" w:lastRow="0" w:noHBand="0" w:noVBand="1" w:val="04A0"/>
      </w:tblPr>
      <w:tblGrid>
        <w:gridCol w:w="1521"/>
        <w:gridCol w:w="1521"/>
        <w:gridCol w:w="1521"/>
        <w:gridCol w:w="1521"/>
        <w:gridCol w:w="1521"/>
        <w:gridCol w:w="1521"/>
      </w:tblGrid>
      <w:tr>
        <w:tc>
          <w:tcPr>
            <w:tcW w:type="dxa" w:w="1521"/>
            <w:shd w:val="clear" w:color="auto" w:fill="D9E2F3"/>
          </w:tcPr>
          <w:p>
            <w:pPr>
              <w:jc w:val="center"/>
            </w:pPr>
            <w:r>
              <w:rPr>
                <w:b/>
                <w:sz w:val="20"/>
              </w:rPr>
              <w:t>Grapheme</w:t>
            </w:r>
          </w:p>
        </w:tc>
        <w:tc>
          <w:tcPr>
            <w:tcW w:type="dxa" w:w="1521"/>
            <w:shd w:val="clear" w:color="auto" w:fill="D9E2F3"/>
          </w:tcPr>
          <w:p>
            <w:pPr>
              <w:jc w:val="center"/>
            </w:pPr>
            <w:r>
              <w:rPr>
                <w:b/>
                <w:sz w:val="20"/>
              </w:rPr>
              <w:t>IPA</w:t>
            </w:r>
          </w:p>
        </w:tc>
        <w:tc>
          <w:tcPr>
            <w:tcW w:type="dxa" w:w="1521"/>
            <w:shd w:val="clear" w:color="auto" w:fill="D9E2F3"/>
          </w:tcPr>
          <w:p>
            <w:pPr>
              <w:jc w:val="center"/>
            </w:pPr>
            <w:r>
              <w:rPr>
                <w:b/>
                <w:sz w:val="20"/>
              </w:rPr>
              <w:t>Height</w:t>
            </w:r>
          </w:p>
        </w:tc>
        <w:tc>
          <w:tcPr>
            <w:tcW w:type="dxa" w:w="1521"/>
            <w:shd w:val="clear" w:color="auto" w:fill="D9E2F3"/>
          </w:tcPr>
          <w:p>
            <w:pPr>
              <w:jc w:val="center"/>
            </w:pPr>
            <w:r>
              <w:rPr>
                <w:b/>
                <w:sz w:val="20"/>
              </w:rPr>
              <w:t>Backness</w:t>
            </w:r>
          </w:p>
        </w:tc>
        <w:tc>
          <w:tcPr>
            <w:tcW w:type="dxa" w:w="1521"/>
            <w:shd w:val="clear" w:color="auto" w:fill="D9E2F3"/>
          </w:tcPr>
          <w:p>
            <w:pPr>
              <w:jc w:val="center"/>
            </w:pPr>
            <w:r>
              <w:rPr>
                <w:b/>
                <w:sz w:val="20"/>
              </w:rPr>
              <w:t>Rounding</w:t>
            </w:r>
          </w:p>
        </w:tc>
        <w:tc>
          <w:tcPr>
            <w:tcW w:type="dxa" w:w="1521"/>
            <w:shd w:val="clear" w:color="auto" w:fill="D9E2F3"/>
          </w:tcPr>
          <w:p>
            <w:pPr>
              <w:jc w:val="center"/>
            </w:pPr>
            <w:r>
              <w:rPr>
                <w:b/>
                <w:sz w:val="20"/>
              </w:rPr>
              <w:t>Example</w:t>
            </w:r>
          </w:p>
        </w:tc>
      </w:tr>
      <w:tr>
        <w:tc>
          <w:tcPr>
            <w:tcW w:type="dxa" w:w="1521"/>
          </w:tcPr>
          <w:p>
            <w:pPr>
              <w:jc w:val="center"/>
            </w:pPr>
            <w:r>
              <w:rPr>
                <w:sz w:val="20"/>
              </w:rPr>
              <w:t>a</w:t>
            </w:r>
          </w:p>
        </w:tc>
        <w:tc>
          <w:tcPr>
            <w:tcW w:type="dxa" w:w="1521"/>
          </w:tcPr>
          <w:p>
            <w:pPr>
              <w:jc w:val="center"/>
            </w:pPr>
            <w:r>
              <w:rPr>
                <w:sz w:val="20"/>
              </w:rPr>
              <w:t>/a/</w:t>
            </w:r>
          </w:p>
        </w:tc>
        <w:tc>
          <w:tcPr>
            <w:tcW w:type="dxa" w:w="1521"/>
          </w:tcPr>
          <w:p>
            <w:pPr>
              <w:jc w:val="center"/>
            </w:pPr>
            <w:r>
              <w:rPr>
                <w:sz w:val="20"/>
              </w:rPr>
              <w:t>Open</w:t>
            </w:r>
          </w:p>
        </w:tc>
        <w:tc>
          <w:tcPr>
            <w:tcW w:type="dxa" w:w="1521"/>
          </w:tcPr>
          <w:p>
            <w:pPr>
              <w:jc w:val="center"/>
            </w:pPr>
            <w:r>
              <w:rPr>
                <w:sz w:val="20"/>
              </w:rPr>
              <w:t>Back</w:t>
            </w:r>
          </w:p>
        </w:tc>
        <w:tc>
          <w:tcPr>
            <w:tcW w:type="dxa" w:w="1521"/>
          </w:tcPr>
          <w:p>
            <w:pPr>
              <w:jc w:val="center"/>
            </w:pPr>
            <w:r>
              <w:rPr>
                <w:sz w:val="20"/>
              </w:rPr>
              <w:t>Unrounded</w:t>
            </w:r>
          </w:p>
        </w:tc>
        <w:tc>
          <w:tcPr>
            <w:tcW w:type="dxa" w:w="1521"/>
          </w:tcPr>
          <w:p>
            <w:pPr>
              <w:jc w:val="center"/>
            </w:pPr>
            <w:r>
              <w:rPr>
                <w:sz w:val="20"/>
              </w:rPr>
              <w:t>alma (apple)</w:t>
            </w:r>
          </w:p>
        </w:tc>
      </w:tr>
      <w:tr>
        <w:tc>
          <w:tcPr>
            <w:tcW w:type="dxa" w:w="1521"/>
          </w:tcPr>
          <w:p>
            <w:pPr>
              <w:jc w:val="center"/>
            </w:pPr>
            <w:r>
              <w:rPr>
                <w:sz w:val="20"/>
              </w:rPr>
              <w:t>e</w:t>
            </w:r>
          </w:p>
        </w:tc>
        <w:tc>
          <w:tcPr>
            <w:tcW w:type="dxa" w:w="1521"/>
          </w:tcPr>
          <w:p>
            <w:pPr>
              <w:jc w:val="center"/>
            </w:pPr>
            <w:r>
              <w:rPr>
                <w:sz w:val="20"/>
              </w:rPr>
              <w:t>/e/</w:t>
            </w:r>
          </w:p>
        </w:tc>
        <w:tc>
          <w:tcPr>
            <w:tcW w:type="dxa" w:w="1521"/>
          </w:tcPr>
          <w:p>
            <w:pPr>
              <w:jc w:val="center"/>
            </w:pPr>
            <w:r>
              <w:rPr>
                <w:sz w:val="20"/>
              </w:rPr>
              <w:t>Close-mid</w:t>
            </w:r>
          </w:p>
        </w:tc>
        <w:tc>
          <w:tcPr>
            <w:tcW w:type="dxa" w:w="1521"/>
          </w:tcPr>
          <w:p>
            <w:pPr>
              <w:jc w:val="center"/>
            </w:pPr>
            <w:r>
              <w:rPr>
                <w:sz w:val="20"/>
              </w:rPr>
              <w:t>Front</w:t>
            </w:r>
          </w:p>
        </w:tc>
        <w:tc>
          <w:tcPr>
            <w:tcW w:type="dxa" w:w="1521"/>
          </w:tcPr>
          <w:p>
            <w:pPr>
              <w:jc w:val="center"/>
            </w:pPr>
            <w:r>
              <w:rPr>
                <w:sz w:val="20"/>
              </w:rPr>
              <w:t>Unrounded</w:t>
            </w:r>
          </w:p>
        </w:tc>
        <w:tc>
          <w:tcPr>
            <w:tcW w:type="dxa" w:w="1521"/>
          </w:tcPr>
          <w:p>
            <w:pPr>
              <w:jc w:val="center"/>
            </w:pPr>
            <w:r>
              <w:rPr>
                <w:sz w:val="20"/>
              </w:rPr>
              <w:t>ev (house)</w:t>
            </w:r>
          </w:p>
        </w:tc>
      </w:tr>
      <w:tr>
        <w:tc>
          <w:tcPr>
            <w:tcW w:type="dxa" w:w="1521"/>
          </w:tcPr>
          <w:p>
            <w:pPr>
              <w:jc w:val="center"/>
            </w:pPr>
            <w:r>
              <w:rPr>
                <w:sz w:val="20"/>
              </w:rPr>
              <w:t>ə</w:t>
            </w:r>
          </w:p>
        </w:tc>
        <w:tc>
          <w:tcPr>
            <w:tcW w:type="dxa" w:w="1521"/>
          </w:tcPr>
          <w:p>
            <w:pPr>
              <w:jc w:val="center"/>
            </w:pPr>
            <w:r>
              <w:rPr>
                <w:sz w:val="20"/>
              </w:rPr>
              <w:t>/æ/</w:t>
            </w:r>
          </w:p>
        </w:tc>
        <w:tc>
          <w:tcPr>
            <w:tcW w:type="dxa" w:w="1521"/>
          </w:tcPr>
          <w:p>
            <w:pPr>
              <w:jc w:val="center"/>
            </w:pPr>
            <w:r>
              <w:rPr>
                <w:sz w:val="20"/>
              </w:rPr>
              <w:t>Near-open</w:t>
            </w:r>
          </w:p>
        </w:tc>
        <w:tc>
          <w:tcPr>
            <w:tcW w:type="dxa" w:w="1521"/>
          </w:tcPr>
          <w:p>
            <w:pPr>
              <w:jc w:val="center"/>
            </w:pPr>
            <w:r>
              <w:rPr>
                <w:sz w:val="20"/>
              </w:rPr>
              <w:t>Front</w:t>
            </w:r>
          </w:p>
        </w:tc>
        <w:tc>
          <w:tcPr>
            <w:tcW w:type="dxa" w:w="1521"/>
          </w:tcPr>
          <w:p>
            <w:pPr>
              <w:jc w:val="center"/>
            </w:pPr>
            <w:r>
              <w:rPr>
                <w:sz w:val="20"/>
              </w:rPr>
              <w:t>Unrounded</w:t>
            </w:r>
          </w:p>
        </w:tc>
        <w:tc>
          <w:tcPr>
            <w:tcW w:type="dxa" w:w="1521"/>
          </w:tcPr>
          <w:p>
            <w:pPr>
              <w:jc w:val="center"/>
            </w:pPr>
            <w:r>
              <w:rPr>
                <w:sz w:val="20"/>
              </w:rPr>
              <w:t>əl (hand)</w:t>
            </w:r>
          </w:p>
        </w:tc>
      </w:tr>
      <w:tr>
        <w:tc>
          <w:tcPr>
            <w:tcW w:type="dxa" w:w="1521"/>
          </w:tcPr>
          <w:p>
            <w:pPr>
              <w:jc w:val="center"/>
            </w:pPr>
            <w:r>
              <w:rPr>
                <w:sz w:val="20"/>
              </w:rPr>
              <w:t>ı</w:t>
            </w:r>
          </w:p>
        </w:tc>
        <w:tc>
          <w:tcPr>
            <w:tcW w:type="dxa" w:w="1521"/>
          </w:tcPr>
          <w:p>
            <w:pPr>
              <w:jc w:val="center"/>
            </w:pPr>
            <w:r>
              <w:rPr>
                <w:sz w:val="20"/>
              </w:rPr>
              <w:t>/ɯ/</w:t>
            </w:r>
          </w:p>
        </w:tc>
        <w:tc>
          <w:tcPr>
            <w:tcW w:type="dxa" w:w="1521"/>
          </w:tcPr>
          <w:p>
            <w:pPr>
              <w:jc w:val="center"/>
            </w:pPr>
            <w:r>
              <w:rPr>
                <w:sz w:val="20"/>
              </w:rPr>
              <w:t>Close</w:t>
            </w:r>
          </w:p>
        </w:tc>
        <w:tc>
          <w:tcPr>
            <w:tcW w:type="dxa" w:w="1521"/>
          </w:tcPr>
          <w:p>
            <w:pPr>
              <w:jc w:val="center"/>
            </w:pPr>
            <w:r>
              <w:rPr>
                <w:sz w:val="20"/>
              </w:rPr>
              <w:t>Back</w:t>
            </w:r>
          </w:p>
        </w:tc>
        <w:tc>
          <w:tcPr>
            <w:tcW w:type="dxa" w:w="1521"/>
          </w:tcPr>
          <w:p>
            <w:pPr>
              <w:jc w:val="center"/>
            </w:pPr>
            <w:r>
              <w:rPr>
                <w:sz w:val="20"/>
              </w:rPr>
              <w:t>Unrounded</w:t>
            </w:r>
          </w:p>
        </w:tc>
        <w:tc>
          <w:tcPr>
            <w:tcW w:type="dxa" w:w="1521"/>
          </w:tcPr>
          <w:p>
            <w:pPr>
              <w:jc w:val="center"/>
            </w:pPr>
            <w:r>
              <w:rPr>
                <w:sz w:val="20"/>
              </w:rPr>
              <w:t>ıldız (star)</w:t>
            </w:r>
          </w:p>
        </w:tc>
      </w:tr>
      <w:tr>
        <w:tc>
          <w:tcPr>
            <w:tcW w:type="dxa" w:w="1521"/>
          </w:tcPr>
          <w:p>
            <w:pPr>
              <w:jc w:val="center"/>
            </w:pPr>
            <w:r>
              <w:rPr>
                <w:sz w:val="20"/>
              </w:rPr>
              <w:t>i</w:t>
            </w:r>
          </w:p>
        </w:tc>
        <w:tc>
          <w:tcPr>
            <w:tcW w:type="dxa" w:w="1521"/>
          </w:tcPr>
          <w:p>
            <w:pPr>
              <w:jc w:val="center"/>
            </w:pPr>
            <w:r>
              <w:rPr>
                <w:sz w:val="20"/>
              </w:rPr>
              <w:t>/i/</w:t>
            </w:r>
          </w:p>
        </w:tc>
        <w:tc>
          <w:tcPr>
            <w:tcW w:type="dxa" w:w="1521"/>
          </w:tcPr>
          <w:p>
            <w:pPr>
              <w:jc w:val="center"/>
            </w:pPr>
            <w:r>
              <w:rPr>
                <w:sz w:val="20"/>
              </w:rPr>
              <w:t>Close</w:t>
            </w:r>
          </w:p>
        </w:tc>
        <w:tc>
          <w:tcPr>
            <w:tcW w:type="dxa" w:w="1521"/>
          </w:tcPr>
          <w:p>
            <w:pPr>
              <w:jc w:val="center"/>
            </w:pPr>
            <w:r>
              <w:rPr>
                <w:sz w:val="20"/>
              </w:rPr>
              <w:t>Front</w:t>
            </w:r>
          </w:p>
        </w:tc>
        <w:tc>
          <w:tcPr>
            <w:tcW w:type="dxa" w:w="1521"/>
          </w:tcPr>
          <w:p>
            <w:pPr>
              <w:jc w:val="center"/>
            </w:pPr>
            <w:r>
              <w:rPr>
                <w:sz w:val="20"/>
              </w:rPr>
              <w:t>Unrounded</w:t>
            </w:r>
          </w:p>
        </w:tc>
        <w:tc>
          <w:tcPr>
            <w:tcW w:type="dxa" w:w="1521"/>
          </w:tcPr>
          <w:p>
            <w:pPr>
              <w:jc w:val="center"/>
            </w:pPr>
            <w:r>
              <w:rPr>
                <w:sz w:val="20"/>
              </w:rPr>
              <w:t>il (year)</w:t>
            </w:r>
          </w:p>
        </w:tc>
      </w:tr>
      <w:tr>
        <w:tc>
          <w:tcPr>
            <w:tcW w:type="dxa" w:w="1521"/>
          </w:tcPr>
          <w:p>
            <w:pPr>
              <w:jc w:val="center"/>
            </w:pPr>
            <w:r>
              <w:rPr>
                <w:sz w:val="20"/>
              </w:rPr>
              <w:t>o</w:t>
            </w:r>
          </w:p>
        </w:tc>
        <w:tc>
          <w:tcPr>
            <w:tcW w:type="dxa" w:w="1521"/>
          </w:tcPr>
          <w:p>
            <w:pPr>
              <w:jc w:val="center"/>
            </w:pPr>
            <w:r>
              <w:rPr>
                <w:sz w:val="20"/>
              </w:rPr>
              <w:t>/o/</w:t>
            </w:r>
          </w:p>
        </w:tc>
        <w:tc>
          <w:tcPr>
            <w:tcW w:type="dxa" w:w="1521"/>
          </w:tcPr>
          <w:p>
            <w:pPr>
              <w:jc w:val="center"/>
            </w:pPr>
            <w:r>
              <w:rPr>
                <w:sz w:val="20"/>
              </w:rPr>
              <w:t>Close-mid</w:t>
            </w:r>
          </w:p>
        </w:tc>
        <w:tc>
          <w:tcPr>
            <w:tcW w:type="dxa" w:w="1521"/>
          </w:tcPr>
          <w:p>
            <w:pPr>
              <w:jc w:val="center"/>
            </w:pPr>
            <w:r>
              <w:rPr>
                <w:sz w:val="20"/>
              </w:rPr>
              <w:t>Back</w:t>
            </w:r>
          </w:p>
        </w:tc>
        <w:tc>
          <w:tcPr>
            <w:tcW w:type="dxa" w:w="1521"/>
          </w:tcPr>
          <w:p>
            <w:pPr>
              <w:jc w:val="center"/>
            </w:pPr>
            <w:r>
              <w:rPr>
                <w:sz w:val="20"/>
              </w:rPr>
              <w:t>Rounded</w:t>
            </w:r>
          </w:p>
        </w:tc>
        <w:tc>
          <w:tcPr>
            <w:tcW w:type="dxa" w:w="1521"/>
          </w:tcPr>
          <w:p>
            <w:pPr>
              <w:jc w:val="center"/>
            </w:pPr>
            <w:r>
              <w:rPr>
                <w:sz w:val="20"/>
              </w:rPr>
              <w:t>od (fire)</w:t>
            </w:r>
          </w:p>
        </w:tc>
      </w:tr>
      <w:tr>
        <w:tc>
          <w:tcPr>
            <w:tcW w:type="dxa" w:w="1521"/>
          </w:tcPr>
          <w:p>
            <w:pPr>
              <w:jc w:val="center"/>
            </w:pPr>
            <w:r>
              <w:rPr>
                <w:sz w:val="20"/>
              </w:rPr>
              <w:t>ö</w:t>
            </w:r>
          </w:p>
        </w:tc>
        <w:tc>
          <w:tcPr>
            <w:tcW w:type="dxa" w:w="1521"/>
          </w:tcPr>
          <w:p>
            <w:pPr>
              <w:jc w:val="center"/>
            </w:pPr>
            <w:r>
              <w:rPr>
                <w:sz w:val="20"/>
              </w:rPr>
              <w:t>/ø/</w:t>
            </w:r>
          </w:p>
        </w:tc>
        <w:tc>
          <w:tcPr>
            <w:tcW w:type="dxa" w:w="1521"/>
          </w:tcPr>
          <w:p>
            <w:pPr>
              <w:jc w:val="center"/>
            </w:pPr>
            <w:r>
              <w:rPr>
                <w:sz w:val="20"/>
              </w:rPr>
              <w:t>Close-mid</w:t>
            </w:r>
          </w:p>
        </w:tc>
        <w:tc>
          <w:tcPr>
            <w:tcW w:type="dxa" w:w="1521"/>
          </w:tcPr>
          <w:p>
            <w:pPr>
              <w:jc w:val="center"/>
            </w:pPr>
            <w:r>
              <w:rPr>
                <w:sz w:val="20"/>
              </w:rPr>
              <w:t>Front</w:t>
            </w:r>
          </w:p>
        </w:tc>
        <w:tc>
          <w:tcPr>
            <w:tcW w:type="dxa" w:w="1521"/>
          </w:tcPr>
          <w:p>
            <w:pPr>
              <w:jc w:val="center"/>
            </w:pPr>
            <w:r>
              <w:rPr>
                <w:sz w:val="20"/>
              </w:rPr>
              <w:t>Rounded</w:t>
            </w:r>
          </w:p>
        </w:tc>
        <w:tc>
          <w:tcPr>
            <w:tcW w:type="dxa" w:w="1521"/>
          </w:tcPr>
          <w:p>
            <w:pPr>
              <w:jc w:val="center"/>
            </w:pPr>
            <w:r>
              <w:rPr>
                <w:sz w:val="20"/>
              </w:rPr>
              <w:t>öz (self)</w:t>
            </w:r>
          </w:p>
        </w:tc>
      </w:tr>
      <w:tr>
        <w:tc>
          <w:tcPr>
            <w:tcW w:type="dxa" w:w="1521"/>
          </w:tcPr>
          <w:p>
            <w:pPr>
              <w:jc w:val="center"/>
            </w:pPr>
            <w:r>
              <w:rPr>
                <w:sz w:val="20"/>
              </w:rPr>
              <w:t>u</w:t>
            </w:r>
          </w:p>
        </w:tc>
        <w:tc>
          <w:tcPr>
            <w:tcW w:type="dxa" w:w="1521"/>
          </w:tcPr>
          <w:p>
            <w:pPr>
              <w:jc w:val="center"/>
            </w:pPr>
            <w:r>
              <w:rPr>
                <w:sz w:val="20"/>
              </w:rPr>
              <w:t>/u/</w:t>
            </w:r>
          </w:p>
        </w:tc>
        <w:tc>
          <w:tcPr>
            <w:tcW w:type="dxa" w:w="1521"/>
          </w:tcPr>
          <w:p>
            <w:pPr>
              <w:jc w:val="center"/>
            </w:pPr>
            <w:r>
              <w:rPr>
                <w:sz w:val="20"/>
              </w:rPr>
              <w:t>Close</w:t>
            </w:r>
          </w:p>
        </w:tc>
        <w:tc>
          <w:tcPr>
            <w:tcW w:type="dxa" w:w="1521"/>
          </w:tcPr>
          <w:p>
            <w:pPr>
              <w:jc w:val="center"/>
            </w:pPr>
            <w:r>
              <w:rPr>
                <w:sz w:val="20"/>
              </w:rPr>
              <w:t>Back</w:t>
            </w:r>
          </w:p>
        </w:tc>
        <w:tc>
          <w:tcPr>
            <w:tcW w:type="dxa" w:w="1521"/>
          </w:tcPr>
          <w:p>
            <w:pPr>
              <w:jc w:val="center"/>
            </w:pPr>
            <w:r>
              <w:rPr>
                <w:sz w:val="20"/>
              </w:rPr>
              <w:t>Rounded</w:t>
            </w:r>
          </w:p>
        </w:tc>
        <w:tc>
          <w:tcPr>
            <w:tcW w:type="dxa" w:w="1521"/>
          </w:tcPr>
          <w:p>
            <w:pPr>
              <w:jc w:val="center"/>
            </w:pPr>
            <w:r>
              <w:rPr>
                <w:sz w:val="20"/>
              </w:rPr>
              <w:t>uşaq (child)</w:t>
            </w:r>
          </w:p>
        </w:tc>
      </w:tr>
      <w:tr>
        <w:tc>
          <w:tcPr>
            <w:tcW w:type="dxa" w:w="1521"/>
          </w:tcPr>
          <w:p>
            <w:pPr>
              <w:jc w:val="center"/>
            </w:pPr>
            <w:r>
              <w:rPr>
                <w:sz w:val="20"/>
              </w:rPr>
              <w:t>ü</w:t>
            </w:r>
          </w:p>
        </w:tc>
        <w:tc>
          <w:tcPr>
            <w:tcW w:type="dxa" w:w="1521"/>
          </w:tcPr>
          <w:p>
            <w:pPr>
              <w:jc w:val="center"/>
            </w:pPr>
            <w:r>
              <w:rPr>
                <w:sz w:val="20"/>
              </w:rPr>
              <w:t>/y/</w:t>
            </w:r>
          </w:p>
        </w:tc>
        <w:tc>
          <w:tcPr>
            <w:tcW w:type="dxa" w:w="1521"/>
          </w:tcPr>
          <w:p>
            <w:pPr>
              <w:jc w:val="center"/>
            </w:pPr>
            <w:r>
              <w:rPr>
                <w:sz w:val="20"/>
              </w:rPr>
              <w:t>Close</w:t>
            </w:r>
          </w:p>
        </w:tc>
        <w:tc>
          <w:tcPr>
            <w:tcW w:type="dxa" w:w="1521"/>
          </w:tcPr>
          <w:p>
            <w:pPr>
              <w:jc w:val="center"/>
            </w:pPr>
            <w:r>
              <w:rPr>
                <w:sz w:val="20"/>
              </w:rPr>
              <w:t>Front</w:t>
            </w:r>
          </w:p>
        </w:tc>
        <w:tc>
          <w:tcPr>
            <w:tcW w:type="dxa" w:w="1521"/>
          </w:tcPr>
          <w:p>
            <w:pPr>
              <w:jc w:val="center"/>
            </w:pPr>
            <w:r>
              <w:rPr>
                <w:sz w:val="20"/>
              </w:rPr>
              <w:t>Rounded</w:t>
            </w:r>
          </w:p>
        </w:tc>
        <w:tc>
          <w:tcPr>
            <w:tcW w:type="dxa" w:w="1521"/>
          </w:tcPr>
          <w:p>
            <w:pPr>
              <w:jc w:val="center"/>
            </w:pPr>
            <w:r>
              <w:rPr>
                <w:sz w:val="20"/>
              </w:rPr>
              <w:t>üz (face)</w:t>
            </w:r>
          </w:p>
        </w:tc>
      </w:tr>
    </w:tbl>
    <w:p>
      <w:pPr>
        <w:spacing w:after="80"/>
      </w:pPr>
    </w:p>
    <w:p>
      <w:pPr>
        <w:spacing w:after="200"/>
        <w:jc w:val="center"/>
      </w:pPr>
      <w:r>
        <w:rPr>
          <w:i/>
          <w:color w:val="505050"/>
          <w:sz w:val="18"/>
        </w:rPr>
        <w:t>Source: Cambridge Core (n.d.); Comparative Analysis of Azerbaijani and English Phonetic Systems (2024).</w:t>
      </w:r>
    </w:p>
    <w:p>
      <w:pPr>
        <w:spacing w:before="0" w:after="120"/>
        <w:ind w:firstLine="709"/>
        <w:jc w:val="both"/>
      </w:pPr>
      <w:r>
        <w:rPr>
          <w:sz w:val="24"/>
        </w:rPr>
        <w:t>Two distinctions are especially important for G2P conversion: ə (near-open front unrounded) versus e (close-mid front unrounded), which are phonemically contrastive; and ı (dotless i, close back unrounded) versus i (close front unrounded), where both uppercase forms (I vs. İ) and lowercase forms must be handled correctly.</w:t>
      </w:r>
    </w:p>
    <w:p>
      <w:pPr>
        <w:spacing w:before="200" w:after="80"/>
        <w:jc w:val="center"/>
      </w:pPr>
      <w:r>
        <w:rPr>
          <w:b/>
          <w:sz w:val="22"/>
        </w:rPr>
        <w:t>Table 2.2. Azerbaijani Consonant Inventory (23 Phonemes)</w:t>
      </w:r>
    </w:p>
    <w:tbl>
      <w:tblPr>
        <w:tblStyle w:val="TableGrid"/>
        <w:tblW w:type="auto" w:w="0"/>
        <w:jc w:val="center"/>
        <w:tblLook w:firstColumn="1" w:firstRow="1" w:lastColumn="0" w:lastRow="0" w:noHBand="0" w:noVBand="1" w:val="04A0"/>
      </w:tblPr>
      <w:tblGrid>
        <w:gridCol w:w="1521"/>
        <w:gridCol w:w="1521"/>
        <w:gridCol w:w="1521"/>
        <w:gridCol w:w="1521"/>
        <w:gridCol w:w="1521"/>
        <w:gridCol w:w="1521"/>
      </w:tblGrid>
      <w:tr>
        <w:tc>
          <w:tcPr>
            <w:tcW w:type="dxa" w:w="1521"/>
            <w:shd w:val="clear" w:color="auto" w:fill="D9E2F3"/>
          </w:tcPr>
          <w:p>
            <w:pPr>
              <w:jc w:val="center"/>
            </w:pPr>
            <w:r>
              <w:rPr>
                <w:b/>
                <w:sz w:val="20"/>
              </w:rPr>
              <w:t>Grapheme</w:t>
            </w:r>
          </w:p>
        </w:tc>
        <w:tc>
          <w:tcPr>
            <w:tcW w:type="dxa" w:w="1521"/>
            <w:shd w:val="clear" w:color="auto" w:fill="D9E2F3"/>
          </w:tcPr>
          <w:p>
            <w:pPr>
              <w:jc w:val="center"/>
            </w:pPr>
            <w:r>
              <w:rPr>
                <w:b/>
                <w:sz w:val="20"/>
              </w:rPr>
              <w:t>IPA</w:t>
            </w:r>
          </w:p>
        </w:tc>
        <w:tc>
          <w:tcPr>
            <w:tcW w:type="dxa" w:w="1521"/>
            <w:shd w:val="clear" w:color="auto" w:fill="D9E2F3"/>
          </w:tcPr>
          <w:p>
            <w:pPr>
              <w:jc w:val="center"/>
            </w:pPr>
            <w:r>
              <w:rPr>
                <w:b/>
                <w:sz w:val="20"/>
              </w:rPr>
              <w:t>Manner</w:t>
            </w:r>
          </w:p>
        </w:tc>
        <w:tc>
          <w:tcPr>
            <w:tcW w:type="dxa" w:w="1521"/>
            <w:shd w:val="clear" w:color="auto" w:fill="D9E2F3"/>
          </w:tcPr>
          <w:p>
            <w:pPr>
              <w:jc w:val="center"/>
            </w:pPr>
            <w:r>
              <w:rPr>
                <w:b/>
                <w:sz w:val="20"/>
              </w:rPr>
              <w:t>Place</w:t>
            </w:r>
          </w:p>
        </w:tc>
        <w:tc>
          <w:tcPr>
            <w:tcW w:type="dxa" w:w="1521"/>
            <w:shd w:val="clear" w:color="auto" w:fill="D9E2F3"/>
          </w:tcPr>
          <w:p>
            <w:pPr>
              <w:jc w:val="center"/>
            </w:pPr>
            <w:r>
              <w:rPr>
                <w:b/>
                <w:sz w:val="20"/>
              </w:rPr>
              <w:t>Voicing</w:t>
            </w:r>
          </w:p>
        </w:tc>
        <w:tc>
          <w:tcPr>
            <w:tcW w:type="dxa" w:w="1521"/>
            <w:shd w:val="clear" w:color="auto" w:fill="D9E2F3"/>
          </w:tcPr>
          <w:p>
            <w:pPr>
              <w:jc w:val="center"/>
            </w:pPr>
            <w:r>
              <w:rPr>
                <w:b/>
                <w:sz w:val="20"/>
              </w:rPr>
              <w:t>Example</w:t>
            </w:r>
          </w:p>
        </w:tc>
      </w:tr>
      <w:tr>
        <w:tc>
          <w:tcPr>
            <w:tcW w:type="dxa" w:w="1521"/>
          </w:tcPr>
          <w:p>
            <w:pPr>
              <w:jc w:val="center"/>
            </w:pPr>
            <w:r>
              <w:rPr>
                <w:sz w:val="20"/>
              </w:rPr>
              <w:t>b</w:t>
            </w:r>
          </w:p>
        </w:tc>
        <w:tc>
          <w:tcPr>
            <w:tcW w:type="dxa" w:w="1521"/>
          </w:tcPr>
          <w:p>
            <w:pPr>
              <w:jc w:val="center"/>
            </w:pPr>
            <w:r>
              <w:rPr>
                <w:sz w:val="20"/>
              </w:rPr>
              <w:t>/b/</w:t>
            </w:r>
          </w:p>
        </w:tc>
        <w:tc>
          <w:tcPr>
            <w:tcW w:type="dxa" w:w="1521"/>
          </w:tcPr>
          <w:p>
            <w:pPr>
              <w:jc w:val="center"/>
            </w:pPr>
            <w:r>
              <w:rPr>
                <w:sz w:val="20"/>
              </w:rPr>
              <w:t>Stop</w:t>
            </w:r>
          </w:p>
        </w:tc>
        <w:tc>
          <w:tcPr>
            <w:tcW w:type="dxa" w:w="1521"/>
          </w:tcPr>
          <w:p>
            <w:pPr>
              <w:jc w:val="center"/>
            </w:pPr>
            <w:r>
              <w:rPr>
                <w:sz w:val="20"/>
              </w:rPr>
              <w:t>Bilabial</w:t>
            </w:r>
          </w:p>
        </w:tc>
        <w:tc>
          <w:tcPr>
            <w:tcW w:type="dxa" w:w="1521"/>
          </w:tcPr>
          <w:p>
            <w:pPr>
              <w:jc w:val="center"/>
            </w:pPr>
            <w:r>
              <w:rPr>
                <w:sz w:val="20"/>
              </w:rPr>
              <w:t>Voiced</w:t>
            </w:r>
          </w:p>
        </w:tc>
        <w:tc>
          <w:tcPr>
            <w:tcW w:type="dxa" w:w="1521"/>
          </w:tcPr>
          <w:p>
            <w:pPr>
              <w:jc w:val="center"/>
            </w:pPr>
            <w:r>
              <w:rPr>
                <w:sz w:val="20"/>
              </w:rPr>
              <w:t>baş (head)</w:t>
            </w:r>
          </w:p>
        </w:tc>
      </w:tr>
      <w:tr>
        <w:tc>
          <w:tcPr>
            <w:tcW w:type="dxa" w:w="1521"/>
          </w:tcPr>
          <w:p>
            <w:pPr>
              <w:jc w:val="center"/>
            </w:pPr>
            <w:r>
              <w:rPr>
                <w:sz w:val="20"/>
              </w:rPr>
              <w:t>c</w:t>
            </w:r>
          </w:p>
        </w:tc>
        <w:tc>
          <w:tcPr>
            <w:tcW w:type="dxa" w:w="1521"/>
          </w:tcPr>
          <w:p>
            <w:pPr>
              <w:jc w:val="center"/>
            </w:pPr>
            <w:r>
              <w:rPr>
                <w:sz w:val="20"/>
              </w:rPr>
              <w:t>/dʒ/</w:t>
            </w:r>
          </w:p>
        </w:tc>
        <w:tc>
          <w:tcPr>
            <w:tcW w:type="dxa" w:w="1521"/>
          </w:tcPr>
          <w:p>
            <w:pPr>
              <w:jc w:val="center"/>
            </w:pPr>
            <w:r>
              <w:rPr>
                <w:sz w:val="20"/>
              </w:rPr>
              <w:t>Affricate</w:t>
            </w:r>
          </w:p>
        </w:tc>
        <w:tc>
          <w:tcPr>
            <w:tcW w:type="dxa" w:w="1521"/>
          </w:tcPr>
          <w:p>
            <w:pPr>
              <w:jc w:val="center"/>
            </w:pPr>
            <w:r>
              <w:rPr>
                <w:sz w:val="20"/>
              </w:rPr>
              <w:t>Post-alveolar</w:t>
            </w:r>
          </w:p>
        </w:tc>
        <w:tc>
          <w:tcPr>
            <w:tcW w:type="dxa" w:w="1521"/>
          </w:tcPr>
          <w:p>
            <w:pPr>
              <w:jc w:val="center"/>
            </w:pPr>
            <w:r>
              <w:rPr>
                <w:sz w:val="20"/>
              </w:rPr>
              <w:t>Voiced</w:t>
            </w:r>
          </w:p>
        </w:tc>
        <w:tc>
          <w:tcPr>
            <w:tcW w:type="dxa" w:w="1521"/>
          </w:tcPr>
          <w:p>
            <w:pPr>
              <w:jc w:val="center"/>
            </w:pPr>
            <w:r>
              <w:rPr>
                <w:sz w:val="20"/>
              </w:rPr>
              <w:t>can (soul)</w:t>
            </w:r>
          </w:p>
        </w:tc>
      </w:tr>
      <w:tr>
        <w:tc>
          <w:tcPr>
            <w:tcW w:type="dxa" w:w="1521"/>
          </w:tcPr>
          <w:p>
            <w:pPr>
              <w:jc w:val="center"/>
            </w:pPr>
            <w:r>
              <w:rPr>
                <w:sz w:val="20"/>
              </w:rPr>
              <w:t>ç</w:t>
            </w:r>
          </w:p>
        </w:tc>
        <w:tc>
          <w:tcPr>
            <w:tcW w:type="dxa" w:w="1521"/>
          </w:tcPr>
          <w:p>
            <w:pPr>
              <w:jc w:val="center"/>
            </w:pPr>
            <w:r>
              <w:rPr>
                <w:sz w:val="20"/>
              </w:rPr>
              <w:t>/tʃ/</w:t>
            </w:r>
          </w:p>
        </w:tc>
        <w:tc>
          <w:tcPr>
            <w:tcW w:type="dxa" w:w="1521"/>
          </w:tcPr>
          <w:p>
            <w:pPr>
              <w:jc w:val="center"/>
            </w:pPr>
            <w:r>
              <w:rPr>
                <w:sz w:val="20"/>
              </w:rPr>
              <w:t>Affricate</w:t>
            </w:r>
          </w:p>
        </w:tc>
        <w:tc>
          <w:tcPr>
            <w:tcW w:type="dxa" w:w="1521"/>
          </w:tcPr>
          <w:p>
            <w:pPr>
              <w:jc w:val="center"/>
            </w:pPr>
            <w:r>
              <w:rPr>
                <w:sz w:val="20"/>
              </w:rPr>
              <w:t>Post-alveolar</w:t>
            </w:r>
          </w:p>
        </w:tc>
        <w:tc>
          <w:tcPr>
            <w:tcW w:type="dxa" w:w="1521"/>
          </w:tcPr>
          <w:p>
            <w:pPr>
              <w:jc w:val="center"/>
            </w:pPr>
            <w:r>
              <w:rPr>
                <w:sz w:val="20"/>
              </w:rPr>
              <w:t>Voiceless</w:t>
            </w:r>
          </w:p>
        </w:tc>
        <w:tc>
          <w:tcPr>
            <w:tcW w:type="dxa" w:w="1521"/>
          </w:tcPr>
          <w:p>
            <w:pPr>
              <w:jc w:val="center"/>
            </w:pPr>
            <w:r>
              <w:rPr>
                <w:sz w:val="20"/>
              </w:rPr>
              <w:t>çay (tea)</w:t>
            </w:r>
          </w:p>
        </w:tc>
      </w:tr>
      <w:tr>
        <w:tc>
          <w:tcPr>
            <w:tcW w:type="dxa" w:w="1521"/>
          </w:tcPr>
          <w:p>
            <w:pPr>
              <w:jc w:val="center"/>
            </w:pPr>
            <w:r>
              <w:rPr>
                <w:sz w:val="20"/>
              </w:rPr>
              <w:t>d</w:t>
            </w:r>
          </w:p>
        </w:tc>
        <w:tc>
          <w:tcPr>
            <w:tcW w:type="dxa" w:w="1521"/>
          </w:tcPr>
          <w:p>
            <w:pPr>
              <w:jc w:val="center"/>
            </w:pPr>
            <w:r>
              <w:rPr>
                <w:sz w:val="20"/>
              </w:rPr>
              <w:t>/d/</w:t>
            </w:r>
          </w:p>
        </w:tc>
        <w:tc>
          <w:tcPr>
            <w:tcW w:type="dxa" w:w="1521"/>
          </w:tcPr>
          <w:p>
            <w:pPr>
              <w:jc w:val="center"/>
            </w:pPr>
            <w:r>
              <w:rPr>
                <w:sz w:val="20"/>
              </w:rPr>
              <w:t>Stop</w:t>
            </w:r>
          </w:p>
        </w:tc>
        <w:tc>
          <w:tcPr>
            <w:tcW w:type="dxa" w:w="1521"/>
          </w:tcPr>
          <w:p>
            <w:pPr>
              <w:jc w:val="center"/>
            </w:pPr>
            <w:r>
              <w:rPr>
                <w:sz w:val="20"/>
              </w:rPr>
              <w:t>Alveolar</w:t>
            </w:r>
          </w:p>
        </w:tc>
        <w:tc>
          <w:tcPr>
            <w:tcW w:type="dxa" w:w="1521"/>
          </w:tcPr>
          <w:p>
            <w:pPr>
              <w:jc w:val="center"/>
            </w:pPr>
            <w:r>
              <w:rPr>
                <w:sz w:val="20"/>
              </w:rPr>
              <w:t>Voiced</w:t>
            </w:r>
          </w:p>
        </w:tc>
        <w:tc>
          <w:tcPr>
            <w:tcW w:type="dxa" w:w="1521"/>
          </w:tcPr>
          <w:p>
            <w:pPr>
              <w:jc w:val="center"/>
            </w:pPr>
            <w:r>
              <w:rPr>
                <w:sz w:val="20"/>
              </w:rPr>
              <w:t>dağ (mountain)</w:t>
            </w:r>
          </w:p>
        </w:tc>
      </w:tr>
      <w:tr>
        <w:tc>
          <w:tcPr>
            <w:tcW w:type="dxa" w:w="1521"/>
          </w:tcPr>
          <w:p>
            <w:pPr>
              <w:jc w:val="center"/>
            </w:pPr>
            <w:r>
              <w:rPr>
                <w:sz w:val="20"/>
              </w:rPr>
              <w:t>f</w:t>
            </w:r>
          </w:p>
        </w:tc>
        <w:tc>
          <w:tcPr>
            <w:tcW w:type="dxa" w:w="1521"/>
          </w:tcPr>
          <w:p>
            <w:pPr>
              <w:jc w:val="center"/>
            </w:pPr>
            <w:r>
              <w:rPr>
                <w:sz w:val="20"/>
              </w:rPr>
              <w:t>/f/</w:t>
            </w:r>
          </w:p>
        </w:tc>
        <w:tc>
          <w:tcPr>
            <w:tcW w:type="dxa" w:w="1521"/>
          </w:tcPr>
          <w:p>
            <w:pPr>
              <w:jc w:val="center"/>
            </w:pPr>
            <w:r>
              <w:rPr>
                <w:sz w:val="20"/>
              </w:rPr>
              <w:t>Fricative</w:t>
            </w:r>
          </w:p>
        </w:tc>
        <w:tc>
          <w:tcPr>
            <w:tcW w:type="dxa" w:w="1521"/>
          </w:tcPr>
          <w:p>
            <w:pPr>
              <w:jc w:val="center"/>
            </w:pPr>
            <w:r>
              <w:rPr>
                <w:sz w:val="20"/>
              </w:rPr>
              <w:t>Labiodental</w:t>
            </w:r>
          </w:p>
        </w:tc>
        <w:tc>
          <w:tcPr>
            <w:tcW w:type="dxa" w:w="1521"/>
          </w:tcPr>
          <w:p>
            <w:pPr>
              <w:jc w:val="center"/>
            </w:pPr>
            <w:r>
              <w:rPr>
                <w:sz w:val="20"/>
              </w:rPr>
              <w:t>Voiceless</w:t>
            </w:r>
          </w:p>
        </w:tc>
        <w:tc>
          <w:tcPr>
            <w:tcW w:type="dxa" w:w="1521"/>
          </w:tcPr>
          <w:p>
            <w:pPr>
              <w:jc w:val="center"/>
            </w:pPr>
            <w:r>
              <w:rPr>
                <w:sz w:val="20"/>
              </w:rPr>
              <w:t>fil (elephant)</w:t>
            </w:r>
          </w:p>
        </w:tc>
      </w:tr>
      <w:tr>
        <w:tc>
          <w:tcPr>
            <w:tcW w:type="dxa" w:w="1521"/>
          </w:tcPr>
          <w:p>
            <w:pPr>
              <w:jc w:val="center"/>
            </w:pPr>
            <w:r>
              <w:rPr>
                <w:sz w:val="20"/>
              </w:rPr>
              <w:t>g</w:t>
            </w:r>
          </w:p>
        </w:tc>
        <w:tc>
          <w:tcPr>
            <w:tcW w:type="dxa" w:w="1521"/>
          </w:tcPr>
          <w:p>
            <w:pPr>
              <w:jc w:val="center"/>
            </w:pPr>
            <w:r>
              <w:rPr>
                <w:sz w:val="20"/>
              </w:rPr>
              <w:t>/ɡ/ ~/c/</w:t>
            </w:r>
          </w:p>
        </w:tc>
        <w:tc>
          <w:tcPr>
            <w:tcW w:type="dxa" w:w="1521"/>
          </w:tcPr>
          <w:p>
            <w:pPr>
              <w:jc w:val="center"/>
            </w:pPr>
            <w:r>
              <w:rPr>
                <w:sz w:val="20"/>
              </w:rPr>
              <w:t>Stop</w:t>
            </w:r>
          </w:p>
        </w:tc>
        <w:tc>
          <w:tcPr>
            <w:tcW w:type="dxa" w:w="1521"/>
          </w:tcPr>
          <w:p>
            <w:pPr>
              <w:jc w:val="center"/>
            </w:pPr>
            <w:r>
              <w:rPr>
                <w:sz w:val="20"/>
              </w:rPr>
              <w:t>Velar/Palatal</w:t>
            </w:r>
          </w:p>
        </w:tc>
        <w:tc>
          <w:tcPr>
            <w:tcW w:type="dxa" w:w="1521"/>
          </w:tcPr>
          <w:p>
            <w:pPr>
              <w:jc w:val="center"/>
            </w:pPr>
            <w:r>
              <w:rPr>
                <w:sz w:val="20"/>
              </w:rPr>
              <w:t>Voiced</w:t>
            </w:r>
          </w:p>
        </w:tc>
        <w:tc>
          <w:tcPr>
            <w:tcW w:type="dxa" w:w="1521"/>
          </w:tcPr>
          <w:p>
            <w:pPr>
              <w:jc w:val="center"/>
            </w:pPr>
            <w:r>
              <w:rPr>
                <w:sz w:val="20"/>
              </w:rPr>
              <w:t>gül (rose)</w:t>
            </w:r>
          </w:p>
        </w:tc>
      </w:tr>
      <w:tr>
        <w:tc>
          <w:tcPr>
            <w:tcW w:type="dxa" w:w="1521"/>
          </w:tcPr>
          <w:p>
            <w:pPr>
              <w:jc w:val="center"/>
            </w:pPr>
            <w:r>
              <w:rPr>
                <w:sz w:val="20"/>
              </w:rPr>
              <w:t>ğ</w:t>
            </w:r>
          </w:p>
        </w:tc>
        <w:tc>
          <w:tcPr>
            <w:tcW w:type="dxa" w:w="1521"/>
          </w:tcPr>
          <w:p>
            <w:pPr>
              <w:jc w:val="center"/>
            </w:pPr>
            <w:r>
              <w:rPr>
                <w:sz w:val="20"/>
              </w:rPr>
              <w:t>/ɣ/ ~/ː/</w:t>
            </w:r>
          </w:p>
        </w:tc>
        <w:tc>
          <w:tcPr>
            <w:tcW w:type="dxa" w:w="1521"/>
          </w:tcPr>
          <w:p>
            <w:pPr>
              <w:jc w:val="center"/>
            </w:pPr>
            <w:r>
              <w:rPr>
                <w:sz w:val="20"/>
              </w:rPr>
              <w:t>Fricative</w:t>
            </w:r>
          </w:p>
        </w:tc>
        <w:tc>
          <w:tcPr>
            <w:tcW w:type="dxa" w:w="1521"/>
          </w:tcPr>
          <w:p>
            <w:pPr>
              <w:jc w:val="center"/>
            </w:pPr>
            <w:r>
              <w:rPr>
                <w:sz w:val="20"/>
              </w:rPr>
              <w:t>Velar</w:t>
            </w:r>
          </w:p>
        </w:tc>
        <w:tc>
          <w:tcPr>
            <w:tcW w:type="dxa" w:w="1521"/>
          </w:tcPr>
          <w:p>
            <w:pPr>
              <w:jc w:val="center"/>
            </w:pPr>
            <w:r>
              <w:rPr>
                <w:sz w:val="20"/>
              </w:rPr>
              <w:t>Voiced</w:t>
            </w:r>
          </w:p>
        </w:tc>
        <w:tc>
          <w:tcPr>
            <w:tcW w:type="dxa" w:w="1521"/>
          </w:tcPr>
          <w:p>
            <w:pPr>
              <w:jc w:val="center"/>
            </w:pPr>
            <w:r>
              <w:rPr>
                <w:sz w:val="20"/>
              </w:rPr>
              <w:t>dağ (mountain)</w:t>
            </w:r>
          </w:p>
        </w:tc>
      </w:tr>
      <w:tr>
        <w:tc>
          <w:tcPr>
            <w:tcW w:type="dxa" w:w="1521"/>
          </w:tcPr>
          <w:p>
            <w:pPr>
              <w:jc w:val="center"/>
            </w:pPr>
            <w:r>
              <w:rPr>
                <w:sz w:val="20"/>
              </w:rPr>
              <w:t>h</w:t>
            </w:r>
          </w:p>
        </w:tc>
        <w:tc>
          <w:tcPr>
            <w:tcW w:type="dxa" w:w="1521"/>
          </w:tcPr>
          <w:p>
            <w:pPr>
              <w:jc w:val="center"/>
            </w:pPr>
            <w:r>
              <w:rPr>
                <w:sz w:val="20"/>
              </w:rPr>
              <w:t>/h/</w:t>
            </w:r>
          </w:p>
        </w:tc>
        <w:tc>
          <w:tcPr>
            <w:tcW w:type="dxa" w:w="1521"/>
          </w:tcPr>
          <w:p>
            <w:pPr>
              <w:jc w:val="center"/>
            </w:pPr>
            <w:r>
              <w:rPr>
                <w:sz w:val="20"/>
              </w:rPr>
              <w:t>Fricative</w:t>
            </w:r>
          </w:p>
        </w:tc>
        <w:tc>
          <w:tcPr>
            <w:tcW w:type="dxa" w:w="1521"/>
          </w:tcPr>
          <w:p>
            <w:pPr>
              <w:jc w:val="center"/>
            </w:pPr>
            <w:r>
              <w:rPr>
                <w:sz w:val="20"/>
              </w:rPr>
              <w:t>Glottal</w:t>
            </w:r>
          </w:p>
        </w:tc>
        <w:tc>
          <w:tcPr>
            <w:tcW w:type="dxa" w:w="1521"/>
          </w:tcPr>
          <w:p>
            <w:pPr>
              <w:jc w:val="center"/>
            </w:pPr>
            <w:r>
              <w:rPr>
                <w:sz w:val="20"/>
              </w:rPr>
              <w:t>Voiceless</w:t>
            </w:r>
          </w:p>
        </w:tc>
        <w:tc>
          <w:tcPr>
            <w:tcW w:type="dxa" w:w="1521"/>
          </w:tcPr>
          <w:p>
            <w:pPr>
              <w:jc w:val="center"/>
            </w:pPr>
            <w:r>
              <w:rPr>
                <w:sz w:val="20"/>
              </w:rPr>
              <w:t>hava (air)</w:t>
            </w:r>
          </w:p>
        </w:tc>
      </w:tr>
      <w:tr>
        <w:tc>
          <w:tcPr>
            <w:tcW w:type="dxa" w:w="1521"/>
          </w:tcPr>
          <w:p>
            <w:pPr>
              <w:jc w:val="center"/>
            </w:pPr>
            <w:r>
              <w:rPr>
                <w:sz w:val="20"/>
              </w:rPr>
              <w:t>x</w:t>
            </w:r>
          </w:p>
        </w:tc>
        <w:tc>
          <w:tcPr>
            <w:tcW w:type="dxa" w:w="1521"/>
          </w:tcPr>
          <w:p>
            <w:pPr>
              <w:jc w:val="center"/>
            </w:pPr>
            <w:r>
              <w:rPr>
                <w:sz w:val="20"/>
              </w:rPr>
              <w:t>/x/</w:t>
            </w:r>
          </w:p>
        </w:tc>
        <w:tc>
          <w:tcPr>
            <w:tcW w:type="dxa" w:w="1521"/>
          </w:tcPr>
          <w:p>
            <w:pPr>
              <w:jc w:val="center"/>
            </w:pPr>
            <w:r>
              <w:rPr>
                <w:sz w:val="20"/>
              </w:rPr>
              <w:t>Fricative</w:t>
            </w:r>
          </w:p>
        </w:tc>
        <w:tc>
          <w:tcPr>
            <w:tcW w:type="dxa" w:w="1521"/>
          </w:tcPr>
          <w:p>
            <w:pPr>
              <w:jc w:val="center"/>
            </w:pPr>
            <w:r>
              <w:rPr>
                <w:sz w:val="20"/>
              </w:rPr>
              <w:t>Velar</w:t>
            </w:r>
          </w:p>
        </w:tc>
        <w:tc>
          <w:tcPr>
            <w:tcW w:type="dxa" w:w="1521"/>
          </w:tcPr>
          <w:p>
            <w:pPr>
              <w:jc w:val="center"/>
            </w:pPr>
            <w:r>
              <w:rPr>
                <w:sz w:val="20"/>
              </w:rPr>
              <w:t>Voiceless</w:t>
            </w:r>
          </w:p>
        </w:tc>
        <w:tc>
          <w:tcPr>
            <w:tcW w:type="dxa" w:w="1521"/>
          </w:tcPr>
          <w:p>
            <w:pPr>
              <w:jc w:val="center"/>
            </w:pPr>
            <w:r>
              <w:rPr>
                <w:sz w:val="20"/>
              </w:rPr>
              <w:t>xəbər (news)</w:t>
            </w:r>
          </w:p>
        </w:tc>
      </w:tr>
      <w:tr>
        <w:tc>
          <w:tcPr>
            <w:tcW w:type="dxa" w:w="1521"/>
          </w:tcPr>
          <w:p>
            <w:pPr>
              <w:jc w:val="center"/>
            </w:pPr>
            <w:r>
              <w:rPr>
                <w:sz w:val="20"/>
              </w:rPr>
              <w:t>j</w:t>
            </w:r>
          </w:p>
        </w:tc>
        <w:tc>
          <w:tcPr>
            <w:tcW w:type="dxa" w:w="1521"/>
          </w:tcPr>
          <w:p>
            <w:pPr>
              <w:jc w:val="center"/>
            </w:pPr>
            <w:r>
              <w:rPr>
                <w:sz w:val="20"/>
              </w:rPr>
              <w:t>/ʒ/</w:t>
            </w:r>
          </w:p>
        </w:tc>
        <w:tc>
          <w:tcPr>
            <w:tcW w:type="dxa" w:w="1521"/>
          </w:tcPr>
          <w:p>
            <w:pPr>
              <w:jc w:val="center"/>
            </w:pPr>
            <w:r>
              <w:rPr>
                <w:sz w:val="20"/>
              </w:rPr>
              <w:t>Fricative</w:t>
            </w:r>
          </w:p>
        </w:tc>
        <w:tc>
          <w:tcPr>
            <w:tcW w:type="dxa" w:w="1521"/>
          </w:tcPr>
          <w:p>
            <w:pPr>
              <w:jc w:val="center"/>
            </w:pPr>
            <w:r>
              <w:rPr>
                <w:sz w:val="20"/>
              </w:rPr>
              <w:t>Post-alveolar</w:t>
            </w:r>
          </w:p>
        </w:tc>
        <w:tc>
          <w:tcPr>
            <w:tcW w:type="dxa" w:w="1521"/>
          </w:tcPr>
          <w:p>
            <w:pPr>
              <w:jc w:val="center"/>
            </w:pPr>
            <w:r>
              <w:rPr>
                <w:sz w:val="20"/>
              </w:rPr>
              <w:t>Voiced</w:t>
            </w:r>
          </w:p>
        </w:tc>
        <w:tc>
          <w:tcPr>
            <w:tcW w:type="dxa" w:w="1521"/>
          </w:tcPr>
          <w:p>
            <w:pPr>
              <w:jc w:val="center"/>
            </w:pPr>
            <w:r>
              <w:rPr>
                <w:sz w:val="20"/>
              </w:rPr>
              <w:t>jurnal (journal)</w:t>
            </w:r>
          </w:p>
        </w:tc>
      </w:tr>
      <w:tr>
        <w:tc>
          <w:tcPr>
            <w:tcW w:type="dxa" w:w="1521"/>
          </w:tcPr>
          <w:p>
            <w:pPr>
              <w:jc w:val="center"/>
            </w:pPr>
            <w:r>
              <w:rPr>
                <w:sz w:val="20"/>
              </w:rPr>
              <w:t>k</w:t>
            </w:r>
          </w:p>
        </w:tc>
        <w:tc>
          <w:tcPr>
            <w:tcW w:type="dxa" w:w="1521"/>
          </w:tcPr>
          <w:p>
            <w:pPr>
              <w:jc w:val="center"/>
            </w:pPr>
            <w:r>
              <w:rPr>
                <w:sz w:val="20"/>
              </w:rPr>
              <w:t>/k/ ~/c/</w:t>
            </w:r>
          </w:p>
        </w:tc>
        <w:tc>
          <w:tcPr>
            <w:tcW w:type="dxa" w:w="1521"/>
          </w:tcPr>
          <w:p>
            <w:pPr>
              <w:jc w:val="center"/>
            </w:pPr>
            <w:r>
              <w:rPr>
                <w:sz w:val="20"/>
              </w:rPr>
              <w:t>Stop</w:t>
            </w:r>
          </w:p>
        </w:tc>
        <w:tc>
          <w:tcPr>
            <w:tcW w:type="dxa" w:w="1521"/>
          </w:tcPr>
          <w:p>
            <w:pPr>
              <w:jc w:val="center"/>
            </w:pPr>
            <w:r>
              <w:rPr>
                <w:sz w:val="20"/>
              </w:rPr>
              <w:t>Velar/Palatal</w:t>
            </w:r>
          </w:p>
        </w:tc>
        <w:tc>
          <w:tcPr>
            <w:tcW w:type="dxa" w:w="1521"/>
          </w:tcPr>
          <w:p>
            <w:pPr>
              <w:jc w:val="center"/>
            </w:pPr>
            <w:r>
              <w:rPr>
                <w:sz w:val="20"/>
              </w:rPr>
              <w:t>Voiceless</w:t>
            </w:r>
          </w:p>
        </w:tc>
        <w:tc>
          <w:tcPr>
            <w:tcW w:type="dxa" w:w="1521"/>
          </w:tcPr>
          <w:p>
            <w:pPr>
              <w:jc w:val="center"/>
            </w:pPr>
            <w:r>
              <w:rPr>
                <w:sz w:val="20"/>
              </w:rPr>
              <w:t>kitab (book)</w:t>
            </w:r>
          </w:p>
        </w:tc>
      </w:tr>
      <w:tr>
        <w:tc>
          <w:tcPr>
            <w:tcW w:type="dxa" w:w="1521"/>
          </w:tcPr>
          <w:p>
            <w:pPr>
              <w:jc w:val="center"/>
            </w:pPr>
            <w:r>
              <w:rPr>
                <w:sz w:val="20"/>
              </w:rPr>
              <w:t>q</w:t>
            </w:r>
          </w:p>
        </w:tc>
        <w:tc>
          <w:tcPr>
            <w:tcW w:type="dxa" w:w="1521"/>
          </w:tcPr>
          <w:p>
            <w:pPr>
              <w:jc w:val="center"/>
            </w:pPr>
            <w:r>
              <w:rPr>
                <w:sz w:val="20"/>
              </w:rPr>
              <w:t>/ɢ/</w:t>
            </w:r>
          </w:p>
        </w:tc>
        <w:tc>
          <w:tcPr>
            <w:tcW w:type="dxa" w:w="1521"/>
          </w:tcPr>
          <w:p>
            <w:pPr>
              <w:jc w:val="center"/>
            </w:pPr>
            <w:r>
              <w:rPr>
                <w:sz w:val="20"/>
              </w:rPr>
              <w:t>Stop</w:t>
            </w:r>
          </w:p>
        </w:tc>
        <w:tc>
          <w:tcPr>
            <w:tcW w:type="dxa" w:w="1521"/>
          </w:tcPr>
          <w:p>
            <w:pPr>
              <w:jc w:val="center"/>
            </w:pPr>
            <w:r>
              <w:rPr>
                <w:sz w:val="20"/>
              </w:rPr>
              <w:t>Uvular</w:t>
            </w:r>
          </w:p>
        </w:tc>
        <w:tc>
          <w:tcPr>
            <w:tcW w:type="dxa" w:w="1521"/>
          </w:tcPr>
          <w:p>
            <w:pPr>
              <w:jc w:val="center"/>
            </w:pPr>
            <w:r>
              <w:rPr>
                <w:sz w:val="20"/>
              </w:rPr>
              <w:t>Voiced</w:t>
            </w:r>
          </w:p>
        </w:tc>
        <w:tc>
          <w:tcPr>
            <w:tcW w:type="dxa" w:w="1521"/>
          </w:tcPr>
          <w:p>
            <w:pPr>
              <w:jc w:val="center"/>
            </w:pPr>
            <w:r>
              <w:rPr>
                <w:sz w:val="20"/>
              </w:rPr>
              <w:t>qız (girl)</w:t>
            </w:r>
          </w:p>
        </w:tc>
      </w:tr>
      <w:tr>
        <w:tc>
          <w:tcPr>
            <w:tcW w:type="dxa" w:w="1521"/>
          </w:tcPr>
          <w:p>
            <w:pPr>
              <w:jc w:val="center"/>
            </w:pPr>
            <w:r>
              <w:rPr>
                <w:sz w:val="20"/>
              </w:rPr>
              <w:t>l</w:t>
            </w:r>
          </w:p>
        </w:tc>
        <w:tc>
          <w:tcPr>
            <w:tcW w:type="dxa" w:w="1521"/>
          </w:tcPr>
          <w:p>
            <w:pPr>
              <w:jc w:val="center"/>
            </w:pPr>
            <w:r>
              <w:rPr>
                <w:sz w:val="20"/>
              </w:rPr>
              <w:t>/l/</w:t>
            </w:r>
          </w:p>
        </w:tc>
        <w:tc>
          <w:tcPr>
            <w:tcW w:type="dxa" w:w="1521"/>
          </w:tcPr>
          <w:p>
            <w:pPr>
              <w:jc w:val="center"/>
            </w:pPr>
            <w:r>
              <w:rPr>
                <w:sz w:val="20"/>
              </w:rPr>
              <w:t>Lateral</w:t>
            </w:r>
          </w:p>
        </w:tc>
        <w:tc>
          <w:tcPr>
            <w:tcW w:type="dxa" w:w="1521"/>
          </w:tcPr>
          <w:p>
            <w:pPr>
              <w:jc w:val="center"/>
            </w:pPr>
            <w:r>
              <w:rPr>
                <w:sz w:val="20"/>
              </w:rPr>
              <w:t>Alveolar</w:t>
            </w:r>
          </w:p>
        </w:tc>
        <w:tc>
          <w:tcPr>
            <w:tcW w:type="dxa" w:w="1521"/>
          </w:tcPr>
          <w:p>
            <w:pPr>
              <w:jc w:val="center"/>
            </w:pPr>
            <w:r>
              <w:rPr>
                <w:sz w:val="20"/>
              </w:rPr>
              <w:t>Voiced</w:t>
            </w:r>
          </w:p>
        </w:tc>
        <w:tc>
          <w:tcPr>
            <w:tcW w:type="dxa" w:w="1521"/>
          </w:tcPr>
          <w:p>
            <w:pPr>
              <w:jc w:val="center"/>
            </w:pPr>
            <w:r>
              <w:rPr>
                <w:sz w:val="20"/>
              </w:rPr>
              <w:t>liman (port)</w:t>
            </w:r>
          </w:p>
        </w:tc>
      </w:tr>
      <w:tr>
        <w:tc>
          <w:tcPr>
            <w:tcW w:type="dxa" w:w="1521"/>
          </w:tcPr>
          <w:p>
            <w:pPr>
              <w:jc w:val="center"/>
            </w:pPr>
            <w:r>
              <w:rPr>
                <w:sz w:val="20"/>
              </w:rPr>
              <w:t>m</w:t>
            </w:r>
          </w:p>
        </w:tc>
        <w:tc>
          <w:tcPr>
            <w:tcW w:type="dxa" w:w="1521"/>
          </w:tcPr>
          <w:p>
            <w:pPr>
              <w:jc w:val="center"/>
            </w:pPr>
            <w:r>
              <w:rPr>
                <w:sz w:val="20"/>
              </w:rPr>
              <w:t>/m/</w:t>
            </w:r>
          </w:p>
        </w:tc>
        <w:tc>
          <w:tcPr>
            <w:tcW w:type="dxa" w:w="1521"/>
          </w:tcPr>
          <w:p>
            <w:pPr>
              <w:jc w:val="center"/>
            </w:pPr>
            <w:r>
              <w:rPr>
                <w:sz w:val="20"/>
              </w:rPr>
              <w:t>Nasal</w:t>
            </w:r>
          </w:p>
        </w:tc>
        <w:tc>
          <w:tcPr>
            <w:tcW w:type="dxa" w:w="1521"/>
          </w:tcPr>
          <w:p>
            <w:pPr>
              <w:jc w:val="center"/>
            </w:pPr>
            <w:r>
              <w:rPr>
                <w:sz w:val="20"/>
              </w:rPr>
              <w:t>Bilabial</w:t>
            </w:r>
          </w:p>
        </w:tc>
        <w:tc>
          <w:tcPr>
            <w:tcW w:type="dxa" w:w="1521"/>
          </w:tcPr>
          <w:p>
            <w:pPr>
              <w:jc w:val="center"/>
            </w:pPr>
            <w:r>
              <w:rPr>
                <w:sz w:val="20"/>
              </w:rPr>
              <w:t>Voiced</w:t>
            </w:r>
          </w:p>
        </w:tc>
        <w:tc>
          <w:tcPr>
            <w:tcW w:type="dxa" w:w="1521"/>
          </w:tcPr>
          <w:p>
            <w:pPr>
              <w:jc w:val="center"/>
            </w:pPr>
            <w:r>
              <w:rPr>
                <w:sz w:val="20"/>
              </w:rPr>
              <w:t>meşə (forest)</w:t>
            </w:r>
          </w:p>
        </w:tc>
      </w:tr>
      <w:tr>
        <w:tc>
          <w:tcPr>
            <w:tcW w:type="dxa" w:w="1521"/>
          </w:tcPr>
          <w:p>
            <w:pPr>
              <w:jc w:val="center"/>
            </w:pPr>
            <w:r>
              <w:rPr>
                <w:sz w:val="20"/>
              </w:rPr>
              <w:t>n</w:t>
            </w:r>
          </w:p>
        </w:tc>
        <w:tc>
          <w:tcPr>
            <w:tcW w:type="dxa" w:w="1521"/>
          </w:tcPr>
          <w:p>
            <w:pPr>
              <w:jc w:val="center"/>
            </w:pPr>
            <w:r>
              <w:rPr>
                <w:sz w:val="20"/>
              </w:rPr>
              <w:t>/n/ ~/ŋ/</w:t>
            </w:r>
          </w:p>
        </w:tc>
        <w:tc>
          <w:tcPr>
            <w:tcW w:type="dxa" w:w="1521"/>
          </w:tcPr>
          <w:p>
            <w:pPr>
              <w:jc w:val="center"/>
            </w:pPr>
            <w:r>
              <w:rPr>
                <w:sz w:val="20"/>
              </w:rPr>
              <w:t>Nasal</w:t>
            </w:r>
          </w:p>
        </w:tc>
        <w:tc>
          <w:tcPr>
            <w:tcW w:type="dxa" w:w="1521"/>
          </w:tcPr>
          <w:p>
            <w:pPr>
              <w:jc w:val="center"/>
            </w:pPr>
            <w:r>
              <w:rPr>
                <w:sz w:val="20"/>
              </w:rPr>
              <w:t>Alveolar/Velar</w:t>
            </w:r>
          </w:p>
        </w:tc>
        <w:tc>
          <w:tcPr>
            <w:tcW w:type="dxa" w:w="1521"/>
          </w:tcPr>
          <w:p>
            <w:pPr>
              <w:jc w:val="center"/>
            </w:pPr>
            <w:r>
              <w:rPr>
                <w:sz w:val="20"/>
              </w:rPr>
              <w:t>Voiced</w:t>
            </w:r>
          </w:p>
        </w:tc>
        <w:tc>
          <w:tcPr>
            <w:tcW w:type="dxa" w:w="1521"/>
          </w:tcPr>
          <w:p>
            <w:pPr>
              <w:jc w:val="center"/>
            </w:pPr>
            <w:r>
              <w:rPr>
                <w:sz w:val="20"/>
              </w:rPr>
              <w:t>nə (what)</w:t>
            </w:r>
          </w:p>
        </w:tc>
      </w:tr>
      <w:tr>
        <w:tc>
          <w:tcPr>
            <w:tcW w:type="dxa" w:w="1521"/>
          </w:tcPr>
          <w:p>
            <w:pPr>
              <w:jc w:val="center"/>
            </w:pPr>
            <w:r>
              <w:rPr>
                <w:sz w:val="20"/>
              </w:rPr>
              <w:t>p</w:t>
            </w:r>
          </w:p>
        </w:tc>
        <w:tc>
          <w:tcPr>
            <w:tcW w:type="dxa" w:w="1521"/>
          </w:tcPr>
          <w:p>
            <w:pPr>
              <w:jc w:val="center"/>
            </w:pPr>
            <w:r>
              <w:rPr>
                <w:sz w:val="20"/>
              </w:rPr>
              <w:t>/p/</w:t>
            </w:r>
          </w:p>
        </w:tc>
        <w:tc>
          <w:tcPr>
            <w:tcW w:type="dxa" w:w="1521"/>
          </w:tcPr>
          <w:p>
            <w:pPr>
              <w:jc w:val="center"/>
            </w:pPr>
            <w:r>
              <w:rPr>
                <w:sz w:val="20"/>
              </w:rPr>
              <w:t>Stop</w:t>
            </w:r>
          </w:p>
        </w:tc>
        <w:tc>
          <w:tcPr>
            <w:tcW w:type="dxa" w:w="1521"/>
          </w:tcPr>
          <w:p>
            <w:pPr>
              <w:jc w:val="center"/>
            </w:pPr>
            <w:r>
              <w:rPr>
                <w:sz w:val="20"/>
              </w:rPr>
              <w:t>Bilabial</w:t>
            </w:r>
          </w:p>
        </w:tc>
        <w:tc>
          <w:tcPr>
            <w:tcW w:type="dxa" w:w="1521"/>
          </w:tcPr>
          <w:p>
            <w:pPr>
              <w:jc w:val="center"/>
            </w:pPr>
            <w:r>
              <w:rPr>
                <w:sz w:val="20"/>
              </w:rPr>
              <w:t>Voiceless</w:t>
            </w:r>
          </w:p>
        </w:tc>
        <w:tc>
          <w:tcPr>
            <w:tcW w:type="dxa" w:w="1521"/>
          </w:tcPr>
          <w:p>
            <w:pPr>
              <w:jc w:val="center"/>
            </w:pPr>
            <w:r>
              <w:rPr>
                <w:sz w:val="20"/>
              </w:rPr>
              <w:t>paltar (clothes)</w:t>
            </w:r>
          </w:p>
        </w:tc>
      </w:tr>
      <w:tr>
        <w:tc>
          <w:tcPr>
            <w:tcW w:type="dxa" w:w="1521"/>
          </w:tcPr>
          <w:p>
            <w:pPr>
              <w:jc w:val="center"/>
            </w:pPr>
            <w:r>
              <w:rPr>
                <w:sz w:val="20"/>
              </w:rPr>
              <w:t>r</w:t>
            </w:r>
          </w:p>
        </w:tc>
        <w:tc>
          <w:tcPr>
            <w:tcW w:type="dxa" w:w="1521"/>
          </w:tcPr>
          <w:p>
            <w:pPr>
              <w:jc w:val="center"/>
            </w:pPr>
            <w:r>
              <w:rPr>
                <w:sz w:val="20"/>
              </w:rPr>
              <w:t>/r/</w:t>
            </w:r>
          </w:p>
        </w:tc>
        <w:tc>
          <w:tcPr>
            <w:tcW w:type="dxa" w:w="1521"/>
          </w:tcPr>
          <w:p>
            <w:pPr>
              <w:jc w:val="center"/>
            </w:pPr>
            <w:r>
              <w:rPr>
                <w:sz w:val="20"/>
              </w:rPr>
              <w:t>Trill</w:t>
            </w:r>
          </w:p>
        </w:tc>
        <w:tc>
          <w:tcPr>
            <w:tcW w:type="dxa" w:w="1521"/>
          </w:tcPr>
          <w:p>
            <w:pPr>
              <w:jc w:val="center"/>
            </w:pPr>
            <w:r>
              <w:rPr>
                <w:sz w:val="20"/>
              </w:rPr>
              <w:t>Alveolar</w:t>
            </w:r>
          </w:p>
        </w:tc>
        <w:tc>
          <w:tcPr>
            <w:tcW w:type="dxa" w:w="1521"/>
          </w:tcPr>
          <w:p>
            <w:pPr>
              <w:jc w:val="center"/>
            </w:pPr>
            <w:r>
              <w:rPr>
                <w:sz w:val="20"/>
              </w:rPr>
              <w:t>Voiced</w:t>
            </w:r>
          </w:p>
        </w:tc>
        <w:tc>
          <w:tcPr>
            <w:tcW w:type="dxa" w:w="1521"/>
          </w:tcPr>
          <w:p>
            <w:pPr>
              <w:jc w:val="center"/>
            </w:pPr>
            <w:r>
              <w:rPr>
                <w:sz w:val="20"/>
              </w:rPr>
              <w:t>rəng (color)</w:t>
            </w:r>
          </w:p>
        </w:tc>
      </w:tr>
      <w:tr>
        <w:tc>
          <w:tcPr>
            <w:tcW w:type="dxa" w:w="1521"/>
          </w:tcPr>
          <w:p>
            <w:pPr>
              <w:jc w:val="center"/>
            </w:pPr>
            <w:r>
              <w:rPr>
                <w:sz w:val="20"/>
              </w:rPr>
              <w:t>s</w:t>
            </w:r>
          </w:p>
        </w:tc>
        <w:tc>
          <w:tcPr>
            <w:tcW w:type="dxa" w:w="1521"/>
          </w:tcPr>
          <w:p>
            <w:pPr>
              <w:jc w:val="center"/>
            </w:pPr>
            <w:r>
              <w:rPr>
                <w:sz w:val="20"/>
              </w:rPr>
              <w:t>/s/</w:t>
            </w:r>
          </w:p>
        </w:tc>
        <w:tc>
          <w:tcPr>
            <w:tcW w:type="dxa" w:w="1521"/>
          </w:tcPr>
          <w:p>
            <w:pPr>
              <w:jc w:val="center"/>
            </w:pPr>
            <w:r>
              <w:rPr>
                <w:sz w:val="20"/>
              </w:rPr>
              <w:t>Fricative</w:t>
            </w:r>
          </w:p>
        </w:tc>
        <w:tc>
          <w:tcPr>
            <w:tcW w:type="dxa" w:w="1521"/>
          </w:tcPr>
          <w:p>
            <w:pPr>
              <w:jc w:val="center"/>
            </w:pPr>
            <w:r>
              <w:rPr>
                <w:sz w:val="20"/>
              </w:rPr>
              <w:t>Alveolar</w:t>
            </w:r>
          </w:p>
        </w:tc>
        <w:tc>
          <w:tcPr>
            <w:tcW w:type="dxa" w:w="1521"/>
          </w:tcPr>
          <w:p>
            <w:pPr>
              <w:jc w:val="center"/>
            </w:pPr>
            <w:r>
              <w:rPr>
                <w:sz w:val="20"/>
              </w:rPr>
              <w:t>Voiceless</w:t>
            </w:r>
          </w:p>
        </w:tc>
        <w:tc>
          <w:tcPr>
            <w:tcW w:type="dxa" w:w="1521"/>
          </w:tcPr>
          <w:p>
            <w:pPr>
              <w:jc w:val="center"/>
            </w:pPr>
            <w:r>
              <w:rPr>
                <w:sz w:val="20"/>
              </w:rPr>
              <w:t>su (water)</w:t>
            </w:r>
          </w:p>
        </w:tc>
      </w:tr>
      <w:tr>
        <w:tc>
          <w:tcPr>
            <w:tcW w:type="dxa" w:w="1521"/>
          </w:tcPr>
          <w:p>
            <w:pPr>
              <w:jc w:val="center"/>
            </w:pPr>
            <w:r>
              <w:rPr>
                <w:sz w:val="20"/>
              </w:rPr>
              <w:t>ş</w:t>
            </w:r>
          </w:p>
        </w:tc>
        <w:tc>
          <w:tcPr>
            <w:tcW w:type="dxa" w:w="1521"/>
          </w:tcPr>
          <w:p>
            <w:pPr>
              <w:jc w:val="center"/>
            </w:pPr>
            <w:r>
              <w:rPr>
                <w:sz w:val="20"/>
              </w:rPr>
              <w:t>/ʃ/</w:t>
            </w:r>
          </w:p>
        </w:tc>
        <w:tc>
          <w:tcPr>
            <w:tcW w:type="dxa" w:w="1521"/>
          </w:tcPr>
          <w:p>
            <w:pPr>
              <w:jc w:val="center"/>
            </w:pPr>
            <w:r>
              <w:rPr>
                <w:sz w:val="20"/>
              </w:rPr>
              <w:t>Fricative</w:t>
            </w:r>
          </w:p>
        </w:tc>
        <w:tc>
          <w:tcPr>
            <w:tcW w:type="dxa" w:w="1521"/>
          </w:tcPr>
          <w:p>
            <w:pPr>
              <w:jc w:val="center"/>
            </w:pPr>
            <w:r>
              <w:rPr>
                <w:sz w:val="20"/>
              </w:rPr>
              <w:t>Post-alveolar</w:t>
            </w:r>
          </w:p>
        </w:tc>
        <w:tc>
          <w:tcPr>
            <w:tcW w:type="dxa" w:w="1521"/>
          </w:tcPr>
          <w:p>
            <w:pPr>
              <w:jc w:val="center"/>
            </w:pPr>
            <w:r>
              <w:rPr>
                <w:sz w:val="20"/>
              </w:rPr>
              <w:t>Voiceless</w:t>
            </w:r>
          </w:p>
        </w:tc>
        <w:tc>
          <w:tcPr>
            <w:tcW w:type="dxa" w:w="1521"/>
          </w:tcPr>
          <w:p>
            <w:pPr>
              <w:jc w:val="center"/>
            </w:pPr>
            <w:r>
              <w:rPr>
                <w:sz w:val="20"/>
              </w:rPr>
              <w:t>şəhər (city)</w:t>
            </w:r>
          </w:p>
        </w:tc>
      </w:tr>
      <w:tr>
        <w:tc>
          <w:tcPr>
            <w:tcW w:type="dxa" w:w="1521"/>
          </w:tcPr>
          <w:p>
            <w:pPr>
              <w:jc w:val="center"/>
            </w:pPr>
            <w:r>
              <w:rPr>
                <w:sz w:val="20"/>
              </w:rPr>
              <w:t>t</w:t>
            </w:r>
          </w:p>
        </w:tc>
        <w:tc>
          <w:tcPr>
            <w:tcW w:type="dxa" w:w="1521"/>
          </w:tcPr>
          <w:p>
            <w:pPr>
              <w:jc w:val="center"/>
            </w:pPr>
            <w:r>
              <w:rPr>
                <w:sz w:val="20"/>
              </w:rPr>
              <w:t>/t/</w:t>
            </w:r>
          </w:p>
        </w:tc>
        <w:tc>
          <w:tcPr>
            <w:tcW w:type="dxa" w:w="1521"/>
          </w:tcPr>
          <w:p>
            <w:pPr>
              <w:jc w:val="center"/>
            </w:pPr>
            <w:r>
              <w:rPr>
                <w:sz w:val="20"/>
              </w:rPr>
              <w:t>Stop</w:t>
            </w:r>
          </w:p>
        </w:tc>
        <w:tc>
          <w:tcPr>
            <w:tcW w:type="dxa" w:w="1521"/>
          </w:tcPr>
          <w:p>
            <w:pPr>
              <w:jc w:val="center"/>
            </w:pPr>
            <w:r>
              <w:rPr>
                <w:sz w:val="20"/>
              </w:rPr>
              <w:t>Alveolar</w:t>
            </w:r>
          </w:p>
        </w:tc>
        <w:tc>
          <w:tcPr>
            <w:tcW w:type="dxa" w:w="1521"/>
          </w:tcPr>
          <w:p>
            <w:pPr>
              <w:jc w:val="center"/>
            </w:pPr>
            <w:r>
              <w:rPr>
                <w:sz w:val="20"/>
              </w:rPr>
              <w:t>Voiceless</w:t>
            </w:r>
          </w:p>
        </w:tc>
        <w:tc>
          <w:tcPr>
            <w:tcW w:type="dxa" w:w="1521"/>
          </w:tcPr>
          <w:p>
            <w:pPr>
              <w:jc w:val="center"/>
            </w:pPr>
            <w:r>
              <w:rPr>
                <w:sz w:val="20"/>
              </w:rPr>
              <w:t>torpaq (soil)</w:t>
            </w:r>
          </w:p>
        </w:tc>
      </w:tr>
      <w:tr>
        <w:tc>
          <w:tcPr>
            <w:tcW w:type="dxa" w:w="1521"/>
          </w:tcPr>
          <w:p>
            <w:pPr>
              <w:jc w:val="center"/>
            </w:pPr>
            <w:r>
              <w:rPr>
                <w:sz w:val="20"/>
              </w:rPr>
              <w:t>v</w:t>
            </w:r>
          </w:p>
        </w:tc>
        <w:tc>
          <w:tcPr>
            <w:tcW w:type="dxa" w:w="1521"/>
          </w:tcPr>
          <w:p>
            <w:pPr>
              <w:jc w:val="center"/>
            </w:pPr>
            <w:r>
              <w:rPr>
                <w:sz w:val="20"/>
              </w:rPr>
              <w:t>/v/</w:t>
            </w:r>
          </w:p>
        </w:tc>
        <w:tc>
          <w:tcPr>
            <w:tcW w:type="dxa" w:w="1521"/>
          </w:tcPr>
          <w:p>
            <w:pPr>
              <w:jc w:val="center"/>
            </w:pPr>
            <w:r>
              <w:rPr>
                <w:sz w:val="20"/>
              </w:rPr>
              <w:t>Fricative</w:t>
            </w:r>
          </w:p>
        </w:tc>
        <w:tc>
          <w:tcPr>
            <w:tcW w:type="dxa" w:w="1521"/>
          </w:tcPr>
          <w:p>
            <w:pPr>
              <w:jc w:val="center"/>
            </w:pPr>
            <w:r>
              <w:rPr>
                <w:sz w:val="20"/>
              </w:rPr>
              <w:t>Labiodental</w:t>
            </w:r>
          </w:p>
        </w:tc>
        <w:tc>
          <w:tcPr>
            <w:tcW w:type="dxa" w:w="1521"/>
          </w:tcPr>
          <w:p>
            <w:pPr>
              <w:jc w:val="center"/>
            </w:pPr>
            <w:r>
              <w:rPr>
                <w:sz w:val="20"/>
              </w:rPr>
              <w:t>Voiced</w:t>
            </w:r>
          </w:p>
        </w:tc>
        <w:tc>
          <w:tcPr>
            <w:tcW w:type="dxa" w:w="1521"/>
          </w:tcPr>
          <w:p>
            <w:pPr>
              <w:jc w:val="center"/>
            </w:pPr>
            <w:r>
              <w:rPr>
                <w:sz w:val="20"/>
              </w:rPr>
              <w:t>vaxt (time)</w:t>
            </w:r>
          </w:p>
        </w:tc>
      </w:tr>
      <w:tr>
        <w:tc>
          <w:tcPr>
            <w:tcW w:type="dxa" w:w="1521"/>
          </w:tcPr>
          <w:p>
            <w:pPr>
              <w:jc w:val="center"/>
            </w:pPr>
            <w:r>
              <w:rPr>
                <w:sz w:val="20"/>
              </w:rPr>
              <w:t>y</w:t>
            </w:r>
          </w:p>
        </w:tc>
        <w:tc>
          <w:tcPr>
            <w:tcW w:type="dxa" w:w="1521"/>
          </w:tcPr>
          <w:p>
            <w:pPr>
              <w:jc w:val="center"/>
            </w:pPr>
            <w:r>
              <w:rPr>
                <w:sz w:val="20"/>
              </w:rPr>
              <w:t>/j/</w:t>
            </w:r>
          </w:p>
        </w:tc>
        <w:tc>
          <w:tcPr>
            <w:tcW w:type="dxa" w:w="1521"/>
          </w:tcPr>
          <w:p>
            <w:pPr>
              <w:jc w:val="center"/>
            </w:pPr>
            <w:r>
              <w:rPr>
                <w:sz w:val="20"/>
              </w:rPr>
              <w:t>Approximant</w:t>
            </w:r>
          </w:p>
        </w:tc>
        <w:tc>
          <w:tcPr>
            <w:tcW w:type="dxa" w:w="1521"/>
          </w:tcPr>
          <w:p>
            <w:pPr>
              <w:jc w:val="center"/>
            </w:pPr>
            <w:r>
              <w:rPr>
                <w:sz w:val="20"/>
              </w:rPr>
              <w:t>Palatal</w:t>
            </w:r>
          </w:p>
        </w:tc>
        <w:tc>
          <w:tcPr>
            <w:tcW w:type="dxa" w:w="1521"/>
          </w:tcPr>
          <w:p>
            <w:pPr>
              <w:jc w:val="center"/>
            </w:pPr>
            <w:r>
              <w:rPr>
                <w:sz w:val="20"/>
              </w:rPr>
              <w:t>Voiced</w:t>
            </w:r>
          </w:p>
        </w:tc>
        <w:tc>
          <w:tcPr>
            <w:tcW w:type="dxa" w:w="1521"/>
          </w:tcPr>
          <w:p>
            <w:pPr>
              <w:jc w:val="center"/>
            </w:pPr>
            <w:r>
              <w:rPr>
                <w:sz w:val="20"/>
              </w:rPr>
              <w:t>yol (road)</w:t>
            </w:r>
          </w:p>
        </w:tc>
      </w:tr>
      <w:tr>
        <w:tc>
          <w:tcPr>
            <w:tcW w:type="dxa" w:w="1521"/>
          </w:tcPr>
          <w:p>
            <w:pPr>
              <w:jc w:val="center"/>
            </w:pPr>
            <w:r>
              <w:rPr>
                <w:sz w:val="20"/>
              </w:rPr>
              <w:t>z</w:t>
            </w:r>
          </w:p>
        </w:tc>
        <w:tc>
          <w:tcPr>
            <w:tcW w:type="dxa" w:w="1521"/>
          </w:tcPr>
          <w:p>
            <w:pPr>
              <w:jc w:val="center"/>
            </w:pPr>
            <w:r>
              <w:rPr>
                <w:sz w:val="20"/>
              </w:rPr>
              <w:t>/z/</w:t>
            </w:r>
          </w:p>
        </w:tc>
        <w:tc>
          <w:tcPr>
            <w:tcW w:type="dxa" w:w="1521"/>
          </w:tcPr>
          <w:p>
            <w:pPr>
              <w:jc w:val="center"/>
            </w:pPr>
            <w:r>
              <w:rPr>
                <w:sz w:val="20"/>
              </w:rPr>
              <w:t>Fricative</w:t>
            </w:r>
          </w:p>
        </w:tc>
        <w:tc>
          <w:tcPr>
            <w:tcW w:type="dxa" w:w="1521"/>
          </w:tcPr>
          <w:p>
            <w:pPr>
              <w:jc w:val="center"/>
            </w:pPr>
            <w:r>
              <w:rPr>
                <w:sz w:val="20"/>
              </w:rPr>
              <w:t>Alveolar</w:t>
            </w:r>
          </w:p>
        </w:tc>
        <w:tc>
          <w:tcPr>
            <w:tcW w:type="dxa" w:w="1521"/>
          </w:tcPr>
          <w:p>
            <w:pPr>
              <w:jc w:val="center"/>
            </w:pPr>
            <w:r>
              <w:rPr>
                <w:sz w:val="20"/>
              </w:rPr>
              <w:t>Voiced</w:t>
            </w:r>
          </w:p>
        </w:tc>
        <w:tc>
          <w:tcPr>
            <w:tcW w:type="dxa" w:w="1521"/>
          </w:tcPr>
          <w:p>
            <w:pPr>
              <w:jc w:val="center"/>
            </w:pPr>
            <w:r>
              <w:rPr>
                <w:sz w:val="20"/>
              </w:rPr>
              <w:t>zaman (time)</w:t>
            </w:r>
          </w:p>
        </w:tc>
      </w:tr>
    </w:tbl>
    <w:p>
      <w:pPr>
        <w:spacing w:after="80"/>
      </w:pPr>
    </w:p>
    <w:p>
      <w:pPr>
        <w:spacing w:after="200"/>
        <w:jc w:val="center"/>
      </w:pPr>
      <w:r>
        <w:rPr>
          <w:i/>
          <w:color w:val="505050"/>
          <w:sz w:val="18"/>
        </w:rPr>
        <w:t>Source: Salimi, H. (n.d.). A generative phonology of Azerbaijani. University of Florida.</w:t>
      </w:r>
    </w:p>
    <w:p>
      <w:pPr>
        <w:pStyle w:val="Heading3"/>
        <w:spacing w:before="200" w:after="80"/>
        <w:jc w:val="left"/>
      </w:pPr>
      <w:r>
        <w:rPr>
          <w:b/>
          <w:color w:val="000000"/>
          <w:sz w:val="24"/>
        </w:rPr>
        <w:t>2.1.3. Context-Sensitive Phonological Rules</w:t>
      </w:r>
    </w:p>
    <w:p>
      <w:pPr>
        <w:spacing w:before="0" w:after="120"/>
        <w:ind w:firstLine="709"/>
        <w:jc w:val="both"/>
      </w:pPr>
      <w:r>
        <w:rPr>
          <w:sz w:val="24"/>
        </w:rPr>
        <w:t>Four phonological rules are most significant for G2P conversion in a rule-based TTS system:</w:t>
      </w:r>
    </w:p>
    <w:p>
      <w:pPr>
        <w:spacing w:after="120"/>
        <w:ind w:firstLine="709"/>
        <w:jc w:val="both"/>
      </w:pPr>
      <w:r>
        <w:rPr>
          <w:b/>
          <w:sz w:val="24"/>
        </w:rPr>
        <w:t xml:space="preserve">PALATALIZATION OF /k/ AND /g/. </w:t>
      </w:r>
      <w:r>
        <w:rPr>
          <w:sz w:val="24"/>
        </w:rPr>
        <w:t>When the velar stops /k/ and /ɡ/ occur adjacent to front vowels (e, ə, i, ö, ü), they are realized as palatal stops /c/ (Salimi, n.d.; Cambridge Core, n.d.). Examples: gül → /cyl/ (rose); gəl → /cæl/ (come); kitab → /citab/ (book). Compare: gol → /ɡol/ (goal) — back vowel /o/, no palatalization.</w:t>
      </w:r>
    </w:p>
    <w:p>
      <w:pPr>
        <w:spacing w:after="120"/>
        <w:ind w:firstLine="709"/>
        <w:jc w:val="both"/>
      </w:pPr>
      <w:r>
        <w:rPr>
          <w:b/>
          <w:sz w:val="24"/>
        </w:rPr>
        <w:t xml:space="preserve">THE /ğ/ ALLOPHONY. </w:t>
      </w:r>
      <w:r>
        <w:rPr>
          <w:sz w:val="24"/>
        </w:rPr>
        <w:t>The letter ğ does not represent a stable consonant; its realization is position-dependent: between two vowels → voiced velar fricative /ɣ/ (ağıl → /aɣɯl/); word-finally or before a consonant → compensatory vowel lengthening /ː/ (dağ → /daː/; bağlı → /baːlɯ/).</w:t>
      </w:r>
    </w:p>
    <w:p>
      <w:pPr>
        <w:spacing w:after="120"/>
        <w:ind w:firstLine="709"/>
        <w:jc w:val="both"/>
      </w:pPr>
      <w:r>
        <w:rPr>
          <w:b/>
          <w:sz w:val="24"/>
        </w:rPr>
        <w:t xml:space="preserve">FINAL OBSTRUENT DEVOICING. </w:t>
      </w:r>
      <w:r>
        <w:rPr>
          <w:sz w:val="24"/>
        </w:rPr>
        <w:t>Azerbaijani, like Turkish, exhibits word-final devoicing of voiced obstruents: /b/ → /p/ (kitab → /kitap/); /d/ → /t/ (od → /ot/). This alternation is not reflected in the spelling and is applied as a default rule.</w:t>
      </w:r>
    </w:p>
    <w:p>
      <w:pPr>
        <w:spacing w:after="120"/>
        <w:ind w:firstLine="709"/>
        <w:jc w:val="both"/>
      </w:pPr>
      <w:r>
        <w:rPr>
          <w:b/>
          <w:sz w:val="24"/>
        </w:rPr>
        <w:t xml:space="preserve">NASAL ASSIMILATION. </w:t>
      </w:r>
      <w:r>
        <w:rPr>
          <w:sz w:val="24"/>
        </w:rPr>
        <w:t>The nasal /n/ assimilates in place to a following velar consonant, yielding the velar nasal /ŋ/: rəng → /ræŋ/ (color); sənki → /sæŋci/ (as if).</w:t>
      </w:r>
    </w:p>
    <w:p>
      <w:pPr>
        <w:spacing w:after="120"/>
        <w:ind w:firstLine="709"/>
        <w:jc w:val="both"/>
      </w:pPr>
      <w:r>
        <w:rPr>
          <w:b/>
          <w:sz w:val="24"/>
        </w:rPr>
        <w:t xml:space="preserve">GEMINATE CONSONANTS. </w:t>
      </w:r>
      <w:r>
        <w:rPr>
          <w:sz w:val="24"/>
        </w:rPr>
        <w:t>Double consonants in orthography represent long (geminate) consonants: amma → /amːa/ (but/however); müəllim → /myælːim/ (teacher).</w:t>
      </w:r>
    </w:p>
    <w:p>
      <w:pPr>
        <w:pStyle w:val="Heading3"/>
        <w:spacing w:before="200" w:after="80"/>
        <w:jc w:val="left"/>
      </w:pPr>
      <w:r>
        <w:rPr>
          <w:b/>
          <w:color w:val="000000"/>
          <w:sz w:val="24"/>
        </w:rPr>
        <w:t>2.1.4. Vowel Harmony and Consonant Behavior</w:t>
      </w:r>
    </w:p>
    <w:p>
      <w:pPr>
        <w:spacing w:before="0" w:after="120"/>
        <w:ind w:firstLine="709"/>
        <w:jc w:val="both"/>
      </w:pPr>
      <w:r>
        <w:rPr>
          <w:sz w:val="24"/>
        </w:rPr>
        <w:t>Vowel harmony is a defining feature of Turkic languages. In Azerbaijani, harmony operates on the front/back dimension: all vowels in a word — root plus suffixes — must agree in frontness or backness. Some suffix classes additionally exhibit rounding harmony (Various authors, 2013). Back vowel class: a, ı, o, u. Front vowel class: e, ə, i, ö, ü.</w:t>
      </w:r>
    </w:p>
    <w:p>
      <w:pPr>
        <w:spacing w:before="0" w:after="120"/>
        <w:ind w:firstLine="709"/>
        <w:jc w:val="both"/>
      </w:pPr>
      <w:r>
        <w:rPr>
          <w:sz w:val="24"/>
        </w:rPr>
        <w:t>Examples with the progressive suffix /-ır/-ir/-ur/-ür: gəlir (comes) — root gəl has /ə/ (front) → suffix vowel /i/ (front); alır (takes) — root al has /a/ (back) → suffix vowel /ı/ (back); oxuyur (reads) — root oxu has /u/ (back rounded) → suffix vowel /u/.</w:t>
      </w:r>
    </w:p>
    <w:p>
      <w:pPr>
        <w:spacing w:before="120" w:after="40"/>
        <w:jc w:val="center"/>
      </w:pPr>
      <w:r>
        <w:rPr>
          <w:i/>
          <w:color w:val="7F7F7F"/>
          <w:sz w:val="20"/>
        </w:rPr>
        <w:t>[Figure 2.1: Vowel harmony diagram showing front/back vowel classes and suffix alternation patterns in Azerbaijani]</w:t>
      </w:r>
    </w:p>
    <w:p>
      <w:pPr>
        <w:spacing w:after="160"/>
        <w:jc w:val="center"/>
      </w:pPr>
      <w:r>
        <w:rPr>
          <w:i/>
          <w:color w:val="7F7F7F"/>
          <w:sz w:val="18"/>
        </w:rPr>
        <w:t>Source: Various authors. (2013). Vowel harmony: A comparative study of Turkish and Azerbaijani Turkish. Procedia — Social and Behavioral Sciences. https://www.sciencedirect.com/article/pii/S1877042813001419</w:t>
      </w:r>
    </w:p>
    <w:p>
      <w:pPr>
        <w:spacing w:before="0" w:after="120"/>
        <w:ind w:firstLine="709"/>
        <w:jc w:val="both"/>
      </w:pPr>
      <w:r>
        <w:rPr>
          <w:sz w:val="24"/>
        </w:rPr>
        <w:t>For TTS purposes, vowel harmony is largely already encoded in the written form of Azerbaijani text, so the G2P module need not predict harmonized vowels for most native words. However, vowel harmony serves as a diagnostic for loanwords, which often violate harmony (e.g., kompüter — back /o/ followed by front /y/) and may require special handling (Salimi, n.d.).</w:t>
      </w:r>
    </w:p>
    <w:p>
      <w:pPr>
        <w:pStyle w:val="Heading3"/>
        <w:spacing w:before="200" w:after="80"/>
        <w:jc w:val="left"/>
      </w:pPr>
      <w:r>
        <w:rPr>
          <w:b/>
          <w:color w:val="000000"/>
          <w:sz w:val="24"/>
        </w:rPr>
        <w:t>2.1.5. Impact of Agglutinative Morphology on Speech Synthesis</w:t>
      </w:r>
    </w:p>
    <w:p>
      <w:pPr>
        <w:spacing w:before="0" w:after="120"/>
        <w:ind w:firstLine="709"/>
        <w:jc w:val="both"/>
      </w:pPr>
      <w:r>
        <w:rPr>
          <w:sz w:val="24"/>
        </w:rPr>
        <w:t>Azerbaijani's agglutinative morphology has five direct implications for TTS system design (MorAz, 2019; Various authors, 2024):</w:t>
      </w:r>
    </w:p>
    <w:p>
      <w:pPr>
        <w:spacing w:after="120"/>
        <w:ind w:firstLine="709"/>
        <w:jc w:val="both"/>
      </w:pPr>
      <w:r>
        <w:rPr>
          <w:b/>
          <w:sz w:val="24"/>
        </w:rPr>
        <w:t xml:space="preserve">1. </w:t>
      </w:r>
      <w:r>
        <w:rPr>
          <w:b/>
          <w:sz w:val="24"/>
        </w:rPr>
        <w:t xml:space="preserve">LARGE VOCABULARY: </w:t>
      </w:r>
      <w:r>
        <w:rPr>
          <w:sz w:val="24"/>
        </w:rPr>
        <w:t>Productive suffix concatenation generates a very large number of distinct word forms, making a pronunciation dictionary impractical as the primary G2P strategy.</w:t>
      </w:r>
    </w:p>
    <w:p>
      <w:pPr>
        <w:spacing w:after="120"/>
        <w:ind w:firstLine="709"/>
        <w:jc w:val="both"/>
      </w:pPr>
      <w:r>
        <w:rPr>
          <w:b/>
          <w:sz w:val="24"/>
        </w:rPr>
        <w:t xml:space="preserve">2. </w:t>
      </w:r>
      <w:r>
        <w:rPr>
          <w:b/>
          <w:sz w:val="24"/>
        </w:rPr>
        <w:t xml:space="preserve">MORPHOLOGICAL BOUNDARY EFFECTS: </w:t>
      </w:r>
      <w:r>
        <w:rPr>
          <w:sz w:val="24"/>
        </w:rPr>
        <w:t>Phonological rules such as /ğ/ allophony apply at morphological boundaries. The G2P module must handle boundary effects correctly even without explicit morphological parsing.</w:t>
      </w:r>
    </w:p>
    <w:p>
      <w:pPr>
        <w:spacing w:after="120"/>
        <w:ind w:firstLine="709"/>
        <w:jc w:val="both"/>
      </w:pPr>
      <w:r>
        <w:rPr>
          <w:b/>
          <w:sz w:val="24"/>
        </w:rPr>
        <w:t xml:space="preserve">3. </w:t>
      </w:r>
      <w:r>
        <w:rPr>
          <w:b/>
          <w:sz w:val="24"/>
        </w:rPr>
        <w:t xml:space="preserve">STRESS OVER SUFFIXED FORMS: </w:t>
      </w:r>
      <w:r>
        <w:rPr>
          <w:sz w:val="24"/>
        </w:rPr>
        <w:t>Default final-syllable stress must be computed over the entire suffixed word. Stress-shifting suffixes (negation -ma/-mə, interrogative clitics) must be handled in the correct priority order.</w:t>
      </w:r>
    </w:p>
    <w:p>
      <w:pPr>
        <w:spacing w:after="120"/>
        <w:ind w:firstLine="709"/>
        <w:jc w:val="both"/>
      </w:pPr>
      <w:r>
        <w:rPr>
          <w:b/>
          <w:sz w:val="24"/>
        </w:rPr>
        <w:t xml:space="preserve">4. </w:t>
      </w:r>
      <w:r>
        <w:rPr>
          <w:b/>
          <w:sz w:val="24"/>
        </w:rPr>
        <w:t xml:space="preserve">SUFFIX-ATTACHED NUMERALS IN TEXT: </w:t>
      </w:r>
      <w:r>
        <w:rPr>
          <w:sz w:val="24"/>
        </w:rPr>
        <w:t>Azerbaijani ordinal suffixes attach to digit strings with a hyphen (1-ci 'first', 3-üncü 'third'), using vowel-harmony-aware suffix selection. The text normalizer must compute the correct suffix form.</w:t>
      </w:r>
    </w:p>
    <w:p>
      <w:pPr>
        <w:spacing w:after="120"/>
        <w:ind w:firstLine="709"/>
        <w:jc w:val="both"/>
      </w:pPr>
      <w:r>
        <w:rPr>
          <w:b/>
          <w:sz w:val="24"/>
        </w:rPr>
        <w:t xml:space="preserve">5. </w:t>
      </w:r>
      <w:r>
        <w:rPr>
          <w:b/>
          <w:sz w:val="24"/>
        </w:rPr>
        <w:t xml:space="preserve">PROSODIC PHRASE BOUNDARIES: </w:t>
      </w:r>
      <w:r>
        <w:rPr>
          <w:sz w:val="24"/>
        </w:rPr>
        <w:t>Heavy suffix load lengthens prosodic words, shifting phrase boundaries. The prosody engine accounts for this via duration scaling based on word position.</w:t>
      </w:r>
    </w:p>
    <w:p>
      <w:pPr>
        <w:pStyle w:val="Heading2"/>
        <w:spacing w:before="280" w:after="160"/>
        <w:jc w:val="center"/>
      </w:pPr>
      <w:r>
        <w:rPr>
          <w:b/>
          <w:sz w:val="28"/>
        </w:rPr>
        <w:t>2.2. Text Normalization and Linguistic Rule Design</w:t>
      </w:r>
    </w:p>
    <w:p>
      <w:pPr>
        <w:pStyle w:val="Heading3"/>
        <w:spacing w:before="200" w:after="80"/>
        <w:jc w:val="left"/>
      </w:pPr>
      <w:r>
        <w:rPr>
          <w:b/>
          <w:color w:val="000000"/>
          <w:sz w:val="24"/>
        </w:rPr>
        <w:t>2.2.1. Text Normalization Overview</w:t>
      </w:r>
    </w:p>
    <w:p>
      <w:pPr>
        <w:spacing w:before="0" w:after="120"/>
        <w:ind w:firstLine="709"/>
        <w:jc w:val="both"/>
      </w:pPr>
      <w:r>
        <w:rPr>
          <w:sz w:val="24"/>
        </w:rPr>
        <w:t>Before phoneme-level processing can begin, the raw input text must be converted from its written form to a fully pronounceable word sequence. Non-standard words (NSWs) — numerals, abbreviations, symbols, dates, times, and Roman numerals — cannot be handled by the G2P converter without prior expansion. The text normalization module addresses this problem using a cascade of rule-based transformations applied in a fixed priority order (NVIDIA, 2020–2024; Zhang, 2023).</w:t>
      </w:r>
    </w:p>
    <w:p>
      <w:pPr>
        <w:spacing w:before="0" w:after="120"/>
        <w:ind w:firstLine="709"/>
        <w:jc w:val="both"/>
      </w:pPr>
      <w:r>
        <w:rPr>
          <w:sz w:val="24"/>
        </w:rPr>
        <w:t>Azerbaijani normalization has two language-specific properties: (1) Azerbaijani numerals follow a compositional structure built from units, tens, hundreds, thousands, and millions in most-significant-first order; (2) ordinal suffixes and case suffixes attached to numerals must be selected using vowel harmony with the last vowel of the expanded number word.</w:t>
      </w:r>
    </w:p>
    <w:p>
      <w:pPr>
        <w:spacing w:before="120" w:after="40"/>
        <w:jc w:val="center"/>
      </w:pPr>
      <w:r>
        <w:rPr>
          <w:i/>
          <w:color w:val="7F7F7F"/>
          <w:sz w:val="20"/>
        </w:rPr>
        <w:t>[Figure 2.2: Text normalization processing cascade — eight steps from raw text to pronounceable Azerbaijani word sequence]</w:t>
      </w:r>
    </w:p>
    <w:p>
      <w:pPr>
        <w:spacing w:after="160"/>
        <w:jc w:val="center"/>
      </w:pPr>
      <w:r>
        <w:rPr>
          <w:i/>
          <w:color w:val="7F7F7F"/>
          <w:sz w:val="18"/>
        </w:rPr>
        <w:t>Source: NVIDIA. (2020–2024). Text normalization with NVIDIA NeMo. https://developer.nvidia.com/blog/text-normalization-and-inverse-text-normalization-with-nvidia-nemo/</w:t>
      </w:r>
    </w:p>
    <w:p>
      <w:pPr>
        <w:pStyle w:val="Heading3"/>
        <w:spacing w:before="200" w:after="80"/>
        <w:jc w:val="left"/>
      </w:pPr>
      <w:r>
        <w:rPr>
          <w:b/>
          <w:color w:val="000000"/>
          <w:sz w:val="24"/>
        </w:rPr>
        <w:t>2.2.2. Normalization of Numbers, Abbreviations, Dates, and Symbols</w:t>
      </w:r>
    </w:p>
    <w:p>
      <w:pPr>
        <w:spacing w:before="0" w:after="120"/>
        <w:ind w:firstLine="709"/>
        <w:jc w:val="both"/>
      </w:pPr>
      <w:r>
        <w:rPr>
          <w:sz w:val="24"/>
        </w:rPr>
        <w:t>The normalization module applies eight processing steps in the order below:</w:t>
      </w:r>
    </w:p>
    <w:p>
      <w:pPr>
        <w:spacing w:after="120"/>
        <w:ind w:firstLine="709"/>
        <w:jc w:val="both"/>
      </w:pPr>
      <w:r>
        <w:rPr>
          <w:b/>
          <w:sz w:val="24"/>
        </w:rPr>
        <w:t xml:space="preserve">Step 1. </w:t>
      </w:r>
      <w:r>
        <w:rPr>
          <w:b/>
          <w:sz w:val="24"/>
        </w:rPr>
        <w:t xml:space="preserve">Punctuation Normalization: </w:t>
      </w:r>
      <w:r>
        <w:rPr>
          <w:sz w:val="24"/>
        </w:rPr>
        <w:t>Unicode quotation marks, dashes (—, –, −), ellipses (…), and non-breaking spaces are converted to ASCII equivalents, preventing downstream encoding errors.</w:t>
      </w:r>
    </w:p>
    <w:p>
      <w:pPr>
        <w:spacing w:after="120"/>
        <w:ind w:firstLine="709"/>
        <w:jc w:val="both"/>
      </w:pPr>
      <w:r>
        <w:rPr>
          <w:b/>
          <w:sz w:val="24"/>
        </w:rPr>
        <w:t xml:space="preserve">Step 2. </w:t>
      </w:r>
      <w:r>
        <w:rPr>
          <w:b/>
          <w:sz w:val="24"/>
        </w:rPr>
        <w:t xml:space="preserve">Symbol Expansion: </w:t>
      </w:r>
      <w:r>
        <w:rPr>
          <w:sz w:val="24"/>
        </w:rPr>
        <w:t>Currency and unit symbols are replaced with Azerbaijani spoken forms: ₼ → 'manat', $ → 'dollar', € → 'avro', km → 'kilometr', °C → 'dərəcə Selsiy', &amp; → 'və', @ → 'at', # → 'xəş'.</w:t>
      </w:r>
    </w:p>
    <w:p>
      <w:pPr>
        <w:spacing w:after="120"/>
        <w:ind w:firstLine="709"/>
        <w:jc w:val="both"/>
      </w:pPr>
      <w:r>
        <w:rPr>
          <w:b/>
          <w:sz w:val="24"/>
        </w:rPr>
        <w:t xml:space="preserve">Step 3. </w:t>
      </w:r>
      <w:r>
        <w:rPr>
          <w:b/>
          <w:sz w:val="24"/>
        </w:rPr>
        <w:t xml:space="preserve">Date Normalization: </w:t>
      </w:r>
      <w:r>
        <w:rPr>
          <w:sz w:val="24"/>
        </w:rPr>
        <w:t>Dates in DD.MM.YYYY format are converted to spoken form with vowel-harmony-aware ordinal suffix selection. Example: 15.06.2024 → 'on beşinci iyun iki min iyirmi dördüncü il'.</w:t>
      </w:r>
    </w:p>
    <w:p>
      <w:pPr>
        <w:spacing w:after="120"/>
        <w:ind w:firstLine="709"/>
        <w:jc w:val="both"/>
      </w:pPr>
      <w:r>
        <w:rPr>
          <w:b/>
          <w:sz w:val="24"/>
        </w:rPr>
        <w:t xml:space="preserve">Step 4. </w:t>
      </w:r>
      <w:r>
        <w:rPr>
          <w:b/>
          <w:sz w:val="24"/>
        </w:rPr>
        <w:t xml:space="preserve">Time Normalization: </w:t>
      </w:r>
      <w:r>
        <w:rPr>
          <w:sz w:val="24"/>
        </w:rPr>
        <w:t>Times in HH:MM format are expanded to spoken form. Example: 09:30 → 'doqquz saat otuz dəqiqə'.</w:t>
      </w:r>
    </w:p>
    <w:p>
      <w:pPr>
        <w:spacing w:after="120"/>
        <w:ind w:firstLine="709"/>
        <w:jc w:val="both"/>
      </w:pPr>
      <w:r>
        <w:rPr>
          <w:b/>
          <w:sz w:val="24"/>
        </w:rPr>
        <w:t xml:space="preserve">Step 5. </w:t>
      </w:r>
      <w:r>
        <w:rPr>
          <w:b/>
          <w:sz w:val="24"/>
        </w:rPr>
        <w:t xml:space="preserve">Ordinal Number Expansion: </w:t>
      </w:r>
      <w:r>
        <w:rPr>
          <w:sz w:val="24"/>
        </w:rPr>
        <w:t>Digit strings with hyphen-attached ordinal suffixes are converted to word form with harmony-correct suffix selection: 1-ci → 'birinci', 3-üncü → 'üçüncü'.</w:t>
      </w:r>
    </w:p>
    <w:p>
      <w:pPr>
        <w:spacing w:after="120"/>
        <w:ind w:firstLine="709"/>
        <w:jc w:val="both"/>
      </w:pPr>
      <w:r>
        <w:rPr>
          <w:b/>
          <w:sz w:val="24"/>
        </w:rPr>
        <w:t xml:space="preserve">Step 6. </w:t>
      </w:r>
      <w:r>
        <w:rPr>
          <w:b/>
          <w:sz w:val="24"/>
        </w:rPr>
        <w:t xml:space="preserve">Cardinal Number Expansion: </w:t>
      </w:r>
      <w:r>
        <w:rPr>
          <w:sz w:val="24"/>
        </w:rPr>
        <w:t>Standalone integers are expanded using the Azerbaijani compositional number system. Example: 1,947 → 'min doqquz yüz qırx yeddi'.</w:t>
      </w:r>
    </w:p>
    <w:p>
      <w:pPr>
        <w:spacing w:after="120"/>
        <w:ind w:firstLine="709"/>
        <w:jc w:val="both"/>
      </w:pPr>
      <w:r>
        <w:rPr>
          <w:b/>
          <w:sz w:val="24"/>
        </w:rPr>
        <w:t xml:space="preserve">Step 7. </w:t>
      </w:r>
      <w:r>
        <w:rPr>
          <w:b/>
          <w:sz w:val="24"/>
        </w:rPr>
        <w:t xml:space="preserve">Roman Numeral Expansion: </w:t>
      </w:r>
      <w:r>
        <w:rPr>
          <w:sz w:val="24"/>
        </w:rPr>
        <w:t>Roman numerals in unambiguous contexts are converted to their Arabic equivalents and then expanded to words.</w:t>
      </w:r>
    </w:p>
    <w:p>
      <w:pPr>
        <w:spacing w:after="120"/>
        <w:ind w:firstLine="709"/>
        <w:jc w:val="both"/>
      </w:pPr>
      <w:r>
        <w:rPr>
          <w:b/>
          <w:sz w:val="24"/>
        </w:rPr>
        <w:t xml:space="preserve">Step 8. </w:t>
      </w:r>
      <w:r>
        <w:rPr>
          <w:b/>
          <w:sz w:val="24"/>
        </w:rPr>
        <w:t xml:space="preserve">Abbreviation Expansion: </w:t>
      </w:r>
      <w:r>
        <w:rPr>
          <w:sz w:val="24"/>
        </w:rPr>
        <w:t>A lookup table maps common Azerbaijani abbreviations to their full spoken forms.</w:t>
      </w:r>
    </w:p>
    <w:p>
      <w:pPr>
        <w:spacing w:before="200" w:after="80"/>
        <w:jc w:val="center"/>
      </w:pPr>
      <w:r>
        <w:rPr>
          <w:b/>
          <w:sz w:val="22"/>
        </w:rPr>
        <w:t>Table 2.3. Text Normalization Accuracy by Category (100 Test Sentences)</w:t>
      </w:r>
    </w:p>
    <w:tbl>
      <w:tblPr>
        <w:tblStyle w:val="TableGrid"/>
        <w:tblW w:type="auto" w:w="0"/>
        <w:jc w:val="center"/>
        <w:tblLook w:firstColumn="1" w:firstRow="1" w:lastColumn="0" w:lastRow="0" w:noHBand="0" w:noVBand="1" w:val="04A0"/>
      </w:tblPr>
      <w:tblGrid>
        <w:gridCol w:w="3043"/>
        <w:gridCol w:w="3043"/>
        <w:gridCol w:w="3043"/>
      </w:tblGrid>
      <w:tr>
        <w:tc>
          <w:tcPr>
            <w:tcW w:type="dxa" w:w="3043"/>
            <w:shd w:val="clear" w:color="auto" w:fill="D9E2F3"/>
          </w:tcPr>
          <w:p>
            <w:pPr>
              <w:jc w:val="center"/>
            </w:pPr>
            <w:r>
              <w:rPr>
                <w:b/>
                <w:sz w:val="20"/>
              </w:rPr>
              <w:t>Category</w:t>
            </w:r>
          </w:p>
        </w:tc>
        <w:tc>
          <w:tcPr>
            <w:tcW w:type="dxa" w:w="3043"/>
            <w:shd w:val="clear" w:color="auto" w:fill="D9E2F3"/>
          </w:tcPr>
          <w:p>
            <w:pPr>
              <w:jc w:val="center"/>
            </w:pPr>
            <w:r>
              <w:rPr>
                <w:b/>
                <w:sz w:val="20"/>
              </w:rPr>
              <w:t>Correct</w:t>
            </w:r>
          </w:p>
        </w:tc>
        <w:tc>
          <w:tcPr>
            <w:tcW w:type="dxa" w:w="3043"/>
            <w:shd w:val="clear" w:color="auto" w:fill="D9E2F3"/>
          </w:tcPr>
          <w:p>
            <w:pPr>
              <w:jc w:val="center"/>
            </w:pPr>
            <w:r>
              <w:rPr>
                <w:b/>
                <w:sz w:val="20"/>
              </w:rPr>
              <w:t>Accuracy</w:t>
            </w:r>
          </w:p>
        </w:tc>
      </w:tr>
      <w:tr>
        <w:tc>
          <w:tcPr>
            <w:tcW w:type="dxa" w:w="3043"/>
          </w:tcPr>
          <w:p>
            <w:pPr>
              <w:jc w:val="center"/>
            </w:pPr>
            <w:r>
              <w:rPr>
                <w:sz w:val="20"/>
              </w:rPr>
              <w:t>Cardinal numbers</w:t>
            </w:r>
          </w:p>
        </w:tc>
        <w:tc>
          <w:tcPr>
            <w:tcW w:type="dxa" w:w="3043"/>
          </w:tcPr>
          <w:p>
            <w:pPr>
              <w:jc w:val="center"/>
            </w:pPr>
            <w:r>
              <w:rPr>
                <w:sz w:val="20"/>
              </w:rPr>
              <w:t>44 / 45</w:t>
            </w:r>
          </w:p>
        </w:tc>
        <w:tc>
          <w:tcPr>
            <w:tcW w:type="dxa" w:w="3043"/>
          </w:tcPr>
          <w:p>
            <w:pPr>
              <w:jc w:val="center"/>
            </w:pPr>
            <w:r>
              <w:rPr>
                <w:sz w:val="20"/>
              </w:rPr>
              <w:t>97.8%</w:t>
            </w:r>
          </w:p>
        </w:tc>
      </w:tr>
      <w:tr>
        <w:tc>
          <w:tcPr>
            <w:tcW w:type="dxa" w:w="3043"/>
          </w:tcPr>
          <w:p>
            <w:pPr>
              <w:jc w:val="center"/>
            </w:pPr>
            <w:r>
              <w:rPr>
                <w:sz w:val="20"/>
              </w:rPr>
              <w:t>Ordinal numbers</w:t>
            </w:r>
          </w:p>
        </w:tc>
        <w:tc>
          <w:tcPr>
            <w:tcW w:type="dxa" w:w="3043"/>
          </w:tcPr>
          <w:p>
            <w:pPr>
              <w:jc w:val="center"/>
            </w:pPr>
            <w:r>
              <w:rPr>
                <w:sz w:val="20"/>
              </w:rPr>
              <w:t>17 / 18</w:t>
            </w:r>
          </w:p>
        </w:tc>
        <w:tc>
          <w:tcPr>
            <w:tcW w:type="dxa" w:w="3043"/>
          </w:tcPr>
          <w:p>
            <w:pPr>
              <w:jc w:val="center"/>
            </w:pPr>
            <w:r>
              <w:rPr>
                <w:sz w:val="20"/>
              </w:rPr>
              <w:t>94.4%</w:t>
            </w:r>
          </w:p>
        </w:tc>
      </w:tr>
      <w:tr>
        <w:tc>
          <w:tcPr>
            <w:tcW w:type="dxa" w:w="3043"/>
          </w:tcPr>
          <w:p>
            <w:pPr>
              <w:jc w:val="center"/>
            </w:pPr>
            <w:r>
              <w:rPr>
                <w:sz w:val="20"/>
              </w:rPr>
              <w:t>Dates (DD.MM.YYYY)</w:t>
            </w:r>
          </w:p>
        </w:tc>
        <w:tc>
          <w:tcPr>
            <w:tcW w:type="dxa" w:w="3043"/>
          </w:tcPr>
          <w:p>
            <w:pPr>
              <w:jc w:val="center"/>
            </w:pPr>
            <w:r>
              <w:rPr>
                <w:sz w:val="20"/>
              </w:rPr>
              <w:t>12 / 12</w:t>
            </w:r>
          </w:p>
        </w:tc>
        <w:tc>
          <w:tcPr>
            <w:tcW w:type="dxa" w:w="3043"/>
          </w:tcPr>
          <w:p>
            <w:pPr>
              <w:jc w:val="center"/>
            </w:pPr>
            <w:r>
              <w:rPr>
                <w:sz w:val="20"/>
              </w:rPr>
              <w:t>100.0%</w:t>
            </w:r>
          </w:p>
        </w:tc>
      </w:tr>
      <w:tr>
        <w:tc>
          <w:tcPr>
            <w:tcW w:type="dxa" w:w="3043"/>
          </w:tcPr>
          <w:p>
            <w:pPr>
              <w:jc w:val="center"/>
            </w:pPr>
            <w:r>
              <w:rPr>
                <w:sz w:val="20"/>
              </w:rPr>
              <w:t>Times (HH:MM)</w:t>
            </w:r>
          </w:p>
        </w:tc>
        <w:tc>
          <w:tcPr>
            <w:tcW w:type="dxa" w:w="3043"/>
          </w:tcPr>
          <w:p>
            <w:pPr>
              <w:jc w:val="center"/>
            </w:pPr>
            <w:r>
              <w:rPr>
                <w:sz w:val="20"/>
              </w:rPr>
              <w:t>10 / 10</w:t>
            </w:r>
          </w:p>
        </w:tc>
        <w:tc>
          <w:tcPr>
            <w:tcW w:type="dxa" w:w="3043"/>
          </w:tcPr>
          <w:p>
            <w:pPr>
              <w:jc w:val="center"/>
            </w:pPr>
            <w:r>
              <w:rPr>
                <w:sz w:val="20"/>
              </w:rPr>
              <w:t>100.0%</w:t>
            </w:r>
          </w:p>
        </w:tc>
      </w:tr>
      <w:tr>
        <w:tc>
          <w:tcPr>
            <w:tcW w:type="dxa" w:w="3043"/>
          </w:tcPr>
          <w:p>
            <w:pPr>
              <w:jc w:val="center"/>
            </w:pPr>
            <w:r>
              <w:rPr>
                <w:sz w:val="20"/>
              </w:rPr>
              <w:t>Abbreviations</w:t>
            </w:r>
          </w:p>
        </w:tc>
        <w:tc>
          <w:tcPr>
            <w:tcW w:type="dxa" w:w="3043"/>
          </w:tcPr>
          <w:p>
            <w:pPr>
              <w:jc w:val="center"/>
            </w:pPr>
            <w:r>
              <w:rPr>
                <w:sz w:val="20"/>
              </w:rPr>
              <w:t>21 / 23</w:t>
            </w:r>
          </w:p>
        </w:tc>
        <w:tc>
          <w:tcPr>
            <w:tcW w:type="dxa" w:w="3043"/>
          </w:tcPr>
          <w:p>
            <w:pPr>
              <w:jc w:val="center"/>
            </w:pPr>
            <w:r>
              <w:rPr>
                <w:sz w:val="20"/>
              </w:rPr>
              <w:t>91.3%</w:t>
            </w:r>
          </w:p>
        </w:tc>
      </w:tr>
      <w:tr>
        <w:tc>
          <w:tcPr>
            <w:tcW w:type="dxa" w:w="3043"/>
          </w:tcPr>
          <w:p>
            <w:pPr>
              <w:jc w:val="center"/>
            </w:pPr>
            <w:r>
              <w:rPr>
                <w:sz w:val="20"/>
              </w:rPr>
              <w:t>Currency symbols</w:t>
            </w:r>
          </w:p>
        </w:tc>
        <w:tc>
          <w:tcPr>
            <w:tcW w:type="dxa" w:w="3043"/>
          </w:tcPr>
          <w:p>
            <w:pPr>
              <w:jc w:val="center"/>
            </w:pPr>
            <w:r>
              <w:rPr>
                <w:sz w:val="20"/>
              </w:rPr>
              <w:t>8 / 8</w:t>
            </w:r>
          </w:p>
        </w:tc>
        <w:tc>
          <w:tcPr>
            <w:tcW w:type="dxa" w:w="3043"/>
          </w:tcPr>
          <w:p>
            <w:pPr>
              <w:jc w:val="center"/>
            </w:pPr>
            <w:r>
              <w:rPr>
                <w:sz w:val="20"/>
              </w:rPr>
              <w:t>100.0%</w:t>
            </w:r>
          </w:p>
        </w:tc>
      </w:tr>
      <w:tr>
        <w:tc>
          <w:tcPr>
            <w:tcW w:type="dxa" w:w="3043"/>
          </w:tcPr>
          <w:p>
            <w:pPr>
              <w:jc w:val="center"/>
            </w:pPr>
            <w:r>
              <w:rPr>
                <w:sz w:val="20"/>
              </w:rPr>
              <w:t>Roman numerals</w:t>
            </w:r>
          </w:p>
        </w:tc>
        <w:tc>
          <w:tcPr>
            <w:tcW w:type="dxa" w:w="3043"/>
          </w:tcPr>
          <w:p>
            <w:pPr>
              <w:jc w:val="center"/>
            </w:pPr>
            <w:r>
              <w:rPr>
                <w:sz w:val="20"/>
              </w:rPr>
              <w:t>5 / 5</w:t>
            </w:r>
          </w:p>
        </w:tc>
        <w:tc>
          <w:tcPr>
            <w:tcW w:type="dxa" w:w="3043"/>
          </w:tcPr>
          <w:p>
            <w:pPr>
              <w:jc w:val="center"/>
            </w:pPr>
            <w:r>
              <w:rPr>
                <w:sz w:val="20"/>
              </w:rPr>
              <w:t>100.0%</w:t>
            </w:r>
          </w:p>
        </w:tc>
      </w:tr>
    </w:tbl>
    <w:p>
      <w:pPr>
        <w:spacing w:after="80"/>
      </w:pPr>
    </w:p>
    <w:p>
      <w:pPr>
        <w:spacing w:after="200"/>
        <w:jc w:val="center"/>
      </w:pPr>
      <w:r>
        <w:rPr>
          <w:i/>
          <w:color w:val="505050"/>
          <w:sz w:val="18"/>
        </w:rPr>
        <w:t>Source: Evaluation results from the present study (see Chapter III).</w:t>
      </w:r>
    </w:p>
    <w:p>
      <w:pPr>
        <w:pStyle w:val="Heading3"/>
        <w:spacing w:before="200" w:after="80"/>
        <w:jc w:val="left"/>
      </w:pPr>
      <w:r>
        <w:rPr>
          <w:b/>
          <w:color w:val="000000"/>
          <w:sz w:val="24"/>
        </w:rPr>
        <w:t>2.2.3. Syllabification and Stress Assignment Rules</w:t>
      </w:r>
    </w:p>
    <w:p>
      <w:pPr>
        <w:spacing w:before="0" w:after="120"/>
        <w:ind w:firstLine="709"/>
        <w:jc w:val="both"/>
      </w:pPr>
      <w:r>
        <w:rPr>
          <w:sz w:val="24"/>
        </w:rPr>
        <w:t>Accurate syllabification is a prerequisite for stress assignment, which in turn determines the prosodic structure of an utterance.</w:t>
      </w:r>
    </w:p>
    <w:p>
      <w:pPr>
        <w:spacing w:after="120"/>
        <w:ind w:firstLine="709"/>
        <w:jc w:val="both"/>
      </w:pPr>
      <w:r>
        <w:rPr>
          <w:b/>
          <w:sz w:val="24"/>
        </w:rPr>
        <w:t xml:space="preserve">Syllabification. </w:t>
      </w:r>
      <w:r>
        <w:rPr>
          <w:sz w:val="24"/>
        </w:rPr>
        <w:t>The syllabifier implements the onset-maximization principle for Azerbaijani: every syllable must contain exactly one vowel nucleus; V.CV — a single consonant between two vowels goes to the right onset (al.ma); VC.CV — two consonants split as coda + onset (məkt.əb); VC.CCV — in three-consonant clusters, the first consonant closes the left syllable.</w:t>
      </w:r>
    </w:p>
    <w:p>
      <w:pPr>
        <w:spacing w:after="120"/>
        <w:ind w:firstLine="709"/>
        <w:jc w:val="both"/>
      </w:pPr>
      <w:r>
        <w:rPr>
          <w:b/>
          <w:sz w:val="24"/>
        </w:rPr>
        <w:t xml:space="preserve">Stress Assignment. </w:t>
      </w:r>
      <w:r>
        <w:rPr>
          <w:sz w:val="24"/>
        </w:rPr>
        <w:t>Lexical stress applies a priority-ordered rule hierarchy (Salimi, n.d.):</w:t>
      </w:r>
    </w:p>
    <w:p>
      <w:pPr>
        <w:spacing w:after="80"/>
        <w:ind w:left="709"/>
        <w:jc w:val="both"/>
      </w:pPr>
      <w:r>
        <w:rPr>
          <w:b/>
          <w:sz w:val="24"/>
        </w:rPr>
        <w:t xml:space="preserve">Priority 1 — </w:t>
      </w:r>
      <w:r>
        <w:rPr>
          <w:b/>
          <w:sz w:val="24"/>
        </w:rPr>
        <w:t xml:space="preserve">Function words and clitics are marked unstressed. </w:t>
      </w:r>
      <w:r>
        <w:rPr>
          <w:sz w:val="24"/>
        </w:rPr>
        <w:t>Postpositions, conjunctions, and interrogative particles (mi, mı, mu, mü) receive no stress regardless of syllabic structure.</w:t>
      </w:r>
    </w:p>
    <w:p>
      <w:pPr>
        <w:spacing w:after="80"/>
        <w:ind w:left="709"/>
        <w:jc w:val="both"/>
      </w:pPr>
      <w:r>
        <w:rPr>
          <w:b/>
          <w:sz w:val="24"/>
        </w:rPr>
        <w:t xml:space="preserve">Priority 2 — </w:t>
      </w:r>
      <w:r>
        <w:rPr>
          <w:b/>
          <w:sz w:val="24"/>
        </w:rPr>
        <w:t xml:space="preserve">Lexical exceptions. </w:t>
      </w:r>
      <w:r>
        <w:rPr>
          <w:sz w:val="24"/>
        </w:rPr>
        <w:t>deyil (is not) → stress on first syllable (DEY-il); hər (every) → typically unstressed in phrases.</w:t>
      </w:r>
    </w:p>
    <w:p>
      <w:pPr>
        <w:spacing w:after="80"/>
        <w:ind w:left="709"/>
        <w:jc w:val="both"/>
      </w:pPr>
      <w:r>
        <w:rPr>
          <w:b/>
          <w:sz w:val="24"/>
        </w:rPr>
        <w:t xml:space="preserve">Priority 3 — </w:t>
      </w:r>
      <w:r>
        <w:rPr>
          <w:b/>
          <w:sz w:val="24"/>
        </w:rPr>
        <w:t xml:space="preserve">Negation suffix rule. </w:t>
      </w:r>
      <w:r>
        <w:rPr>
          <w:sz w:val="24"/>
        </w:rPr>
        <w:t>Words ending in -ma/-mə (verbal negation) receive stress on the penultimate syllable: getmədi → GET-mə-di (didn't go).</w:t>
      </w:r>
    </w:p>
    <w:p>
      <w:pPr>
        <w:spacing w:after="80"/>
        <w:ind w:left="709"/>
        <w:jc w:val="both"/>
      </w:pPr>
      <w:r>
        <w:rPr>
          <w:b/>
          <w:sz w:val="24"/>
        </w:rPr>
        <w:t xml:space="preserve">Priority 4 — </w:t>
      </w:r>
      <w:r>
        <w:rPr>
          <w:b/>
          <w:sz w:val="24"/>
        </w:rPr>
        <w:t xml:space="preserve">Default rule. </w:t>
      </w:r>
      <w:r>
        <w:rPr>
          <w:sz w:val="24"/>
        </w:rPr>
        <w:t>All remaining words receive stress on the final syllable.</w:t>
      </w:r>
    </w:p>
    <w:p>
      <w:pPr>
        <w:pStyle w:val="Heading3"/>
        <w:spacing w:before="200" w:after="80"/>
        <w:jc w:val="left"/>
      </w:pPr>
      <w:r>
        <w:rPr>
          <w:b/>
          <w:color w:val="000000"/>
          <w:sz w:val="24"/>
        </w:rPr>
        <w:t>2.2.4. Prosodic and Intonation Modeling</w:t>
      </w:r>
    </w:p>
    <w:p>
      <w:pPr>
        <w:spacing w:before="0" w:after="120"/>
        <w:ind w:firstLine="709"/>
        <w:jc w:val="both"/>
      </w:pPr>
      <w:r>
        <w:rPr>
          <w:sz w:val="24"/>
        </w:rPr>
        <w:t>The prosody engine models suprasegmental properties using a simplified ToBI (Tones and Break Indices) framework (Sadekova et al., 2024; Voice synthesis improvement, 2024). Five sentence types are recognized and associated with distinct intonation patterns:</w:t>
      </w:r>
    </w:p>
    <w:p>
      <w:pPr>
        <w:spacing w:before="200" w:after="80"/>
        <w:jc w:val="center"/>
      </w:pPr>
      <w:r>
        <w:rPr>
          <w:b/>
          <w:sz w:val="22"/>
        </w:rPr>
        <w:t>Table 2.4. Sentence Types, Detection Markers, and ToBI Intonation Patterns</w:t>
      </w:r>
    </w:p>
    <w:tbl>
      <w:tblPr>
        <w:tblStyle w:val="TableGrid"/>
        <w:tblW w:type="auto" w:w="0"/>
        <w:jc w:val="center"/>
        <w:tblLook w:firstColumn="1" w:firstRow="1" w:lastColumn="0" w:lastRow="0" w:noHBand="0" w:noVBand="1" w:val="04A0"/>
      </w:tblPr>
      <w:tblGrid>
        <w:gridCol w:w="1826"/>
        <w:gridCol w:w="1826"/>
        <w:gridCol w:w="1826"/>
        <w:gridCol w:w="1826"/>
        <w:gridCol w:w="1826"/>
      </w:tblGrid>
      <w:tr>
        <w:tc>
          <w:tcPr>
            <w:tcW w:type="dxa" w:w="1826"/>
            <w:shd w:val="clear" w:color="auto" w:fill="D9E2F3"/>
          </w:tcPr>
          <w:p>
            <w:pPr>
              <w:jc w:val="center"/>
            </w:pPr>
            <w:r>
              <w:rPr>
                <w:b/>
                <w:sz w:val="20"/>
              </w:rPr>
              <w:t>Sentence Type</w:t>
            </w:r>
          </w:p>
        </w:tc>
        <w:tc>
          <w:tcPr>
            <w:tcW w:type="dxa" w:w="1826"/>
            <w:shd w:val="clear" w:color="auto" w:fill="D9E2F3"/>
          </w:tcPr>
          <w:p>
            <w:pPr>
              <w:jc w:val="center"/>
            </w:pPr>
            <w:r>
              <w:rPr>
                <w:b/>
                <w:sz w:val="20"/>
              </w:rPr>
              <w:t>Detection Marker</w:t>
            </w:r>
          </w:p>
        </w:tc>
        <w:tc>
          <w:tcPr>
            <w:tcW w:type="dxa" w:w="1826"/>
            <w:shd w:val="clear" w:color="auto" w:fill="D9E2F3"/>
          </w:tcPr>
          <w:p>
            <w:pPr>
              <w:jc w:val="center"/>
            </w:pPr>
            <w:r>
              <w:rPr>
                <w:b/>
                <w:sz w:val="20"/>
              </w:rPr>
              <w:t>Nuclear Accent</w:t>
            </w:r>
          </w:p>
        </w:tc>
        <w:tc>
          <w:tcPr>
            <w:tcW w:type="dxa" w:w="1826"/>
            <w:shd w:val="clear" w:color="auto" w:fill="D9E2F3"/>
          </w:tcPr>
          <w:p>
            <w:pPr>
              <w:jc w:val="center"/>
            </w:pPr>
            <w:r>
              <w:rPr>
                <w:b/>
                <w:sz w:val="20"/>
              </w:rPr>
              <w:t>Phrase Accent</w:t>
            </w:r>
          </w:p>
        </w:tc>
        <w:tc>
          <w:tcPr>
            <w:tcW w:type="dxa" w:w="1826"/>
            <w:shd w:val="clear" w:color="auto" w:fill="D9E2F3"/>
          </w:tcPr>
          <w:p>
            <w:pPr>
              <w:jc w:val="center"/>
            </w:pPr>
            <w:r>
              <w:rPr>
                <w:b/>
                <w:sz w:val="20"/>
              </w:rPr>
              <w:t>Boundary Tone</w:t>
            </w:r>
          </w:p>
        </w:tc>
      </w:tr>
      <w:tr>
        <w:tc>
          <w:tcPr>
            <w:tcW w:type="dxa" w:w="1826"/>
          </w:tcPr>
          <w:p>
            <w:pPr>
              <w:jc w:val="center"/>
            </w:pPr>
            <w:r>
              <w:rPr>
                <w:sz w:val="20"/>
              </w:rPr>
              <w:t>Declarative</w:t>
            </w:r>
          </w:p>
        </w:tc>
        <w:tc>
          <w:tcPr>
            <w:tcW w:type="dxa" w:w="1826"/>
          </w:tcPr>
          <w:p>
            <w:pPr>
              <w:jc w:val="center"/>
            </w:pPr>
            <w:r>
              <w:rPr>
                <w:sz w:val="20"/>
              </w:rPr>
              <w:t>Period / no special marker</w:t>
            </w:r>
          </w:p>
        </w:tc>
        <w:tc>
          <w:tcPr>
            <w:tcW w:type="dxa" w:w="1826"/>
          </w:tcPr>
          <w:p>
            <w:pPr>
              <w:jc w:val="center"/>
            </w:pPr>
            <w:r>
              <w:rPr>
                <w:sz w:val="20"/>
              </w:rPr>
              <w:t>H*</w:t>
            </w:r>
          </w:p>
        </w:tc>
        <w:tc>
          <w:tcPr>
            <w:tcW w:type="dxa" w:w="1826"/>
          </w:tcPr>
          <w:p>
            <w:pPr>
              <w:jc w:val="center"/>
            </w:pPr>
            <w:r>
              <w:rPr>
                <w:sz w:val="20"/>
              </w:rPr>
              <w:t>L+H*</w:t>
            </w:r>
          </w:p>
        </w:tc>
        <w:tc>
          <w:tcPr>
            <w:tcW w:type="dxa" w:w="1826"/>
          </w:tcPr>
          <w:p>
            <w:pPr>
              <w:jc w:val="center"/>
            </w:pPr>
            <w:r>
              <w:rPr>
                <w:sz w:val="20"/>
              </w:rPr>
              <w:t>L%</w:t>
            </w:r>
          </w:p>
        </w:tc>
      </w:tr>
      <w:tr>
        <w:tc>
          <w:tcPr>
            <w:tcW w:type="dxa" w:w="1826"/>
          </w:tcPr>
          <w:p>
            <w:pPr>
              <w:jc w:val="center"/>
            </w:pPr>
            <w:r>
              <w:rPr>
                <w:sz w:val="20"/>
              </w:rPr>
              <w:t>Yes/No Question</w:t>
            </w:r>
          </w:p>
        </w:tc>
        <w:tc>
          <w:tcPr>
            <w:tcW w:type="dxa" w:w="1826"/>
          </w:tcPr>
          <w:p>
            <w:pPr>
              <w:jc w:val="center"/>
            </w:pPr>
            <w:r>
              <w:rPr>
                <w:sz w:val="20"/>
              </w:rPr>
              <w:t>mi/mı/mu/mü particle</w:t>
            </w:r>
          </w:p>
        </w:tc>
        <w:tc>
          <w:tcPr>
            <w:tcW w:type="dxa" w:w="1826"/>
          </w:tcPr>
          <w:p>
            <w:pPr>
              <w:jc w:val="center"/>
            </w:pPr>
            <w:r>
              <w:rPr>
                <w:sz w:val="20"/>
              </w:rPr>
              <w:t>L*</w:t>
            </w:r>
          </w:p>
        </w:tc>
        <w:tc>
          <w:tcPr>
            <w:tcW w:type="dxa" w:w="1826"/>
          </w:tcPr>
          <w:p>
            <w:pPr>
              <w:jc w:val="center"/>
            </w:pPr>
            <w:r>
              <w:rPr>
                <w:sz w:val="20"/>
              </w:rPr>
              <w:t>L+H*</w:t>
            </w:r>
          </w:p>
        </w:tc>
        <w:tc>
          <w:tcPr>
            <w:tcW w:type="dxa" w:w="1826"/>
          </w:tcPr>
          <w:p>
            <w:pPr>
              <w:jc w:val="center"/>
            </w:pPr>
            <w:r>
              <w:rPr>
                <w:sz w:val="20"/>
              </w:rPr>
              <w:t>H%</w:t>
            </w:r>
          </w:p>
        </w:tc>
      </w:tr>
      <w:tr>
        <w:tc>
          <w:tcPr>
            <w:tcW w:type="dxa" w:w="1826"/>
          </w:tcPr>
          <w:p>
            <w:pPr>
              <w:jc w:val="center"/>
            </w:pPr>
            <w:r>
              <w:rPr>
                <w:sz w:val="20"/>
              </w:rPr>
              <w:t>Wh-Question</w:t>
            </w:r>
          </w:p>
        </w:tc>
        <w:tc>
          <w:tcPr>
            <w:tcW w:type="dxa" w:w="1826"/>
          </w:tcPr>
          <w:p>
            <w:pPr>
              <w:jc w:val="center"/>
            </w:pPr>
            <w:r>
              <w:rPr>
                <w:sz w:val="20"/>
              </w:rPr>
              <w:t>Wh-word (nə, kim, harada…)</w:t>
            </w:r>
          </w:p>
        </w:tc>
        <w:tc>
          <w:tcPr>
            <w:tcW w:type="dxa" w:w="1826"/>
          </w:tcPr>
          <w:p>
            <w:pPr>
              <w:jc w:val="center"/>
            </w:pPr>
            <w:r>
              <w:rPr>
                <w:sz w:val="20"/>
              </w:rPr>
              <w:t>H*</w:t>
            </w:r>
          </w:p>
        </w:tc>
        <w:tc>
          <w:tcPr>
            <w:tcW w:type="dxa" w:w="1826"/>
          </w:tcPr>
          <w:p>
            <w:pPr>
              <w:jc w:val="center"/>
            </w:pPr>
            <w:r>
              <w:rPr>
                <w:sz w:val="20"/>
              </w:rPr>
              <w:t>L+H*</w:t>
            </w:r>
          </w:p>
        </w:tc>
        <w:tc>
          <w:tcPr>
            <w:tcW w:type="dxa" w:w="1826"/>
          </w:tcPr>
          <w:p>
            <w:pPr>
              <w:jc w:val="center"/>
            </w:pPr>
            <w:r>
              <w:rPr>
                <w:sz w:val="20"/>
              </w:rPr>
              <w:t>L%</w:t>
            </w:r>
          </w:p>
        </w:tc>
      </w:tr>
      <w:tr>
        <w:tc>
          <w:tcPr>
            <w:tcW w:type="dxa" w:w="1826"/>
          </w:tcPr>
          <w:p>
            <w:pPr>
              <w:jc w:val="center"/>
            </w:pPr>
            <w:r>
              <w:rPr>
                <w:sz w:val="20"/>
              </w:rPr>
              <w:t>Exclamatory</w:t>
            </w:r>
          </w:p>
        </w:tc>
        <w:tc>
          <w:tcPr>
            <w:tcW w:type="dxa" w:w="1826"/>
          </w:tcPr>
          <w:p>
            <w:pPr>
              <w:jc w:val="center"/>
            </w:pPr>
            <w:r>
              <w:rPr>
                <w:sz w:val="20"/>
              </w:rPr>
              <w:t>Exclamation mark (!)</w:t>
            </w:r>
          </w:p>
        </w:tc>
        <w:tc>
          <w:tcPr>
            <w:tcW w:type="dxa" w:w="1826"/>
          </w:tcPr>
          <w:p>
            <w:pPr>
              <w:jc w:val="center"/>
            </w:pPr>
            <w:r>
              <w:rPr>
                <w:sz w:val="20"/>
              </w:rPr>
              <w:t>H*+L</w:t>
            </w:r>
          </w:p>
        </w:tc>
        <w:tc>
          <w:tcPr>
            <w:tcW w:type="dxa" w:w="1826"/>
          </w:tcPr>
          <w:p>
            <w:pPr>
              <w:jc w:val="center"/>
            </w:pPr>
            <w:r>
              <w:rPr>
                <w:sz w:val="20"/>
              </w:rPr>
              <w:t>H*</w:t>
            </w:r>
          </w:p>
        </w:tc>
        <w:tc>
          <w:tcPr>
            <w:tcW w:type="dxa" w:w="1826"/>
          </w:tcPr>
          <w:p>
            <w:pPr>
              <w:jc w:val="center"/>
            </w:pPr>
            <w:r>
              <w:rPr>
                <w:sz w:val="20"/>
              </w:rPr>
              <w:t>L%</w:t>
            </w:r>
          </w:p>
        </w:tc>
      </w:tr>
      <w:tr>
        <w:tc>
          <w:tcPr>
            <w:tcW w:type="dxa" w:w="1826"/>
          </w:tcPr>
          <w:p>
            <w:pPr>
              <w:jc w:val="center"/>
            </w:pPr>
            <w:r>
              <w:rPr>
                <w:sz w:val="20"/>
              </w:rPr>
              <w:t>Imperative</w:t>
            </w:r>
          </w:p>
        </w:tc>
        <w:tc>
          <w:tcPr>
            <w:tcW w:type="dxa" w:w="1826"/>
          </w:tcPr>
          <w:p>
            <w:pPr>
              <w:jc w:val="center"/>
            </w:pPr>
            <w:r>
              <w:rPr>
                <w:sz w:val="20"/>
              </w:rPr>
              <w:t>Bare verb form (no tense suffix)</w:t>
            </w:r>
          </w:p>
        </w:tc>
        <w:tc>
          <w:tcPr>
            <w:tcW w:type="dxa" w:w="1826"/>
          </w:tcPr>
          <w:p>
            <w:pPr>
              <w:jc w:val="center"/>
            </w:pPr>
            <w:r>
              <w:rPr>
                <w:sz w:val="20"/>
              </w:rPr>
              <w:t>H*</w:t>
            </w:r>
          </w:p>
        </w:tc>
        <w:tc>
          <w:tcPr>
            <w:tcW w:type="dxa" w:w="1826"/>
          </w:tcPr>
          <w:p>
            <w:pPr>
              <w:jc w:val="center"/>
            </w:pPr>
            <w:r>
              <w:rPr>
                <w:sz w:val="20"/>
              </w:rPr>
              <w:t>—</w:t>
            </w:r>
          </w:p>
        </w:tc>
        <w:tc>
          <w:tcPr>
            <w:tcW w:type="dxa" w:w="1826"/>
          </w:tcPr>
          <w:p>
            <w:pPr>
              <w:jc w:val="center"/>
            </w:pPr>
            <w:r>
              <w:rPr>
                <w:sz w:val="20"/>
              </w:rPr>
              <w:t>L%</w:t>
            </w:r>
          </w:p>
        </w:tc>
      </w:tr>
    </w:tbl>
    <w:p>
      <w:pPr>
        <w:spacing w:after="80"/>
      </w:pPr>
    </w:p>
    <w:p>
      <w:pPr>
        <w:spacing w:after="200"/>
        <w:jc w:val="center"/>
      </w:pPr>
      <w:r>
        <w:rPr>
          <w:i/>
          <w:color w:val="505050"/>
          <w:sz w:val="18"/>
        </w:rPr>
        <w:t>Source: ToBI framework following Sadekova et al. (2024); patterns derived from Azerbaijani phonetic descriptions in Salimi (n.d.) and Cambridge Core (n.d.).</w:t>
      </w:r>
    </w:p>
    <w:p>
      <w:pPr>
        <w:spacing w:before="0" w:after="120"/>
        <w:ind w:firstLine="709"/>
        <w:jc w:val="both"/>
      </w:pPr>
      <w:r>
        <w:rPr>
          <w:sz w:val="24"/>
        </w:rPr>
        <w:t>Phone duration is estimated using a rule-based model calibrated to Azerbaijani speech: vowels 80–130 ms (stressed or lengthened), stops 60–80 ms, fricatives 80–100 ms, nasals/liquids 60–70 ms, geminates ×1.6 the singleton duration, phrase-final lengthening ×1.3. Pauses: sentence boundary 500 ms, comma/semicolon boundary 200 ms, heavy clause boundary 150 ms. Speaking rate is configurable: neutral = 140 wpm, formal = 120 wpm, conversational = 160 wpm (Various authors, 2023).</w:t>
      </w:r>
    </w:p>
    <w:p>
      <w:pPr>
        <w:pStyle w:val="Heading2"/>
        <w:spacing w:before="280" w:after="160"/>
        <w:jc w:val="center"/>
      </w:pPr>
      <w:r>
        <w:rPr>
          <w:b/>
          <w:sz w:val="28"/>
        </w:rPr>
        <w:t>2.3. Architecture of the Rule-Based Azerbaijani TTS System</w:t>
      </w:r>
    </w:p>
    <w:p>
      <w:pPr>
        <w:pStyle w:val="Heading3"/>
        <w:spacing w:before="200" w:after="80"/>
        <w:jc w:val="left"/>
      </w:pPr>
      <w:r>
        <w:rPr>
          <w:b/>
          <w:color w:val="000000"/>
          <w:sz w:val="24"/>
        </w:rPr>
        <w:t>2.3.1. Overall System Architecture</w:t>
      </w:r>
    </w:p>
    <w:p>
      <w:pPr>
        <w:spacing w:before="0" w:after="120"/>
        <w:ind w:firstLine="709"/>
        <w:jc w:val="both"/>
      </w:pPr>
      <w:r>
        <w:rPr>
          <w:sz w:val="24"/>
        </w:rPr>
        <w:t>The proposed system follows the modular pipeline architecture established by the Festival TTS system (Taylor et al., 1998), which decomposes the text-to-speech conversion task into a sequence of independent processing modules with well-defined input/output interfaces. This architecture confers four key advantages: each module can be developed, tested, and improved independently; intermediate representations are human-readable and interpretable; new linguistic rules can be added to one module without affecting others; and the pipeline can be run partially (e.g., to produce IPA without audio) for linguistic analysis.</w:t>
      </w:r>
    </w:p>
    <w:p>
      <w:pPr>
        <w:spacing w:before="0" w:after="120"/>
        <w:ind w:firstLine="709"/>
        <w:jc w:val="both"/>
      </w:pPr>
      <w:r>
        <w:rPr>
          <w:sz w:val="24"/>
        </w:rPr>
        <w:t>The system comprises five processing modules, implemented in Python, plus a central orchestrator class AzTTSPipeline (pipeline.py) that manages configuration and data flow between modules:</w:t>
      </w:r>
    </w:p>
    <w:p>
      <w:pPr>
        <w:spacing w:after="80"/>
        <w:ind w:left="709"/>
        <w:jc w:val="left"/>
      </w:pPr>
      <w:r>
        <w:rPr>
          <w:b/>
          <w:sz w:val="24"/>
        </w:rPr>
        <w:t xml:space="preserve">1. </w:t>
      </w:r>
      <w:r>
        <w:rPr>
          <w:b/>
          <w:sz w:val="24"/>
        </w:rPr>
        <w:t xml:space="preserve">Text Normalization </w:t>
      </w:r>
      <w:r>
        <w:rPr>
          <w:i/>
          <w:sz w:val="24"/>
        </w:rPr>
        <w:t>(text_normalizer.py): NSWs → pronounceable Azerbaijani words</w:t>
      </w:r>
    </w:p>
    <w:p>
      <w:pPr>
        <w:spacing w:after="80"/>
        <w:ind w:left="709"/>
        <w:jc w:val="left"/>
      </w:pPr>
      <w:r>
        <w:rPr>
          <w:b/>
          <w:sz w:val="24"/>
        </w:rPr>
        <w:t xml:space="preserve">2. </w:t>
      </w:r>
      <w:r>
        <w:rPr>
          <w:b/>
          <w:sz w:val="24"/>
        </w:rPr>
        <w:t xml:space="preserve">G2P Converter </w:t>
      </w:r>
      <w:r>
        <w:rPr>
          <w:i/>
          <w:sz w:val="24"/>
        </w:rPr>
        <w:t>(g2p_converter.py): Graphemes → IPA phoneme sequences</w:t>
      </w:r>
    </w:p>
    <w:p>
      <w:pPr>
        <w:spacing w:after="80"/>
        <w:ind w:left="709"/>
        <w:jc w:val="left"/>
      </w:pPr>
      <w:r>
        <w:rPr>
          <w:b/>
          <w:sz w:val="24"/>
        </w:rPr>
        <w:t xml:space="preserve">3. </w:t>
      </w:r>
      <w:r>
        <w:rPr>
          <w:b/>
          <w:sz w:val="24"/>
        </w:rPr>
        <w:t xml:space="preserve">Stress Assigner </w:t>
      </w:r>
      <w:r>
        <w:rPr>
          <w:i/>
          <w:sz w:val="24"/>
        </w:rPr>
        <w:t>(stress_assigner.py): Lexical + phrasal stress assignment</w:t>
      </w:r>
    </w:p>
    <w:p>
      <w:pPr>
        <w:spacing w:after="80"/>
        <w:ind w:left="709"/>
        <w:jc w:val="left"/>
      </w:pPr>
      <w:r>
        <w:rPr>
          <w:b/>
          <w:sz w:val="24"/>
        </w:rPr>
        <w:t xml:space="preserve">4. </w:t>
      </w:r>
      <w:r>
        <w:rPr>
          <w:b/>
          <w:sz w:val="24"/>
        </w:rPr>
        <w:t xml:space="preserve">Prosody Engine </w:t>
      </w:r>
      <w:r>
        <w:rPr>
          <w:i/>
          <w:sz w:val="24"/>
        </w:rPr>
        <w:t>(prosody_engine.py): Pitch accents, durations, pauses (ToBI-lite)</w:t>
      </w:r>
    </w:p>
    <w:p>
      <w:pPr>
        <w:spacing w:after="80"/>
        <w:ind w:left="709"/>
        <w:jc w:val="left"/>
      </w:pPr>
      <w:r>
        <w:rPr>
          <w:b/>
          <w:sz w:val="24"/>
        </w:rPr>
        <w:t xml:space="preserve">5. </w:t>
      </w:r>
      <w:r>
        <w:rPr>
          <w:b/>
          <w:sz w:val="24"/>
        </w:rPr>
        <w:t xml:space="preserve">Synthesizer </w:t>
      </w:r>
      <w:r>
        <w:rPr>
          <w:i/>
          <w:sz w:val="24"/>
        </w:rPr>
        <w:t>(synthesizer.py): espeak-ng subprocess → WAV audio output</w:t>
      </w:r>
    </w:p>
    <w:p>
      <w:pPr>
        <w:spacing w:before="120" w:after="40"/>
        <w:jc w:val="center"/>
      </w:pPr>
      <w:r>
        <w:rPr>
          <w:i/>
          <w:color w:val="7F7F7F"/>
          <w:sz w:val="20"/>
        </w:rPr>
        <w:t>[Figure 2.3: Full AzTTSPipeline architecture: five-stage data flow from raw text input to WAV output]</w:t>
      </w:r>
    </w:p>
    <w:p>
      <w:pPr>
        <w:spacing w:after="160"/>
        <w:jc w:val="center"/>
      </w:pPr>
      <w:r>
        <w:rPr>
          <w:i/>
          <w:color w:val="7F7F7F"/>
          <w:sz w:val="18"/>
        </w:rPr>
        <w:t>Source: Present study — diagram of the AzTTSPipeline implementation.</w:t>
      </w:r>
    </w:p>
    <w:p>
      <w:pPr>
        <w:pStyle w:val="Heading3"/>
        <w:spacing w:before="200" w:after="80"/>
        <w:jc w:val="left"/>
      </w:pPr>
      <w:r>
        <w:rPr>
          <w:b/>
          <w:color w:val="000000"/>
          <w:sz w:val="24"/>
        </w:rPr>
        <w:t>2.3.2. Module Decomposition</w:t>
      </w:r>
    </w:p>
    <w:p>
      <w:pPr>
        <w:pStyle w:val="Heading3"/>
        <w:spacing w:before="200" w:after="80"/>
        <w:jc w:val="left"/>
      </w:pPr>
      <w:r>
        <w:rPr>
          <w:b/>
          <w:color w:val="000000"/>
          <w:sz w:val="24"/>
        </w:rPr>
        <w:t>MODULE 1: TEXT NORMALIZATION (text_normalizer.py)</w:t>
      </w:r>
    </w:p>
    <w:p>
      <w:pPr>
        <w:spacing w:before="0" w:after="120"/>
        <w:ind w:firstLine="709"/>
        <w:jc w:val="both"/>
      </w:pPr>
      <w:r>
        <w:rPr>
          <w:sz w:val="24"/>
        </w:rPr>
        <w:t>The text normalization module converts NSWs to pronounceable Azerbaijani word sequences as described in Section 2.2.2. It is implemented as a cascade of regular expression-based substitution rules applied in fixed priority order. Each rule is a pattern–replacement pair stored in text_norm_rules.json, enabling the rule set to be inspected and extended without modifying Python code. Public interface: normalize(text: str) → str.</w:t>
      </w:r>
    </w:p>
    <w:p>
      <w:pPr>
        <w:pStyle w:val="Heading3"/>
        <w:spacing w:before="200" w:after="80"/>
        <w:jc w:val="left"/>
      </w:pPr>
      <w:r>
        <w:rPr>
          <w:b/>
          <w:color w:val="000000"/>
          <w:sz w:val="24"/>
        </w:rPr>
        <w:t>MODULE 2: G2P CONVERTER (g2p_converter.py)</w:t>
      </w:r>
    </w:p>
    <w:p>
      <w:pPr>
        <w:spacing w:before="0" w:after="120"/>
        <w:ind w:firstLine="709"/>
        <w:jc w:val="both"/>
      </w:pPr>
      <w:r>
        <w:rPr>
          <w:sz w:val="24"/>
        </w:rPr>
        <w:t>The G2P converter maps normalized text to IPA phoneme sequences. Processing is character-by-character with lookahead and lookbehind for context-sensitive rules. The module implements: base phoneme mapping (9 vowels, 23 consonants) via g2p_rules.json; context-sensitive rules (palatalization, /ğ/ allophony, nasal velarization); post-processing (geminate merging, final obstruent devoicing, nasal assimilation); and syllabification using the onset-maximization algorithm.</w:t>
      </w:r>
    </w:p>
    <w:p>
      <w:pPr>
        <w:pStyle w:val="Heading3"/>
        <w:spacing w:before="200" w:after="80"/>
        <w:jc w:val="left"/>
      </w:pPr>
      <w:r>
        <w:rPr>
          <w:b/>
          <w:color w:val="000000"/>
          <w:sz w:val="24"/>
        </w:rPr>
        <w:t>MODULE 3: STRESS ASSIGNER (stress_assigner.py)</w:t>
      </w:r>
    </w:p>
    <w:p>
      <w:pPr>
        <w:spacing w:before="0" w:after="120"/>
        <w:ind w:firstLine="709"/>
        <w:jc w:val="both"/>
      </w:pPr>
      <w:r>
        <w:rPr>
          <w:sz w:val="24"/>
        </w:rPr>
        <w:t>The stress assigner applies the priority-ordered rule hierarchy (Section 2.2.3) to the Word list from Module 2. It reads exception lists and rule parameters from stress_rules.json, and applies phrasal stress demotions and ToBI pitch accent labels to content words.</w:t>
      </w:r>
    </w:p>
    <w:p>
      <w:pPr>
        <w:pStyle w:val="Heading3"/>
        <w:spacing w:before="200" w:after="80"/>
        <w:jc w:val="left"/>
      </w:pPr>
      <w:r>
        <w:rPr>
          <w:b/>
          <w:color w:val="000000"/>
          <w:sz w:val="24"/>
        </w:rPr>
        <w:t>MODULE 4: PROSODY ENGINE (prosody_engine.py)</w:t>
      </w:r>
    </w:p>
    <w:p>
      <w:pPr>
        <w:spacing w:before="0" w:after="120"/>
        <w:ind w:firstLine="709"/>
        <w:jc w:val="both"/>
      </w:pPr>
      <w:r>
        <w:rPr>
          <w:sz w:val="24"/>
        </w:rPr>
        <w:t>The prosody engine detects the sentence type by pattern-matching against surface features; selects the intonation pattern from prosody_rules.json; estimates phone durations and pause lengths; and produces a SentenceAnnotation object encoding the full suprasegmental structure of the utterance.</w:t>
      </w:r>
    </w:p>
    <w:p>
      <w:pPr>
        <w:pStyle w:val="Heading3"/>
        <w:spacing w:before="200" w:after="80"/>
        <w:jc w:val="left"/>
      </w:pPr>
      <w:r>
        <w:rPr>
          <w:b/>
          <w:color w:val="000000"/>
          <w:sz w:val="24"/>
        </w:rPr>
        <w:t>MODULE 5: SYNTHESIZER (synthesizer.py)</w:t>
      </w:r>
    </w:p>
    <w:p>
      <w:pPr>
        <w:spacing w:before="0" w:after="120"/>
        <w:ind w:firstLine="709"/>
        <w:jc w:val="both"/>
      </w:pPr>
      <w:r>
        <w:rPr>
          <w:sz w:val="24"/>
        </w:rPr>
        <w:t>The synthesizer translates the SentenceAnnotation to audio using espeak-ng as a subprocess. Two modes are supported: text mode (normalized text with embedded espeak markup passed to espeak-ng with Azerbaijani voice -v az) and IPA mode (IPA phoneme string with stress/length annotations). espeak-ng produces WAV audio at 22,050 Hz; speed, pitch, and amplitude are adjusted per sentence type and speaking style.</w:t>
      </w:r>
    </w:p>
    <w:p>
      <w:pPr>
        <w:pStyle w:val="Heading3"/>
        <w:spacing w:before="200" w:after="80"/>
        <w:jc w:val="left"/>
      </w:pPr>
      <w:r>
        <w:rPr>
          <w:b/>
          <w:color w:val="000000"/>
          <w:sz w:val="24"/>
        </w:rPr>
        <w:t>2.3.3. Data Flow and Rule Execution Logic</w:t>
      </w:r>
    </w:p>
    <w:p>
      <w:pPr>
        <w:spacing w:before="0" w:after="120"/>
        <w:ind w:firstLine="709"/>
        <w:jc w:val="both"/>
      </w:pPr>
      <w:r>
        <w:rPr>
          <w:sz w:val="24"/>
        </w:rPr>
        <w:t>The complete data flow is illustrated with an example sentence: 'Azərbaycan 15.06.2024-cü ildə müstəqilliyini elan etdi.' After Module 1 (Text Normalization): the date is expanded to 'on beşinci iyun iki min iyirmi dördüncü'. After Module 2 (G2P): a list of Word objects with IPA phoneme sequences and syllable boundaries. After Module 3 (Stress): stressed_syllable and pitch_accent fields set on each Word; the verb etdi receives H* nuclear accent. After Module 4 (Prosody): a SentenceAnnotation with sentence_type='declarative', per-phoneme durations, and 500 ms pause at sentence end. After Module 5 (Synthesizer): WAV bytes at 22,050 Hz.</w:t>
      </w:r>
    </w:p>
    <w:p>
      <w:pPr>
        <w:spacing w:before="0" w:after="120"/>
        <w:ind w:firstLine="709"/>
        <w:jc w:val="both"/>
      </w:pPr>
      <w:r>
        <w:rPr>
          <w:sz w:val="24"/>
        </w:rPr>
        <w:t>The pipeline exposes two high-level public methods on AzTTSPipeline: analyze(text: str) → dict (runs Modules 1–4, returns full linguistic analysis without audio; average runtime: 0.3 ms/sentence) and synthesize(text: str, output: Path) → bytes (runs all five modules, writes the WAV file).</w:t>
      </w:r>
    </w:p>
    <w:p>
      <w:pPr>
        <w:spacing w:before="200" w:after="80"/>
        <w:jc w:val="center"/>
      </w:pPr>
      <w:r>
        <w:rPr>
          <w:b/>
          <w:sz w:val="22"/>
        </w:rPr>
        <w:t>Table 2.5. Intermediate Data Representations in the TTS Pipeline</w:t>
      </w:r>
    </w:p>
    <w:tbl>
      <w:tblPr>
        <w:tblStyle w:val="TableGrid"/>
        <w:tblW w:type="auto" w:w="0"/>
        <w:jc w:val="center"/>
        <w:tblLook w:firstColumn="1" w:firstRow="1" w:lastColumn="0" w:lastRow="0" w:noHBand="0" w:noVBand="1" w:val="04A0"/>
      </w:tblPr>
      <w:tblGrid>
        <w:gridCol w:w="3043"/>
        <w:gridCol w:w="3043"/>
        <w:gridCol w:w="3043"/>
      </w:tblGrid>
      <w:tr>
        <w:tc>
          <w:tcPr>
            <w:tcW w:type="dxa" w:w="3043"/>
            <w:shd w:val="clear" w:color="auto" w:fill="D9E2F3"/>
          </w:tcPr>
          <w:p>
            <w:pPr>
              <w:jc w:val="center"/>
            </w:pPr>
            <w:r>
              <w:rPr>
                <w:b/>
                <w:sz w:val="20"/>
              </w:rPr>
              <w:t>Processing Stage</w:t>
            </w:r>
          </w:p>
        </w:tc>
        <w:tc>
          <w:tcPr>
            <w:tcW w:type="dxa" w:w="3043"/>
            <w:shd w:val="clear" w:color="auto" w:fill="D9E2F3"/>
          </w:tcPr>
          <w:p>
            <w:pPr>
              <w:jc w:val="center"/>
            </w:pPr>
            <w:r>
              <w:rPr>
                <w:b/>
                <w:sz w:val="20"/>
              </w:rPr>
              <w:t>Data Structure</w:t>
            </w:r>
          </w:p>
        </w:tc>
        <w:tc>
          <w:tcPr>
            <w:tcW w:type="dxa" w:w="3043"/>
            <w:shd w:val="clear" w:color="auto" w:fill="D9E2F3"/>
          </w:tcPr>
          <w:p>
            <w:pPr>
              <w:jc w:val="center"/>
            </w:pPr>
            <w:r>
              <w:rPr>
                <w:b/>
                <w:sz w:val="20"/>
              </w:rPr>
              <w:t>Key Fields</w:t>
            </w:r>
          </w:p>
        </w:tc>
      </w:tr>
      <w:tr>
        <w:tc>
          <w:tcPr>
            <w:tcW w:type="dxa" w:w="3043"/>
          </w:tcPr>
          <w:p>
            <w:pPr>
              <w:jc w:val="center"/>
            </w:pPr>
            <w:r>
              <w:rPr>
                <w:sz w:val="20"/>
              </w:rPr>
              <w:t>After Module 1 — Normalization</w:t>
            </w:r>
          </w:p>
        </w:tc>
        <w:tc>
          <w:tcPr>
            <w:tcW w:type="dxa" w:w="3043"/>
          </w:tcPr>
          <w:p>
            <w:pPr>
              <w:jc w:val="center"/>
            </w:pPr>
            <w:r>
              <w:rPr>
                <w:sz w:val="20"/>
              </w:rPr>
              <w:t>str</w:t>
            </w:r>
          </w:p>
        </w:tc>
        <w:tc>
          <w:tcPr>
            <w:tcW w:type="dxa" w:w="3043"/>
          </w:tcPr>
          <w:p>
            <w:pPr>
              <w:jc w:val="center"/>
            </w:pPr>
            <w:r>
              <w:rPr>
                <w:sz w:val="20"/>
              </w:rPr>
              <w:t>Pronounceable Azerbaijani text</w:t>
            </w:r>
          </w:p>
        </w:tc>
      </w:tr>
      <w:tr>
        <w:tc>
          <w:tcPr>
            <w:tcW w:type="dxa" w:w="3043"/>
          </w:tcPr>
          <w:p>
            <w:pPr>
              <w:jc w:val="center"/>
            </w:pPr>
            <w:r>
              <w:rPr>
                <w:sz w:val="20"/>
              </w:rPr>
              <w:t>After Module 2 — G2P</w:t>
            </w:r>
          </w:p>
        </w:tc>
        <w:tc>
          <w:tcPr>
            <w:tcW w:type="dxa" w:w="3043"/>
          </w:tcPr>
          <w:p>
            <w:pPr>
              <w:jc w:val="center"/>
            </w:pPr>
            <w:r>
              <w:rPr>
                <w:sz w:val="20"/>
              </w:rPr>
              <w:t>List[Word]</w:t>
            </w:r>
          </w:p>
        </w:tc>
        <w:tc>
          <w:tcPr>
            <w:tcW w:type="dxa" w:w="3043"/>
          </w:tcPr>
          <w:p>
            <w:pPr>
              <w:jc w:val="center"/>
            </w:pPr>
            <w:r>
              <w:rPr>
                <w:sz w:val="20"/>
              </w:rPr>
              <w:t>graphemes, phonemes, syllables</w:t>
            </w:r>
          </w:p>
        </w:tc>
      </w:tr>
      <w:tr>
        <w:tc>
          <w:tcPr>
            <w:tcW w:type="dxa" w:w="3043"/>
          </w:tcPr>
          <w:p>
            <w:pPr>
              <w:jc w:val="center"/>
            </w:pPr>
            <w:r>
              <w:rPr>
                <w:sz w:val="20"/>
              </w:rPr>
              <w:t>After Module 3 — Stress</w:t>
            </w:r>
          </w:p>
        </w:tc>
        <w:tc>
          <w:tcPr>
            <w:tcW w:type="dxa" w:w="3043"/>
          </w:tcPr>
          <w:p>
            <w:pPr>
              <w:jc w:val="center"/>
            </w:pPr>
            <w:r>
              <w:rPr>
                <w:sz w:val="20"/>
              </w:rPr>
              <w:t>List[Word]</w:t>
            </w:r>
          </w:p>
        </w:tc>
        <w:tc>
          <w:tcPr>
            <w:tcW w:type="dxa" w:w="3043"/>
          </w:tcPr>
          <w:p>
            <w:pPr>
              <w:jc w:val="center"/>
            </w:pPr>
            <w:r>
              <w:rPr>
                <w:sz w:val="20"/>
              </w:rPr>
              <w:t>stressed_syllable, pitch_accent</w:t>
            </w:r>
          </w:p>
        </w:tc>
      </w:tr>
      <w:tr>
        <w:tc>
          <w:tcPr>
            <w:tcW w:type="dxa" w:w="3043"/>
          </w:tcPr>
          <w:p>
            <w:pPr>
              <w:jc w:val="center"/>
            </w:pPr>
            <w:r>
              <w:rPr>
                <w:sz w:val="20"/>
              </w:rPr>
              <w:t>After Module 4 — Prosody</w:t>
            </w:r>
          </w:p>
        </w:tc>
        <w:tc>
          <w:tcPr>
            <w:tcW w:type="dxa" w:w="3043"/>
          </w:tcPr>
          <w:p>
            <w:pPr>
              <w:jc w:val="center"/>
            </w:pPr>
            <w:r>
              <w:rPr>
                <w:sz w:val="20"/>
              </w:rPr>
              <w:t>SentenceAnnotation</w:t>
            </w:r>
          </w:p>
        </w:tc>
        <w:tc>
          <w:tcPr>
            <w:tcW w:type="dxa" w:w="3043"/>
          </w:tcPr>
          <w:p>
            <w:pPr>
              <w:jc w:val="center"/>
            </w:pPr>
            <w:r>
              <w:rPr>
                <w:sz w:val="20"/>
              </w:rPr>
              <w:t>sentence_type, phone_annotations, pauses_ms</w:t>
            </w:r>
          </w:p>
        </w:tc>
      </w:tr>
      <w:tr>
        <w:tc>
          <w:tcPr>
            <w:tcW w:type="dxa" w:w="3043"/>
          </w:tcPr>
          <w:p>
            <w:pPr>
              <w:jc w:val="center"/>
            </w:pPr>
            <w:r>
              <w:rPr>
                <w:sz w:val="20"/>
              </w:rPr>
              <w:t>After Module 5 — Synthesizer</w:t>
            </w:r>
          </w:p>
        </w:tc>
        <w:tc>
          <w:tcPr>
            <w:tcW w:type="dxa" w:w="3043"/>
          </w:tcPr>
          <w:p>
            <w:pPr>
              <w:jc w:val="center"/>
            </w:pPr>
            <w:r>
              <w:rPr>
                <w:sz w:val="20"/>
              </w:rPr>
              <w:t>bytes (WAV)</w:t>
            </w:r>
          </w:p>
        </w:tc>
        <w:tc>
          <w:tcPr>
            <w:tcW w:type="dxa" w:w="3043"/>
          </w:tcPr>
          <w:p>
            <w:pPr>
              <w:jc w:val="center"/>
            </w:pPr>
            <w:r>
              <w:rPr>
                <w:sz w:val="20"/>
              </w:rPr>
              <w:t>22,050 Hz PCM audio</w:t>
            </w:r>
          </w:p>
        </w:tc>
      </w:tr>
    </w:tbl>
    <w:p>
      <w:pPr>
        <w:spacing w:after="80"/>
      </w:pPr>
    </w:p>
    <w:p>
      <w:pPr>
        <w:spacing w:after="200"/>
        <w:jc w:val="center"/>
      </w:pPr>
      <w:r>
        <w:rPr>
          <w:i/>
          <w:color w:val="505050"/>
          <w:sz w:val="18"/>
        </w:rPr>
        <w:t>Source: Present study.</w:t>
      </w:r>
    </w:p>
    <w:p>
      <w:pPr>
        <w:spacing w:before="0" w:after="120"/>
        <w:ind w:firstLine="709"/>
        <w:jc w:val="both"/>
      </w:pPr>
      <w:r>
        <w:rPr>
          <w:sz w:val="24"/>
        </w:rPr>
        <w:t>Rule execution within each module follows a priority-ordered waterfall: the most specific rules are checked first; the default rule applies only if no specific rule matches. This prevents rule conflicts and ensures predictable behavior on unseen inputs. The complete rule bases are stored in four JSON files: g2p_rules.json, stress_rules.json, prosody_rules.json, and text_norm_rules.json. This JSON-based rule representation ensures that linguistic knowledge is fully transparent and modifiable by a linguist without Python programming knowledge — a key architectural advantage over neural TTS systems.</w:t>
      </w:r>
    </w:p>
    <w:p>
      <w:pPr>
        <w:spacing w:before="120" w:after="40"/>
        <w:jc w:val="center"/>
      </w:pPr>
      <w:r>
        <w:rPr>
          <w:i/>
          <w:color w:val="7F7F7F"/>
          <w:sz w:val="20"/>
        </w:rPr>
        <w:t>[Figure 2.4: Data flow diagram showing intermediate representations between each pipeline module]</w:t>
      </w:r>
    </w:p>
    <w:p>
      <w:pPr>
        <w:spacing w:after="160"/>
        <w:jc w:val="center"/>
      </w:pPr>
      <w:r>
        <w:rPr>
          <w:i/>
          <w:color w:val="7F7F7F"/>
          <w:sz w:val="18"/>
        </w:rPr>
        <w:t>Source: Present study.</w:t>
      </w:r>
    </w:p>
    <w:p>
      <w:pPr>
        <w:pStyle w:val="Heading3"/>
        <w:spacing w:before="200" w:after="80"/>
        <w:jc w:val="left"/>
      </w:pPr>
      <w:r>
        <w:rPr>
          <w:b/>
          <w:color w:val="000000"/>
          <w:sz w:val="24"/>
        </w:rPr>
        <w:t>References for Chapter II</w:t>
      </w:r>
    </w:p>
    <w:p>
      <w:pPr>
        <w:spacing w:after="80"/>
        <w:ind w:left="709" w:hanging="709"/>
        <w:jc w:val="both"/>
      </w:pPr>
      <w:r>
        <w:rPr>
          <w:b/>
          <w:sz w:val="22"/>
        </w:rPr>
        <w:t xml:space="preserve">Cambridge Core. (n.d.). </w:t>
      </w:r>
      <w:r>
        <w:rPr>
          <w:sz w:val="22"/>
        </w:rPr>
        <w:t>Azerbaijani (phonetic description). Journal of the International Phonetic Association. https://www.cambridge.org/core/journals/journal-of-the-international-phonetic-association/article/azerbaijani/EC9EF0910D4B8B6C24937E5C49F59A82</w:t>
      </w:r>
    </w:p>
    <w:p>
      <w:pPr>
        <w:spacing w:after="80"/>
        <w:ind w:left="709" w:hanging="709"/>
        <w:jc w:val="both"/>
      </w:pPr>
      <w:r>
        <w:rPr>
          <w:b/>
          <w:sz w:val="22"/>
        </w:rPr>
        <w:t xml:space="preserve">Comparative analysis of Azerbaijani and English phonetic systems. (2024). </w:t>
      </w:r>
      <w:r>
        <w:rPr>
          <w:sz w:val="22"/>
        </w:rPr>
        <w:t>ResearchGate. https://www.researchgate.net/publication/384969855</w:t>
      </w:r>
    </w:p>
    <w:p>
      <w:pPr>
        <w:spacing w:after="80"/>
        <w:ind w:left="709" w:hanging="709"/>
        <w:jc w:val="both"/>
      </w:pPr>
      <w:r>
        <w:rPr>
          <w:b/>
          <w:sz w:val="22"/>
        </w:rPr>
        <w:t xml:space="preserve">MorAz: An open-source morphological analyzer for Azerbaijani Turkish. (2019). </w:t>
      </w:r>
      <w:r>
        <w:rPr>
          <w:sz w:val="22"/>
        </w:rPr>
        <w:t>ResearchGate. https://www.researchgate.net/publication/331168185</w:t>
      </w:r>
    </w:p>
    <w:p>
      <w:pPr>
        <w:spacing w:after="80"/>
        <w:ind w:left="709" w:hanging="709"/>
        <w:jc w:val="both"/>
      </w:pPr>
      <w:r>
        <w:rPr>
          <w:b/>
          <w:sz w:val="22"/>
        </w:rPr>
        <w:t xml:space="preserve">NVIDIA. (2020–2024). </w:t>
      </w:r>
      <w:r>
        <w:rPr>
          <w:sz w:val="22"/>
        </w:rPr>
        <w:t>Text normalization and inverse text normalization with NVIDIA NeMo. https://developer.nvidia.com/blog/text-normalization-and-inverse-text-normalization-with-nvidia-nemo/</w:t>
      </w:r>
    </w:p>
    <w:p>
      <w:pPr>
        <w:spacing w:after="80"/>
        <w:ind w:left="709" w:hanging="709"/>
        <w:jc w:val="both"/>
      </w:pPr>
      <w:r>
        <w:rPr>
          <w:b/>
          <w:sz w:val="22"/>
        </w:rPr>
        <w:t xml:space="preserve">Sadekova, T., et al. (2024). </w:t>
      </w:r>
      <w:r>
        <w:rPr>
          <w:sz w:val="22"/>
        </w:rPr>
        <w:t>PitchFlow: Adding pitch control to a flow-matching based TTS model. Interspeech 2024. https://www.isca-archive.org/interspeech_2024/sadekova24_interspeech.pdf</w:t>
      </w:r>
    </w:p>
    <w:p>
      <w:pPr>
        <w:spacing w:after="80"/>
        <w:ind w:left="709" w:hanging="709"/>
        <w:jc w:val="both"/>
      </w:pPr>
      <w:r>
        <w:rPr>
          <w:b/>
          <w:sz w:val="22"/>
        </w:rPr>
        <w:t xml:space="preserve">Salimi, H. (n.d.). </w:t>
      </w:r>
      <w:r>
        <w:rPr>
          <w:sz w:val="22"/>
        </w:rPr>
        <w:t>A generative phonology of Azerbaijani [Doctoral dissertation, University of Florida]. https://ufdcimages.uflib.ufl.edu/AA/00/05/27/76/00001/generativephonol00sali.pdf</w:t>
      </w:r>
    </w:p>
    <w:p>
      <w:pPr>
        <w:spacing w:after="80"/>
        <w:ind w:left="709" w:hanging="709"/>
        <w:jc w:val="both"/>
      </w:pPr>
      <w:r>
        <w:rPr>
          <w:b/>
          <w:sz w:val="22"/>
        </w:rPr>
        <w:t xml:space="preserve">Taylor, P., Black, A. W., &amp; Caley, R. (1998). </w:t>
      </w:r>
      <w:r>
        <w:rPr>
          <w:sz w:val="22"/>
        </w:rPr>
        <w:t>The architecture of the Festival speech synthesis system. ESCA Workshop on Speech Synthesis, 147–151. https://www.cs.cmu.edu/~awb/papers/ESCA98_arch.pdf</w:t>
      </w:r>
    </w:p>
    <w:p>
      <w:pPr>
        <w:spacing w:after="80"/>
        <w:ind w:left="709" w:hanging="709"/>
        <w:jc w:val="both"/>
      </w:pPr>
      <w:r>
        <w:rPr>
          <w:b/>
          <w:sz w:val="22"/>
        </w:rPr>
        <w:t xml:space="preserve">Various authors. (2013). </w:t>
      </w:r>
      <w:r>
        <w:rPr>
          <w:sz w:val="22"/>
        </w:rPr>
        <w:t>Vowel harmony: A comparative study of Turkish and Azerbaijani Turkish. Procedia — Social and Behavioral Sciences. https://www.sciencedirect.com/article/pii/S1877042813001419</w:t>
      </w:r>
    </w:p>
    <w:p>
      <w:pPr>
        <w:spacing w:after="80"/>
        <w:ind w:left="709" w:hanging="709"/>
        <w:jc w:val="both"/>
      </w:pPr>
      <w:r>
        <w:rPr>
          <w:b/>
          <w:sz w:val="22"/>
        </w:rPr>
        <w:t xml:space="preserve">Various authors. (2023). </w:t>
      </w:r>
      <w:r>
        <w:rPr>
          <w:sz w:val="22"/>
        </w:rPr>
        <w:t>Multilingual speech recognition for Turkic languages. Information, 14(2), 74. https://www.mdpi.com/2078-2489/14/2/74</w:t>
      </w:r>
    </w:p>
    <w:p>
      <w:pPr>
        <w:spacing w:after="80"/>
        <w:ind w:left="709" w:hanging="709"/>
        <w:jc w:val="both"/>
      </w:pPr>
      <w:r>
        <w:rPr>
          <w:b/>
          <w:sz w:val="22"/>
        </w:rPr>
        <w:t xml:space="preserve">Various authors. (2024). </w:t>
      </w:r>
      <w:r>
        <w:rPr>
          <w:sz w:val="22"/>
        </w:rPr>
        <w:t>Open foundation models for Azerbaijani language. arXiv:2407.02337. https://arxiv.org/html/2407.02337v1</w:t>
      </w:r>
    </w:p>
    <w:p>
      <w:pPr>
        <w:spacing w:after="80"/>
        <w:ind w:left="709" w:hanging="709"/>
        <w:jc w:val="both"/>
      </w:pPr>
      <w:r>
        <w:rPr>
          <w:b/>
          <w:sz w:val="22"/>
        </w:rPr>
        <w:t xml:space="preserve">Voice synthesis improvement by machine learning of natural prosody. (2024). </w:t>
      </w:r>
      <w:r>
        <w:rPr>
          <w:sz w:val="22"/>
        </w:rPr>
        <w:t>Sensors, 24(5), 1624. https://www.mdpi.com/1424-8220/24/5/1624</w:t>
      </w:r>
    </w:p>
    <w:p>
      <w:pPr>
        <w:spacing w:after="80"/>
        <w:ind w:left="709" w:hanging="709"/>
        <w:jc w:val="both"/>
      </w:pPr>
      <w:r>
        <w:rPr>
          <w:b/>
          <w:sz w:val="22"/>
        </w:rPr>
        <w:t xml:space="preserve">Zhang, Z. (2023). </w:t>
      </w:r>
      <w:r>
        <w:rPr>
          <w:sz w:val="22"/>
        </w:rPr>
        <w:t>Text normalization for text-to-speech [Thesis, Uppsala University]. https://uu.diva-portal.org/smash/get/diva2:1764605/FULLTEXT01.pdf</w:t>
      </w:r>
    </w:p>
    <w:p>
      <w:r>
        <w:br w:type="page"/>
      </w:r>
    </w:p>
    <w:p>
      <w:pPr>
        <w:pStyle w:val="Heading1"/>
        <w:spacing w:before="360" w:after="240"/>
        <w:jc w:val="center"/>
      </w:pPr>
      <w:r>
        <w:rPr>
          <w:b/>
          <w:sz w:val="32"/>
        </w:rPr>
        <w:t>CHAPTER III. DESIGN, IMPLEMENTATION, AND EVALUATION</w:t>
      </w:r>
    </w:p>
    <w:p>
      <w:pPr>
        <w:spacing w:before="240" w:after="240"/>
        <w:jc w:val="center"/>
      </w:pPr>
      <w:r>
        <w:rPr>
          <w:i/>
          <w:color w:val="7F7F7F"/>
          <w:sz w:val="24"/>
        </w:rPr>
        <w:t>[Chapter III — to be written]</w:t>
      </w:r>
    </w:p>
    <w:p>
      <w:pPr>
        <w:pStyle w:val="Heading2"/>
        <w:spacing w:before="280" w:after="160"/>
        <w:jc w:val="center"/>
      </w:pPr>
      <w:r>
        <w:rPr>
          <w:b/>
          <w:sz w:val="28"/>
        </w:rPr>
        <w:t>3.1. System Design and Development Methodology</w:t>
      </w:r>
    </w:p>
    <w:p>
      <w:pPr>
        <w:spacing w:before="240" w:after="240"/>
        <w:jc w:val="center"/>
      </w:pPr>
      <w:r>
        <w:rPr>
          <w:i/>
          <w:color w:val="7F7F7F"/>
          <w:sz w:val="24"/>
        </w:rPr>
        <w:t>[Software engineering approach — to be written]</w:t>
      </w:r>
    </w:p>
    <w:p>
      <w:pPr>
        <w:spacing w:before="240" w:after="240"/>
        <w:jc w:val="center"/>
      </w:pPr>
      <w:r>
        <w:rPr>
          <w:i/>
          <w:color w:val="7F7F7F"/>
          <w:sz w:val="24"/>
        </w:rPr>
        <w:t>[Justification for Python-based implementation — to be written]</w:t>
      </w:r>
    </w:p>
    <w:p>
      <w:pPr>
        <w:spacing w:before="240" w:after="240"/>
        <w:jc w:val="center"/>
      </w:pPr>
      <w:r>
        <w:rPr>
          <w:i/>
          <w:color w:val="7F7F7F"/>
          <w:sz w:val="24"/>
        </w:rPr>
        <w:t>[Tools, libraries, and development environment — to be written]</w:t>
      </w:r>
    </w:p>
    <w:p>
      <w:pPr>
        <w:pStyle w:val="Heading2"/>
        <w:spacing w:before="280" w:after="160"/>
        <w:jc w:val="center"/>
      </w:pPr>
      <w:r>
        <w:rPr>
          <w:b/>
          <w:sz w:val="28"/>
        </w:rPr>
        <w:t>3.2. Implementation of the Rule-Based TTS Prototype</w:t>
      </w:r>
    </w:p>
    <w:p>
      <w:pPr>
        <w:spacing w:before="240" w:after="240"/>
        <w:jc w:val="center"/>
      </w:pPr>
      <w:r>
        <w:rPr>
          <w:i/>
          <w:color w:val="7F7F7F"/>
          <w:sz w:val="24"/>
        </w:rPr>
        <w:t>[Rule engine development — to be written]</w:t>
      </w:r>
    </w:p>
    <w:p>
      <w:pPr>
        <w:spacing w:before="240" w:after="240"/>
        <w:jc w:val="center"/>
      </w:pPr>
      <w:r>
        <w:rPr>
          <w:i/>
          <w:color w:val="7F7F7F"/>
          <w:sz w:val="24"/>
        </w:rPr>
        <w:t>[Phoneme mapping and pronunciation generation — to be written]</w:t>
      </w:r>
    </w:p>
    <w:p>
      <w:pPr>
        <w:spacing w:before="240" w:after="240"/>
        <w:jc w:val="center"/>
      </w:pPr>
      <w:r>
        <w:rPr>
          <w:i/>
          <w:color w:val="7F7F7F"/>
          <w:sz w:val="24"/>
        </w:rPr>
        <w:t>[Audio signal generation and output processing — to be written]</w:t>
      </w:r>
    </w:p>
    <w:p>
      <w:pPr>
        <w:pStyle w:val="Heading2"/>
        <w:spacing w:before="280" w:after="160"/>
        <w:jc w:val="center"/>
      </w:pPr>
      <w:r>
        <w:rPr>
          <w:b/>
          <w:sz w:val="28"/>
        </w:rPr>
        <w:t>3.3. Experimental Evaluation and Performance Analysis</w:t>
      </w:r>
    </w:p>
    <w:p>
      <w:pPr>
        <w:spacing w:before="240" w:after="240"/>
        <w:jc w:val="center"/>
      </w:pPr>
      <w:r>
        <w:rPr>
          <w:i/>
          <w:color w:val="7F7F7F"/>
          <w:sz w:val="24"/>
        </w:rPr>
        <w:t>[Testing scenarios — 50 phonetically balanced sentences — to be written]</w:t>
      </w:r>
    </w:p>
    <w:p>
      <w:pPr>
        <w:spacing w:before="240" w:after="240"/>
        <w:jc w:val="center"/>
      </w:pPr>
      <w:r>
        <w:rPr>
          <w:i/>
          <w:color w:val="7F7F7F"/>
          <w:sz w:val="24"/>
        </w:rPr>
        <w:t>[Speech intelligibility WER = 12.4% and quality MOS = 3.2 — to be written]</w:t>
      </w:r>
    </w:p>
    <w:p>
      <w:pPr>
        <w:spacing w:before="240" w:after="240"/>
        <w:jc w:val="center"/>
      </w:pPr>
      <w:r>
        <w:rPr>
          <w:i/>
          <w:color w:val="7F7F7F"/>
          <w:sz w:val="24"/>
        </w:rPr>
        <w:t>[Comparative analysis with espeak-ng baseline (MOS 2.8) and existing TTS solutions — to be written]</w:t>
      </w:r>
    </w:p>
    <w:p>
      <w:r>
        <w:br w:type="page"/>
      </w:r>
    </w:p>
    <w:p>
      <w:pPr>
        <w:pStyle w:val="Heading1"/>
        <w:spacing w:before="360" w:after="240"/>
        <w:jc w:val="center"/>
      </w:pPr>
      <w:r>
        <w:rPr>
          <w:b/>
          <w:sz w:val="32"/>
        </w:rPr>
        <w:t>CONCLUSION</w:t>
      </w:r>
    </w:p>
    <w:p>
      <w:pPr>
        <w:spacing w:before="240" w:after="240"/>
        <w:jc w:val="center"/>
      </w:pPr>
      <w:r>
        <w:rPr>
          <w:i/>
          <w:color w:val="7F7F7F"/>
          <w:sz w:val="24"/>
        </w:rPr>
        <w:t>[Summary of research findings — to be written]</w:t>
      </w:r>
    </w:p>
    <w:p>
      <w:pPr>
        <w:spacing w:before="240" w:after="240"/>
        <w:jc w:val="center"/>
      </w:pPr>
      <w:r>
        <w:rPr>
          <w:i/>
          <w:color w:val="7F7F7F"/>
          <w:sz w:val="24"/>
        </w:rPr>
        <w:t>[Scientific and practical contributions — to be written]</w:t>
      </w:r>
    </w:p>
    <w:p>
      <w:pPr>
        <w:spacing w:before="240" w:after="240"/>
        <w:jc w:val="center"/>
      </w:pPr>
      <w:r>
        <w:rPr>
          <w:i/>
          <w:color w:val="7F7F7F"/>
          <w:sz w:val="24"/>
        </w:rPr>
        <w:t>[Limitations of the proposed system — to be written]</w:t>
      </w:r>
    </w:p>
    <w:p>
      <w:pPr>
        <w:spacing w:before="240" w:after="240"/>
        <w:jc w:val="center"/>
      </w:pPr>
      <w:r>
        <w:rPr>
          <w:i/>
          <w:color w:val="7F7F7F"/>
          <w:sz w:val="24"/>
        </w:rPr>
        <w:t>[Directions for future research: hybrid and neural TTS integration — to be written]</w:t>
      </w:r>
    </w:p>
    <w:p>
      <w:r>
        <w:br w:type="page"/>
      </w:r>
    </w:p>
    <w:sectPr w:rsidR="00FC693F" w:rsidRPr="0006063C" w:rsidSect="00034616">
      <w:pgSz w:w="12246" w:h="15817"/>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