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0BCC" w14:textId="0CFB2185" w:rsidR="009623AA" w:rsidRPr="001424C4" w:rsidRDefault="009623AA" w:rsidP="009623AA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505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Supplemental Materials: Heavy Metals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Tra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jectories of 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>Anti-</w:t>
      </w:r>
      <w:r w:rsidRPr="006210E8">
        <w:rPr>
          <w:rFonts w:ascii="Times New Roman" w:hAnsi="Times New Roman" w:cs="Times New Roman"/>
          <w:b/>
          <w:bCs/>
          <w:sz w:val="28"/>
          <w:szCs w:val="28"/>
        </w:rPr>
        <w:t>Müllerian Hormone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10E8">
        <w:rPr>
          <w:rFonts w:ascii="Times New Roman" w:hAnsi="Times New Roman" w:cs="Times New Roman"/>
          <w:b/>
          <w:bCs/>
          <w:sz w:val="28"/>
          <w:szCs w:val="28"/>
        </w:rPr>
        <w:t>during the Menopausal Transition</w:t>
      </w:r>
      <w:r>
        <w:rPr>
          <w:rFonts w:ascii="Times New Roman" w:hAnsi="Times New Roman" w:cs="Times New Roman"/>
          <w:b/>
          <w:bCs/>
          <w:sz w:val="28"/>
          <w:szCs w:val="28"/>
        </w:rPr>
        <w:t>: The Study of Women’s Health Across the Nation</w:t>
      </w:r>
    </w:p>
    <w:p w14:paraId="258A5A51" w14:textId="77777777" w:rsidR="009623AA" w:rsidRPr="00507654" w:rsidRDefault="009623AA" w:rsidP="009623AA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  <w:vertAlign w:val="superscript"/>
        </w:rPr>
      </w:pPr>
      <w:r w:rsidRPr="0055342A">
        <w:rPr>
          <w:rFonts w:ascii="Times New Roman" w:hAnsi="Times New Roman" w:hint="eastAsia"/>
          <w:i/>
          <w:sz w:val="24"/>
        </w:rPr>
        <w:t>Ning Ding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>
        <w:rPr>
          <w:rFonts w:ascii="Times New Roman" w:hAnsi="Times New Roman"/>
          <w:i/>
          <w:sz w:val="24"/>
          <w:vertAlign w:val="superscript"/>
        </w:rPr>
        <w:t>*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 w:hint="eastAsia"/>
          <w:i/>
          <w:sz w:val="24"/>
          <w:szCs w:val="24"/>
        </w:rPr>
        <w:t>Xin</w:t>
      </w:r>
      <w:r>
        <w:rPr>
          <w:rFonts w:ascii="Times New Roman" w:hAnsi="Times New Roman"/>
          <w:i/>
          <w:sz w:val="24"/>
          <w:szCs w:val="24"/>
        </w:rPr>
        <w:t xml:space="preserve"> Wang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>
        <w:rPr>
          <w:rFonts w:ascii="Times New Roman" w:hAnsi="Times New Roman"/>
          <w:i/>
          <w:sz w:val="24"/>
          <w:vertAlign w:val="superscript"/>
        </w:rPr>
        <w:t>*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Siobán</w:t>
      </w:r>
      <w:proofErr w:type="spellEnd"/>
      <w:r w:rsidRPr="0055342A">
        <w:rPr>
          <w:rFonts w:ascii="Times New Roman" w:hAnsi="Times New Roman"/>
          <w:i/>
          <w:sz w:val="24"/>
          <w:szCs w:val="24"/>
        </w:rPr>
        <w:t xml:space="preserve"> D. Harlow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John </w:t>
      </w:r>
      <w:r w:rsidRPr="0055342A">
        <w:rPr>
          <w:rFonts w:ascii="Times New Roman" w:hAnsi="Times New Roman"/>
          <w:i/>
          <w:sz w:val="24"/>
        </w:rPr>
        <w:t xml:space="preserve">F. </w:t>
      </w:r>
      <w:r w:rsidRPr="0055342A">
        <w:rPr>
          <w:rFonts w:ascii="Times New Roman" w:hAnsi="Times New Roman" w:hint="eastAsia"/>
          <w:i/>
          <w:sz w:val="24"/>
        </w:rPr>
        <w:t>Randolph</w:t>
      </w:r>
      <w:r w:rsidRPr="0055342A">
        <w:rPr>
          <w:rFonts w:ascii="Times New Roman" w:hAnsi="Times New Roman"/>
          <w:i/>
          <w:sz w:val="24"/>
        </w:rPr>
        <w:t xml:space="preserve"> Jr.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2</w:t>
      </w:r>
      <w:r w:rsidRPr="0055342A">
        <w:rPr>
          <w:rFonts w:ascii="Times New Roman" w:hAnsi="Times New Roman"/>
          <w:i/>
          <w:sz w:val="24"/>
          <w:szCs w:val="24"/>
        </w:rPr>
        <w:t>,</w:t>
      </w:r>
      <w:r w:rsidRPr="0081360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Ellen B. Gold</w:t>
      </w:r>
      <w:r>
        <w:rPr>
          <w:rFonts w:ascii="Times New Roman" w:hAnsi="Times New Roman"/>
          <w:i/>
          <w:sz w:val="24"/>
          <w:szCs w:val="24"/>
          <w:vertAlign w:val="superscript"/>
        </w:rPr>
        <w:t>3</w:t>
      </w:r>
      <w:r>
        <w:rPr>
          <w:rFonts w:ascii="Times New Roman" w:hAnsi="Times New Roman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i/>
          <w:sz w:val="24"/>
        </w:rPr>
        <w:t>Sung Kyun Park</w:t>
      </w:r>
      <w:r>
        <w:rPr>
          <w:rFonts w:ascii="Times New Roman" w:hAnsi="Times New Roman"/>
          <w:i/>
          <w:sz w:val="24"/>
          <w:vertAlign w:val="superscript"/>
        </w:rPr>
        <w:t>1,4</w:t>
      </w:r>
    </w:p>
    <w:p w14:paraId="104CD707" w14:textId="77777777" w:rsidR="009623AA" w:rsidRPr="0055342A" w:rsidRDefault="009623AA" w:rsidP="009623AA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Department of Epidemiology, School of Public Health, University of Michigan, Ann Arbor, MI</w:t>
      </w:r>
    </w:p>
    <w:p w14:paraId="6EE1DE50" w14:textId="77777777" w:rsidR="009623AA" w:rsidRDefault="009623AA" w:rsidP="009623AA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Department of Obstetrics and Gynecology, School of Medicine, University of Michigan, Ann Arbor, MI</w:t>
      </w:r>
    </w:p>
    <w:p w14:paraId="6A1A9ACC" w14:textId="77777777" w:rsidR="009623AA" w:rsidRPr="0055342A" w:rsidRDefault="009623AA" w:rsidP="009623AA">
      <w:pPr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5C4239">
        <w:rPr>
          <w:rFonts w:ascii="Times New Roman" w:hAnsi="Times New Roman"/>
          <w:sz w:val="24"/>
          <w:szCs w:val="24"/>
        </w:rPr>
        <w:t>Department of Public Health Sciences, University of California, Davis, School of Medicine, Davis, CA</w:t>
      </w:r>
    </w:p>
    <w:p w14:paraId="45F4F35C" w14:textId="292AAE73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4 </w:t>
      </w:r>
      <w:r w:rsidRPr="0055342A">
        <w:rPr>
          <w:rFonts w:ascii="Times New Roman" w:hAnsi="Times New Roman"/>
          <w:sz w:val="24"/>
          <w:szCs w:val="24"/>
        </w:rPr>
        <w:t>Department of Environmental Health Sciences, School of Public Health, University of Michigan, Ann Arbor, MI</w:t>
      </w:r>
    </w:p>
    <w:p w14:paraId="03FA347E" w14:textId="77777777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BDD84EB" w14:textId="374690B8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Pr="00AA32F1">
        <w:rPr>
          <w:rFonts w:ascii="Times New Roman" w:hAnsi="Times New Roman"/>
          <w:sz w:val="24"/>
          <w:szCs w:val="24"/>
        </w:rPr>
        <w:t>These authors contributed equally to this work.</w:t>
      </w:r>
    </w:p>
    <w:p w14:paraId="4A7B92CD" w14:textId="77777777" w:rsidR="009623AA" w:rsidRPr="0055342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C413144" w14:textId="77777777" w:rsidR="009623AA" w:rsidRDefault="009623AA" w:rsidP="009623AA">
      <w:pPr>
        <w:widowControl w:val="0"/>
        <w:adjustRightInd w:val="0"/>
        <w:snapToGrid w:val="0"/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E92C99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Pr="00E92C99">
        <w:rPr>
          <w:rFonts w:ascii="Times New Roman" w:hAnsi="Times New Roman" w:cs="Times New Roman"/>
          <w:sz w:val="24"/>
          <w:szCs w:val="24"/>
        </w:rPr>
        <w:t xml:space="preserve">: Sung Kyun Park, Department of Epidemiology, University of Michigan, M5541 SPH II, 1415 Washington Heights, Ann Arbor, MI 48109-2029. Phone: (734) 936-1719. Fax: (734)936-2084. E-mail: </w:t>
      </w:r>
      <w:hyperlink r:id="rId6" w:history="1">
        <w:r w:rsidRPr="00E92C99">
          <w:rPr>
            <w:rStyle w:val="Hyperlink"/>
            <w:rFonts w:ascii="Times New Roman" w:hAnsi="Times New Roman" w:cs="Times New Roman"/>
            <w:sz w:val="24"/>
            <w:szCs w:val="24"/>
          </w:rPr>
          <w:t>sungkyun@umich.edu</w:t>
        </w:r>
      </w:hyperlink>
      <w:r w:rsidRPr="00E92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B92BA" w14:textId="77777777" w:rsidR="009623AA" w:rsidRDefault="009623AA">
      <w:pPr>
        <w:sectPr w:rsidR="009623AA" w:rsidSect="007079B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6145F" w14:textId="10F080B4" w:rsidR="009623AA" w:rsidRDefault="009623AA" w:rsidP="009623A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3C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003F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73CA5">
        <w:rPr>
          <w:rFonts w:ascii="Times New Roman" w:hAnsi="Times New Roman" w:cs="Times New Roman"/>
          <w:sz w:val="24"/>
          <w:szCs w:val="24"/>
        </w:rPr>
        <w:t xml:space="preserve"> Percent changes (95% confidence intervals, 95% CIs) in a</w:t>
      </w:r>
      <w:r w:rsidRPr="00073CA5">
        <w:rPr>
          <w:rFonts w:ascii="Times New Roman" w:hAnsi="Times New Roman" w:cs="Times New Roman"/>
          <w:sz w:val="24"/>
        </w:rPr>
        <w:t>nti-Müllerian hormone</w:t>
      </w:r>
      <w:r w:rsidRPr="00073CA5">
        <w:rPr>
          <w:rFonts w:ascii="Times New Roman" w:hAnsi="Times New Roman" w:cs="Times New Roman"/>
          <w:sz w:val="24"/>
          <w:szCs w:val="24"/>
        </w:rPr>
        <w:t xml:space="preserve"> (AMH) concentrations and rates of changes by </w:t>
      </w:r>
      <w:proofErr w:type="spellStart"/>
      <w:r w:rsidRPr="00073CA5">
        <w:rPr>
          <w:rFonts w:ascii="Times New Roman" w:hAnsi="Times New Roman" w:cs="Times New Roman"/>
          <w:sz w:val="24"/>
          <w:szCs w:val="24"/>
        </w:rPr>
        <w:t>tertiles</w:t>
      </w:r>
      <w:proofErr w:type="spellEnd"/>
      <w:r w:rsidRPr="00073CA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urinary metal</w:t>
      </w:r>
      <w:r w:rsidRPr="00073CA5">
        <w:rPr>
          <w:rFonts w:ascii="Times New Roman" w:hAnsi="Times New Roman" w:cs="Times New Roman"/>
          <w:sz w:val="24"/>
          <w:szCs w:val="24"/>
        </w:rPr>
        <w:t xml:space="preserve"> concentrations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73CA5">
        <w:rPr>
          <w:rFonts w:ascii="Times New Roman" w:hAnsi="Times New Roman" w:cs="Times New Roman"/>
          <w:sz w:val="24"/>
          <w:szCs w:val="24"/>
        </w:rPr>
        <w:t>from multivariable linear mixed models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2AF0">
        <w:rPr>
          <w:rFonts w:ascii="Times New Roman" w:hAnsi="Times New Roman" w:cs="Times New Roman"/>
          <w:b/>
          <w:bCs/>
          <w:sz w:val="24"/>
          <w:szCs w:val="24"/>
        </w:rPr>
        <w:t>with further adjustment for rice and seafood consumption</w:t>
      </w:r>
      <w:r w:rsidRPr="00073C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4"/>
        <w:gridCol w:w="1338"/>
        <w:gridCol w:w="1975"/>
        <w:gridCol w:w="2160"/>
        <w:gridCol w:w="723"/>
        <w:gridCol w:w="1445"/>
        <w:gridCol w:w="1800"/>
        <w:gridCol w:w="1756"/>
        <w:gridCol w:w="669"/>
      </w:tblGrid>
      <w:tr w:rsidR="009623AA" w:rsidRPr="00073CA5" w14:paraId="49A20B4E" w14:textId="77777777" w:rsidTr="00426CCF">
        <w:tc>
          <w:tcPr>
            <w:tcW w:w="419" w:type="pct"/>
          </w:tcPr>
          <w:p w14:paraId="1CF8412D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Metals</w:t>
            </w:r>
          </w:p>
        </w:tc>
        <w:tc>
          <w:tcPr>
            <w:tcW w:w="2392" w:type="pct"/>
            <w:gridSpan w:val="4"/>
          </w:tcPr>
          <w:p w14:paraId="7AE92BD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CA5">
              <w:rPr>
                <w:rFonts w:ascii="Times New Roman" w:hAnsi="Times New Roman" w:cs="Times New Roman"/>
                <w:b/>
                <w:bCs/>
              </w:rPr>
              <w:t>Main effects</w:t>
            </w:r>
          </w:p>
        </w:tc>
        <w:tc>
          <w:tcPr>
            <w:tcW w:w="2189" w:type="pct"/>
            <w:gridSpan w:val="4"/>
          </w:tcPr>
          <w:p w14:paraId="5E42F44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CA5">
              <w:rPr>
                <w:rFonts w:ascii="Times New Roman" w:hAnsi="Times New Roman" w:cs="Times New Roman"/>
                <w:b/>
                <w:bCs/>
              </w:rPr>
              <w:t>Interaction effects</w:t>
            </w:r>
          </w:p>
        </w:tc>
      </w:tr>
      <w:tr w:rsidR="009623AA" w:rsidRPr="00073CA5" w14:paraId="1A7A4074" w14:textId="77777777" w:rsidTr="00426CCF">
        <w:tc>
          <w:tcPr>
            <w:tcW w:w="419" w:type="pct"/>
          </w:tcPr>
          <w:p w14:paraId="68987C0F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7" w:type="pct"/>
          </w:tcPr>
          <w:p w14:paraId="3CDC4BA7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1</w:t>
            </w:r>
          </w:p>
        </w:tc>
        <w:tc>
          <w:tcPr>
            <w:tcW w:w="763" w:type="pct"/>
          </w:tcPr>
          <w:p w14:paraId="6A4F175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2</w:t>
            </w:r>
          </w:p>
        </w:tc>
        <w:tc>
          <w:tcPr>
            <w:tcW w:w="834" w:type="pct"/>
          </w:tcPr>
          <w:p w14:paraId="773F3DF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3</w:t>
            </w:r>
          </w:p>
        </w:tc>
        <w:tc>
          <w:tcPr>
            <w:tcW w:w="279" w:type="pct"/>
            <w:vMerge w:val="restart"/>
          </w:tcPr>
          <w:p w14:paraId="503A2DD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933D83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-</w:t>
            </w:r>
            <w:r w:rsidRPr="00073CA5">
              <w:rPr>
                <w:rFonts w:ascii="Times New Roman" w:hAnsi="Times New Roman" w:cs="Times New Roman"/>
              </w:rPr>
              <w:t>trend</w:t>
            </w:r>
          </w:p>
        </w:tc>
        <w:tc>
          <w:tcPr>
            <w:tcW w:w="558" w:type="pct"/>
          </w:tcPr>
          <w:p w14:paraId="62FE430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1</w:t>
            </w:r>
          </w:p>
        </w:tc>
        <w:tc>
          <w:tcPr>
            <w:tcW w:w="695" w:type="pct"/>
          </w:tcPr>
          <w:p w14:paraId="4F5EA29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2</w:t>
            </w:r>
          </w:p>
        </w:tc>
        <w:tc>
          <w:tcPr>
            <w:tcW w:w="678" w:type="pct"/>
          </w:tcPr>
          <w:p w14:paraId="7C911B8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3</w:t>
            </w:r>
          </w:p>
        </w:tc>
        <w:tc>
          <w:tcPr>
            <w:tcW w:w="258" w:type="pct"/>
            <w:vMerge w:val="restart"/>
          </w:tcPr>
          <w:p w14:paraId="65DAEB1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933D83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-</w:t>
            </w:r>
            <w:r w:rsidRPr="00073CA5">
              <w:rPr>
                <w:rFonts w:ascii="Times New Roman" w:hAnsi="Times New Roman" w:cs="Times New Roman"/>
              </w:rPr>
              <w:t>trend</w:t>
            </w:r>
          </w:p>
        </w:tc>
      </w:tr>
      <w:tr w:rsidR="009623AA" w:rsidRPr="00073CA5" w14:paraId="26090B8E" w14:textId="77777777" w:rsidTr="00426CCF">
        <w:tc>
          <w:tcPr>
            <w:tcW w:w="419" w:type="pct"/>
          </w:tcPr>
          <w:p w14:paraId="5F076D38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7" w:type="pct"/>
          </w:tcPr>
          <w:p w14:paraId="3AF5D75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0452B77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763" w:type="pct"/>
          </w:tcPr>
          <w:p w14:paraId="7456078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236CC7E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834" w:type="pct"/>
          </w:tcPr>
          <w:p w14:paraId="1F3E93F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3EBEF512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279" w:type="pct"/>
            <w:vMerge/>
          </w:tcPr>
          <w:p w14:paraId="3ECC8FE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pct"/>
          </w:tcPr>
          <w:p w14:paraId="48BA4F8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2E893B5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695" w:type="pct"/>
          </w:tcPr>
          <w:p w14:paraId="61B56D6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08325C7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678" w:type="pct"/>
          </w:tcPr>
          <w:p w14:paraId="0F10F6A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18D22BF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258" w:type="pct"/>
            <w:vMerge/>
          </w:tcPr>
          <w:p w14:paraId="51EDACBF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3AA" w:rsidRPr="00073CA5" w14:paraId="294B8975" w14:textId="77777777" w:rsidTr="00426CCF">
        <w:tc>
          <w:tcPr>
            <w:tcW w:w="419" w:type="pct"/>
          </w:tcPr>
          <w:p w14:paraId="440D1D34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Arsenic</w:t>
            </w:r>
          </w:p>
        </w:tc>
        <w:tc>
          <w:tcPr>
            <w:tcW w:w="517" w:type="pct"/>
          </w:tcPr>
          <w:p w14:paraId="46262CD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4192B22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-7.7 (-35.2, 31.4)</w:t>
            </w:r>
          </w:p>
        </w:tc>
        <w:tc>
          <w:tcPr>
            <w:tcW w:w="834" w:type="pct"/>
          </w:tcPr>
          <w:p w14:paraId="33C98D0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-27.1 (-49.7, 5.6)</w:t>
            </w:r>
          </w:p>
        </w:tc>
        <w:tc>
          <w:tcPr>
            <w:tcW w:w="279" w:type="pct"/>
          </w:tcPr>
          <w:p w14:paraId="563375D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558" w:type="pct"/>
          </w:tcPr>
          <w:p w14:paraId="0F3BC8F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03987C4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0.3 (-6.8, 7.9)</w:t>
            </w:r>
          </w:p>
        </w:tc>
        <w:tc>
          <w:tcPr>
            <w:tcW w:w="678" w:type="pct"/>
          </w:tcPr>
          <w:p w14:paraId="0BE36DA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1.2 (-6.2, 9.1)</w:t>
            </w:r>
          </w:p>
        </w:tc>
        <w:tc>
          <w:tcPr>
            <w:tcW w:w="258" w:type="pct"/>
          </w:tcPr>
          <w:p w14:paraId="2EF287AB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0.76</w:t>
            </w:r>
          </w:p>
        </w:tc>
      </w:tr>
      <w:tr w:rsidR="009623AA" w:rsidRPr="00073CA5" w14:paraId="052CE0D8" w14:textId="77777777" w:rsidTr="00426CCF">
        <w:tc>
          <w:tcPr>
            <w:tcW w:w="419" w:type="pct"/>
          </w:tcPr>
          <w:p w14:paraId="51E51B47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Cadmium</w:t>
            </w:r>
          </w:p>
        </w:tc>
        <w:tc>
          <w:tcPr>
            <w:tcW w:w="517" w:type="pct"/>
          </w:tcPr>
          <w:p w14:paraId="5D54617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092BD09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-11.9 (-37.9, 24.9)</w:t>
            </w:r>
          </w:p>
        </w:tc>
        <w:tc>
          <w:tcPr>
            <w:tcW w:w="834" w:type="pct"/>
          </w:tcPr>
          <w:p w14:paraId="70ED4FA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-16.1 (-42.5, 22.4)</w:t>
            </w:r>
          </w:p>
        </w:tc>
        <w:tc>
          <w:tcPr>
            <w:tcW w:w="279" w:type="pct"/>
          </w:tcPr>
          <w:p w14:paraId="5B166322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558" w:type="pct"/>
          </w:tcPr>
          <w:p w14:paraId="04E5EDB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03DC46B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-7.4 (-13.9, -0.3)</w:t>
            </w:r>
          </w:p>
        </w:tc>
        <w:tc>
          <w:tcPr>
            <w:tcW w:w="678" w:type="pct"/>
          </w:tcPr>
          <w:p w14:paraId="3491A2C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-8.9 (-15.5, -1.9)</w:t>
            </w:r>
          </w:p>
        </w:tc>
        <w:tc>
          <w:tcPr>
            <w:tcW w:w="258" w:type="pct"/>
          </w:tcPr>
          <w:p w14:paraId="521EDDB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0.01</w:t>
            </w:r>
          </w:p>
        </w:tc>
      </w:tr>
      <w:tr w:rsidR="009623AA" w:rsidRPr="00073CA5" w14:paraId="18DF3027" w14:textId="77777777" w:rsidTr="00426CCF">
        <w:tc>
          <w:tcPr>
            <w:tcW w:w="419" w:type="pct"/>
          </w:tcPr>
          <w:p w14:paraId="25BA81C2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Mercury</w:t>
            </w:r>
          </w:p>
        </w:tc>
        <w:tc>
          <w:tcPr>
            <w:tcW w:w="517" w:type="pct"/>
          </w:tcPr>
          <w:p w14:paraId="7F10A74B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3CEEF4D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-25.2 (-47.1, 5.7)</w:t>
            </w:r>
          </w:p>
        </w:tc>
        <w:tc>
          <w:tcPr>
            <w:tcW w:w="834" w:type="pct"/>
          </w:tcPr>
          <w:p w14:paraId="3632A01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-38.8 (-57.8, -11.4)</w:t>
            </w:r>
          </w:p>
        </w:tc>
        <w:tc>
          <w:tcPr>
            <w:tcW w:w="279" w:type="pct"/>
          </w:tcPr>
          <w:p w14:paraId="4F35362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558" w:type="pct"/>
          </w:tcPr>
          <w:p w14:paraId="476A4F4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5471297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-4.7 (-11.5, 2.7)</w:t>
            </w:r>
          </w:p>
        </w:tc>
        <w:tc>
          <w:tcPr>
            <w:tcW w:w="678" w:type="pct"/>
          </w:tcPr>
          <w:p w14:paraId="1450BB0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-7.9 (-14.6, -0.7)</w:t>
            </w:r>
          </w:p>
        </w:tc>
        <w:tc>
          <w:tcPr>
            <w:tcW w:w="258" w:type="pct"/>
          </w:tcPr>
          <w:p w14:paraId="782404F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0.03</w:t>
            </w:r>
          </w:p>
        </w:tc>
      </w:tr>
      <w:tr w:rsidR="009623AA" w:rsidRPr="00073CA5" w14:paraId="3660E8D3" w14:textId="77777777" w:rsidTr="00426CCF">
        <w:tc>
          <w:tcPr>
            <w:tcW w:w="419" w:type="pct"/>
          </w:tcPr>
          <w:p w14:paraId="45471977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517" w:type="pct"/>
          </w:tcPr>
          <w:p w14:paraId="53A8C72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0CEC92E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-6.2 (-34.3, 33.9)</w:t>
            </w:r>
          </w:p>
        </w:tc>
        <w:tc>
          <w:tcPr>
            <w:tcW w:w="834" w:type="pct"/>
          </w:tcPr>
          <w:p w14:paraId="6ACCBE8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-13.7 (-42.0, 28.4)</w:t>
            </w:r>
          </w:p>
        </w:tc>
        <w:tc>
          <w:tcPr>
            <w:tcW w:w="279" w:type="pct"/>
          </w:tcPr>
          <w:p w14:paraId="4BB5F84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558" w:type="pct"/>
          </w:tcPr>
          <w:p w14:paraId="1F021D9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2F3648B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-1.3 (-8.4, 6.2)</w:t>
            </w:r>
          </w:p>
        </w:tc>
        <w:tc>
          <w:tcPr>
            <w:tcW w:w="678" w:type="pct"/>
          </w:tcPr>
          <w:p w14:paraId="508FFE3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-2.3 (-9.4, 5.3)</w:t>
            </w:r>
          </w:p>
        </w:tc>
        <w:tc>
          <w:tcPr>
            <w:tcW w:w="258" w:type="pct"/>
          </w:tcPr>
          <w:p w14:paraId="3F18D2EF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0.54</w:t>
            </w:r>
          </w:p>
        </w:tc>
      </w:tr>
    </w:tbl>
    <w:p w14:paraId="3ED0C3DD" w14:textId="77777777" w:rsidR="009623AA" w:rsidRDefault="009623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073CA5">
        <w:rPr>
          <w:rFonts w:ascii="Times New Roman" w:hAnsi="Times New Roman" w:cs="Times New Roman"/>
          <w:sz w:val="24"/>
          <w:szCs w:val="24"/>
        </w:rPr>
        <w:t xml:space="preserve">Models were adjusted for age at the FMP, race/ethnicity, study site, education, smoking status, parity at baseline, BMI, </w:t>
      </w:r>
      <w:r>
        <w:rPr>
          <w:rFonts w:ascii="Times New Roman" w:hAnsi="Times New Roman" w:cs="Times New Roman"/>
          <w:sz w:val="24"/>
          <w:szCs w:val="24"/>
        </w:rPr>
        <w:t>time to the FMP, urinary creatinine, time of metal measurement, and rice and seafood consumption</w:t>
      </w:r>
      <w:r w:rsidRPr="00073CA5">
        <w:rPr>
          <w:rFonts w:ascii="Times New Roman" w:hAnsi="Times New Roman" w:cs="Times New Roman"/>
          <w:sz w:val="24"/>
          <w:szCs w:val="24"/>
        </w:rPr>
        <w:t xml:space="preserve">. </w:t>
      </w:r>
      <w:r w:rsidRPr="0056037E">
        <w:rPr>
          <w:rFonts w:ascii="Times New Roman" w:hAnsi="Times New Roman" w:cs="Times New Roman"/>
          <w:sz w:val="24"/>
          <w:szCs w:val="24"/>
        </w:rPr>
        <w:t xml:space="preserve">Interaction terms between </w:t>
      </w:r>
      <w:r>
        <w:rPr>
          <w:rFonts w:ascii="Times New Roman" w:hAnsi="Times New Roman" w:cs="Times New Roman"/>
          <w:sz w:val="24"/>
          <w:szCs w:val="24"/>
        </w:rPr>
        <w:t>metal</w:t>
      </w:r>
      <w:r w:rsidRPr="0056037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time to the FMP</w:t>
      </w:r>
      <w:r w:rsidRPr="0056037E">
        <w:rPr>
          <w:rFonts w:ascii="Times New Roman" w:hAnsi="Times New Roman" w:cs="Times New Roman"/>
          <w:sz w:val="24"/>
          <w:szCs w:val="24"/>
        </w:rPr>
        <w:t xml:space="preserve"> were also included in the models.</w:t>
      </w:r>
    </w:p>
    <w:p w14:paraId="007FF5C1" w14:textId="77777777" w:rsidR="00E305AA" w:rsidRDefault="00E305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305AA" w:rsidSect="007079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1E55739" w14:textId="15789AD3" w:rsidR="009F439F" w:rsidRDefault="009F439F" w:rsidP="00E305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D85B48" wp14:editId="060A429A">
            <wp:extent cx="4747895" cy="3909060"/>
            <wp:effectExtent l="0" t="0" r="0" b="0"/>
            <wp:docPr id="210896423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4235" name="Picture 1" descr="A screenshot of a document&#10;&#10;Description automatically generated"/>
                    <pic:cNvPicPr/>
                  </pic:nvPicPr>
                  <pic:blipFill rotWithShape="1">
                    <a:blip r:embed="rId8"/>
                    <a:srcRect t="9814" b="42685"/>
                    <a:stretch/>
                  </pic:blipFill>
                  <pic:spPr bwMode="auto">
                    <a:xfrm>
                      <a:off x="0" y="0"/>
                      <a:ext cx="4747895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B2314" w14:textId="77777777" w:rsidR="009F439F" w:rsidRDefault="009F439F" w:rsidP="00E305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5E34F" w14:textId="7CA4307E" w:rsidR="00E305AA" w:rsidRPr="00E305AA" w:rsidRDefault="00E305AA" w:rsidP="00E305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5AA">
        <w:rPr>
          <w:rFonts w:ascii="Times New Roman" w:hAnsi="Times New Roman" w:cs="Times New Roman"/>
          <w:b/>
          <w:bCs/>
          <w:sz w:val="24"/>
          <w:szCs w:val="24"/>
        </w:rPr>
        <w:t>Figure S1</w:t>
      </w:r>
      <w:r w:rsidRPr="00E305AA">
        <w:rPr>
          <w:rFonts w:ascii="Times New Roman" w:hAnsi="Times New Roman" w:cs="Times New Roman"/>
          <w:sz w:val="24"/>
          <w:szCs w:val="24"/>
        </w:rPr>
        <w:t xml:space="preserve">. Study Design Diagram. AMH =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75154">
        <w:rPr>
          <w:rFonts w:ascii="Times New Roman" w:hAnsi="Times New Roman" w:cs="Times New Roman"/>
          <w:sz w:val="24"/>
          <w:szCs w:val="24"/>
        </w:rPr>
        <w:t xml:space="preserve">nti-Müllerian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75154">
        <w:rPr>
          <w:rFonts w:ascii="Times New Roman" w:hAnsi="Times New Roman" w:cs="Times New Roman"/>
          <w:sz w:val="24"/>
          <w:szCs w:val="24"/>
        </w:rPr>
        <w:t>ormone</w:t>
      </w:r>
      <w:r w:rsidRPr="00E305AA">
        <w:rPr>
          <w:rFonts w:ascii="Times New Roman" w:hAnsi="Times New Roman" w:cs="Times New Roman"/>
          <w:sz w:val="24"/>
          <w:szCs w:val="24"/>
        </w:rPr>
        <w:t xml:space="preserve">; MPS = </w:t>
      </w:r>
      <w:r>
        <w:rPr>
          <w:rFonts w:ascii="Times New Roman" w:hAnsi="Times New Roman" w:cs="Times New Roman"/>
          <w:sz w:val="24"/>
          <w:szCs w:val="24"/>
        </w:rPr>
        <w:t>Multi-Pollutant Study</w:t>
      </w:r>
      <w:r w:rsidRPr="00E305AA">
        <w:rPr>
          <w:rFonts w:ascii="Times New Roman" w:hAnsi="Times New Roman" w:cs="Times New Roman"/>
          <w:sz w:val="24"/>
          <w:szCs w:val="24"/>
        </w:rPr>
        <w:t xml:space="preserve">; SWAN = </w:t>
      </w:r>
      <w:r>
        <w:rPr>
          <w:rFonts w:ascii="Times New Roman" w:hAnsi="Times New Roman" w:cs="Times New Roman"/>
          <w:sz w:val="24"/>
          <w:szCs w:val="24"/>
        </w:rPr>
        <w:t xml:space="preserve">Study of Women’s Health Across the </w:t>
      </w:r>
      <w:r>
        <w:rPr>
          <w:rFonts w:ascii="Times New Roman" w:hAnsi="Times New Roman" w:cs="Times New Roman" w:hint="eastAsia"/>
          <w:sz w:val="24"/>
          <w:szCs w:val="24"/>
        </w:rPr>
        <w:t>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5D20A" w14:textId="77777777" w:rsidR="00E305AA" w:rsidRDefault="00E305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C6AC4" w14:textId="77777777" w:rsidR="001D26BC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D26BC" w:rsidSect="00E305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B3C3" w14:textId="2F1D4302" w:rsidR="001D26BC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0A070C2" wp14:editId="21F264E9">
            <wp:extent cx="8229600" cy="5050790"/>
            <wp:effectExtent l="0" t="0" r="0" b="0"/>
            <wp:docPr id="1127351797" name="Picture 1" descr="A black and white drawing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51797" name="Picture 1" descr="A black and white drawing of a pyrami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DA0" w14:textId="77777777" w:rsidR="009623AA" w:rsidRDefault="009623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B52E2" w14:textId="10499035" w:rsidR="009623AA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23AA" w:rsidSect="007079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CD0306">
        <w:rPr>
          <w:rFonts w:ascii="Times New Roman" w:eastAsia="SimSun" w:hAnsi="Times New Roman" w:cs="Times New Roman"/>
          <w:b/>
          <w:bCs/>
          <w:sz w:val="24"/>
          <w:szCs w:val="28"/>
        </w:rPr>
        <w:t>Figure S</w:t>
      </w:r>
      <w:r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CD0306">
        <w:rPr>
          <w:rFonts w:ascii="Times New Roman" w:eastAsia="SimSun" w:hAnsi="Times New Roman" w:cs="Times New Roman"/>
          <w:sz w:val="24"/>
          <w:szCs w:val="28"/>
        </w:rPr>
        <w:t xml:space="preserve">. A directed acyclic graph (DAG) </w:t>
      </w:r>
      <w:r>
        <w:rPr>
          <w:rFonts w:ascii="Times New Roman" w:eastAsia="SimSun" w:hAnsi="Times New Roman" w:cs="Times New Roman"/>
          <w:sz w:val="24"/>
          <w:szCs w:val="28"/>
        </w:rPr>
        <w:t xml:space="preserve">showing </w:t>
      </w:r>
      <w:r w:rsidRPr="00E124E0">
        <w:rPr>
          <w:rFonts w:ascii="Times New Roman" w:eastAsia="SimSun" w:hAnsi="Times New Roman" w:cs="Times New Roman"/>
          <w:sz w:val="24"/>
          <w:szCs w:val="28"/>
        </w:rPr>
        <w:t xml:space="preserve">the hypothesized relations between </w:t>
      </w:r>
      <w:r>
        <w:rPr>
          <w:rFonts w:ascii="Times New Roman" w:eastAsia="SimSun" w:hAnsi="Times New Roman" w:cs="Times New Roman"/>
          <w:sz w:val="24"/>
          <w:szCs w:val="28"/>
        </w:rPr>
        <w:t xml:space="preserve">heavy </w:t>
      </w:r>
      <w:r w:rsidRPr="00E124E0">
        <w:rPr>
          <w:rFonts w:ascii="Times New Roman" w:eastAsia="SimSun" w:hAnsi="Times New Roman" w:cs="Times New Roman"/>
          <w:sz w:val="24"/>
          <w:szCs w:val="28"/>
        </w:rPr>
        <w:t xml:space="preserve">metals, confounders, and </w:t>
      </w:r>
      <w:r w:rsidRPr="00073CA5">
        <w:rPr>
          <w:rFonts w:ascii="Times New Roman" w:hAnsi="Times New Roman" w:cs="Times New Roman"/>
          <w:sz w:val="24"/>
          <w:szCs w:val="24"/>
        </w:rPr>
        <w:t>a</w:t>
      </w:r>
      <w:r w:rsidRPr="00073CA5">
        <w:rPr>
          <w:rFonts w:ascii="Times New Roman" w:hAnsi="Times New Roman" w:cs="Times New Roman"/>
          <w:sz w:val="24"/>
        </w:rPr>
        <w:t>nti-Müllerian hormone</w:t>
      </w:r>
      <w:r>
        <w:rPr>
          <w:rFonts w:ascii="Times New Roman" w:hAnsi="Times New Roman" w:cs="Times New Roman"/>
          <w:sz w:val="24"/>
        </w:rPr>
        <w:t xml:space="preserve"> (AMH).</w:t>
      </w:r>
    </w:p>
    <w:p w14:paraId="4AE7872F" w14:textId="77777777" w:rsidR="009623AA" w:rsidRDefault="009623AA" w:rsidP="009623AA">
      <w:pPr>
        <w:rPr>
          <w:rFonts w:ascii="Times New Roman" w:hAnsi="Times New Roman" w:cs="Times New Roman"/>
          <w:sz w:val="24"/>
          <w:szCs w:val="24"/>
        </w:rPr>
      </w:pPr>
      <w:r w:rsidRPr="006B6C91">
        <w:lastRenderedPageBreak/>
        <w:t xml:space="preserve"> </w:t>
      </w:r>
      <w:r>
        <w:rPr>
          <w:noProof/>
        </w:rPr>
        <w:drawing>
          <wp:inline distT="0" distB="0" distL="0" distR="0" wp14:anchorId="5F987471" wp14:editId="76B7FB7F">
            <wp:extent cx="5815584" cy="48463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84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032C" w14:textId="3C6DB464" w:rsidR="009623AA" w:rsidRPr="004A44A8" w:rsidRDefault="009623AA" w:rsidP="009623AA">
      <w:pPr>
        <w:rPr>
          <w:rFonts w:ascii="Times New Roman" w:hAnsi="Times New Roman" w:cs="Times New Roman"/>
          <w:sz w:val="24"/>
        </w:rPr>
      </w:pPr>
      <w:r w:rsidRPr="00ED2CF1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 w:rsidR="00B1020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Smoothed curves of log-transformed </w:t>
      </w:r>
      <w:r>
        <w:rPr>
          <w:rFonts w:ascii="Times New Roman" w:hAnsi="Times New Roman" w:cs="Times New Roman"/>
          <w:sz w:val="24"/>
        </w:rPr>
        <w:t>a</w:t>
      </w:r>
      <w:r w:rsidRPr="00461015">
        <w:rPr>
          <w:rFonts w:ascii="Times New Roman" w:hAnsi="Times New Roman" w:cs="Times New Roman"/>
          <w:sz w:val="24"/>
        </w:rPr>
        <w:t>nti-Müllerian hormone</w:t>
      </w:r>
      <w:r>
        <w:rPr>
          <w:rFonts w:ascii="Times New Roman" w:hAnsi="Times New Roman" w:cs="Times New Roman"/>
          <w:sz w:val="24"/>
        </w:rPr>
        <w:t xml:space="preserve"> (AMH) before the FMP. </w:t>
      </w:r>
    </w:p>
    <w:p w14:paraId="4FC4F6CD" w14:textId="77777777" w:rsidR="001B69A5" w:rsidRDefault="001B69A5"/>
    <w:sectPr w:rsidR="001B69A5" w:rsidSect="007079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C9CF" w14:textId="77777777" w:rsidR="006B4C19" w:rsidRDefault="006B4C19" w:rsidP="007079BF">
      <w:pPr>
        <w:spacing w:after="0" w:line="240" w:lineRule="auto"/>
      </w:pPr>
      <w:r>
        <w:separator/>
      </w:r>
    </w:p>
  </w:endnote>
  <w:endnote w:type="continuationSeparator" w:id="0">
    <w:p w14:paraId="294B38F7" w14:textId="77777777" w:rsidR="006B4C19" w:rsidRDefault="006B4C19" w:rsidP="0070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052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6F86E" w14:textId="028B5A19" w:rsidR="007079BF" w:rsidRDefault="007079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AC5E3" w14:textId="77777777" w:rsidR="007079BF" w:rsidRDefault="00707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A16F" w14:textId="77777777" w:rsidR="006B4C19" w:rsidRDefault="006B4C19" w:rsidP="007079BF">
      <w:pPr>
        <w:spacing w:after="0" w:line="240" w:lineRule="auto"/>
      </w:pPr>
      <w:r>
        <w:separator/>
      </w:r>
    </w:p>
  </w:footnote>
  <w:footnote w:type="continuationSeparator" w:id="0">
    <w:p w14:paraId="52F73BE3" w14:textId="77777777" w:rsidR="006B4C19" w:rsidRDefault="006B4C19" w:rsidP="00707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8"/>
    <w:rsid w:val="000E78A7"/>
    <w:rsid w:val="000F3A18"/>
    <w:rsid w:val="001003F9"/>
    <w:rsid w:val="00166C1E"/>
    <w:rsid w:val="001A6CDF"/>
    <w:rsid w:val="001B69A5"/>
    <w:rsid w:val="001D26BC"/>
    <w:rsid w:val="00326989"/>
    <w:rsid w:val="00383A41"/>
    <w:rsid w:val="003C06A8"/>
    <w:rsid w:val="004127DC"/>
    <w:rsid w:val="006B4C19"/>
    <w:rsid w:val="007079BF"/>
    <w:rsid w:val="0082799A"/>
    <w:rsid w:val="00881AA9"/>
    <w:rsid w:val="009623AA"/>
    <w:rsid w:val="00976A77"/>
    <w:rsid w:val="00987347"/>
    <w:rsid w:val="00996D80"/>
    <w:rsid w:val="009F439F"/>
    <w:rsid w:val="00B10206"/>
    <w:rsid w:val="00E305AA"/>
    <w:rsid w:val="00F0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06B7"/>
  <w15:chartTrackingRefBased/>
  <w15:docId w15:val="{4501DB98-05C6-498F-A5E8-2AD0916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23AA"/>
    <w:rPr>
      <w:color w:val="0000FF"/>
      <w:u w:val="single"/>
    </w:rPr>
  </w:style>
  <w:style w:type="table" w:styleId="TableGrid">
    <w:name w:val="Table Grid"/>
    <w:basedOn w:val="TableNormal"/>
    <w:uiPriority w:val="39"/>
    <w:rsid w:val="009623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623AA"/>
  </w:style>
  <w:style w:type="paragraph" w:styleId="Header">
    <w:name w:val="header"/>
    <w:basedOn w:val="Normal"/>
    <w:link w:val="HeaderChar"/>
    <w:uiPriority w:val="99"/>
    <w:unhideWhenUsed/>
    <w:rsid w:val="0070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B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BF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66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C1E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C1E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gkyun@umich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tiff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/>
  <dc:description/>
  <cp:lastModifiedBy>Wang, Xin</cp:lastModifiedBy>
  <cp:revision>5</cp:revision>
  <dcterms:created xsi:type="dcterms:W3CDTF">2023-08-12T22:36:00Z</dcterms:created>
  <dcterms:modified xsi:type="dcterms:W3CDTF">2023-08-17T18:44:00Z</dcterms:modified>
</cp:coreProperties>
</file>