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808080"/>
          <w:sz w:val="18"/>
          <w:szCs w:val="18"/>
        </w:rPr>
        <w:t xml:space="preserve">SAMPLE PROJECT DOCUMENT — TRAINING USE ONLY</w:t>
      </w:r>
    </w:p>
    <w:p>
      <w:pPr>
        <w:spacing w:after="100"/>
      </w:pPr>
    </w:p>
    <w:p>
      <w:pPr>
        <w:pStyle w:val="Heading1"/>
        <w:spacing w:after="80"/>
      </w:pPr>
      <w:r>
        <w:rPr>
          <w:b/>
          <w:bCs/>
          <w:color w:val="1F2A44"/>
          <w:sz w:val="32"/>
          <w:szCs w:val="32"/>
        </w:rPr>
        <w:t xml:space="preserve">IT Infrastructure Modernization Project</w:t>
      </w:r>
    </w:p>
    <w:p>
      <w:pPr>
        <w:spacing w:after="200"/>
      </w:pPr>
      <w:r>
        <w:rPr>
          <w:i/>
          <w:iCs/>
          <w:color w:val="5B6178"/>
          <w:sz w:val="22"/>
          <w:szCs w:val="22"/>
        </w:rPr>
        <w:t xml:space="preserve">Project Timeline — 16-Week Plan</w:t>
      </w:r>
    </w:p>
    <w:p>
      <w:pPr>
        <w:spacing w:after="300"/>
      </w:pPr>
      <w:r>
        <w:rPr>
          <w:sz w:val="20"/>
          <w:szCs w:val="20"/>
        </w:rPr>
        <w:t xml:space="preserve">This document tracks the phased migration of production workloads to a new primary cloud hosting provider (Nimbus Cloud Services), including vendor selection, migration execution, and stabilization. Use this as the source document for Lab 3.3: turning a project timeline into a polished, one-slide-per-phase presentation.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2100"/>
        <w:gridCol w:w="3700"/>
      </w:tblGrid>
      <w:tr>
        <w:tc>
          <w:tcPr>
            <w:tcW w:type="dxa" w:w="2400"/>
            <w:shd w:fill="1F2A4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400"/>
            <w:shd w:fill="1F2A4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Timing</w:t>
            </w:r>
          </w:p>
        </w:tc>
        <w:tc>
          <w:tcPr>
            <w:tcW w:type="dxa" w:w="2400"/>
            <w:shd w:fill="1F2A4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400"/>
            <w:shd w:fill="1F2A4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</w:tr>
      <w:tr>
        <w:tc>
          <w:tcPr>
            <w:tcW w:type="dxa" w:w="2400"/>
          </w:tcPr>
          <w:p>
            <w:r>
              <w:rPr>
                <w:sz w:val="19"/>
                <w:szCs w:val="19"/>
              </w:rPr>
              <w:t xml:space="preserve">Phase 1: Discovery &amp; Assessment</w:t>
            </w:r>
          </w:p>
        </w:tc>
        <w:tc>
          <w:tcPr>
            <w:tcW w:type="dxa" w:w="1400"/>
          </w:tcPr>
          <w:p>
            <w:r>
              <w:rPr>
                <w:sz w:val="19"/>
                <w:szCs w:val="19"/>
              </w:rPr>
              <w:t xml:space="preserve">Weeks 1–3</w:t>
            </w:r>
          </w:p>
        </w:tc>
        <w:tc>
          <w:tcPr>
            <w:tcW w:type="dxa" w:w="2100"/>
          </w:tcPr>
          <w:p>
            <w:r>
              <w:rPr>
                <w:sz w:val="19"/>
                <w:szCs w:val="19"/>
              </w:rPr>
              <w:t xml:space="preserve">Systems Architecture</w:t>
            </w:r>
          </w:p>
        </w:tc>
        <w:tc>
          <w:tcPr>
            <w:tcW w:type="dxa" w:w="3700"/>
          </w:tcPr>
          <w:p>
            <w:r>
              <w:rPr>
                <w:sz w:val="19"/>
                <w:szCs w:val="19"/>
              </w:rPr>
              <w:t xml:space="preserve">Current-state infrastructure audit; risk register; recommendation to migrate primary hosting to Nimbus Cloud Services.</w:t>
            </w:r>
          </w:p>
        </w:tc>
      </w:tr>
      <w:tr>
        <w:tc>
          <w:tcPr>
            <w:tcW w:type="dxa" w:w="2400"/>
            <w:shd w:fill="EEF1F7" w:val="clear"/>
          </w:tcPr>
          <w:p>
            <w:r>
              <w:rPr>
                <w:sz w:val="19"/>
                <w:szCs w:val="19"/>
              </w:rPr>
              <w:t xml:space="preserve">Phase 2: Vendor Selection &amp; Procurement</w:t>
            </w:r>
          </w:p>
        </w:tc>
        <w:tc>
          <w:tcPr>
            <w:tcW w:type="dxa" w:w="1400"/>
            <w:shd w:fill="EEF1F7" w:val="clear"/>
          </w:tcPr>
          <w:p>
            <w:r>
              <w:rPr>
                <w:sz w:val="19"/>
                <w:szCs w:val="19"/>
              </w:rPr>
              <w:t xml:space="preserve">Weeks 4–6</w:t>
            </w:r>
          </w:p>
        </w:tc>
        <w:tc>
          <w:tcPr>
            <w:tcW w:type="dxa" w:w="2100"/>
            <w:shd w:fill="EEF1F7" w:val="clear"/>
          </w:tcPr>
          <w:p>
            <w:r>
              <w:rPr>
                <w:sz w:val="19"/>
                <w:szCs w:val="19"/>
              </w:rPr>
              <w:t xml:space="preserve">Procurement &amp; Security</w:t>
            </w:r>
          </w:p>
        </w:tc>
        <w:tc>
          <w:tcPr>
            <w:tcW w:type="dxa" w:w="3700"/>
            <w:shd w:fill="EEF1F7" w:val="clear"/>
          </w:tcPr>
          <w:p>
            <w:r>
              <w:rPr>
                <w:sz w:val="19"/>
                <w:szCs w:val="19"/>
              </w:rPr>
              <w:t xml:space="preserve">RFP responses reviewed; vendor selected; Nimbus Cloud Services contract signed; security review of BrightPath tooling completed.</w:t>
            </w:r>
          </w:p>
        </w:tc>
      </w:tr>
      <w:tr>
        <w:tc>
          <w:tcPr>
            <w:tcW w:type="dxa" w:w="2400"/>
          </w:tcPr>
          <w:p>
            <w:r>
              <w:rPr>
                <w:sz w:val="19"/>
                <w:szCs w:val="19"/>
              </w:rPr>
              <w:t xml:space="preserve">Phase 3: Migration Planning</w:t>
            </w:r>
          </w:p>
        </w:tc>
        <w:tc>
          <w:tcPr>
            <w:tcW w:type="dxa" w:w="1400"/>
          </w:tcPr>
          <w:p>
            <w:r>
              <w:rPr>
                <w:sz w:val="19"/>
                <w:szCs w:val="19"/>
              </w:rPr>
              <w:t xml:space="preserve">Weeks 7–9</w:t>
            </w:r>
          </w:p>
        </w:tc>
        <w:tc>
          <w:tcPr>
            <w:tcW w:type="dxa" w:w="2100"/>
          </w:tcPr>
          <w:p>
            <w:r>
              <w:rPr>
                <w:sz w:val="19"/>
                <w:szCs w:val="19"/>
              </w:rPr>
              <w:t xml:space="preserve">Infrastructure Team</w:t>
            </w:r>
          </w:p>
        </w:tc>
        <w:tc>
          <w:tcPr>
            <w:tcW w:type="dxa" w:w="3700"/>
          </w:tcPr>
          <w:p>
            <w:r>
              <w:rPr>
                <w:sz w:val="19"/>
                <w:szCs w:val="19"/>
              </w:rPr>
              <w:t xml:space="preserve">Migration runbook drafted; rollback plan approved; staging environment provisioned on Nimbus.</w:t>
            </w:r>
          </w:p>
        </w:tc>
      </w:tr>
      <w:tr>
        <w:tc>
          <w:tcPr>
            <w:tcW w:type="dxa" w:w="2400"/>
            <w:shd w:fill="EEF1F7" w:val="clear"/>
          </w:tcPr>
          <w:p>
            <w:r>
              <w:rPr>
                <w:sz w:val="19"/>
                <w:szCs w:val="19"/>
              </w:rPr>
              <w:t xml:space="preserve">Phase 4: Phased Migration &amp; Cutover</w:t>
            </w:r>
          </w:p>
        </w:tc>
        <w:tc>
          <w:tcPr>
            <w:tcW w:type="dxa" w:w="1400"/>
            <w:shd w:fill="EEF1F7" w:val="clear"/>
          </w:tcPr>
          <w:p>
            <w:r>
              <w:rPr>
                <w:sz w:val="19"/>
                <w:szCs w:val="19"/>
              </w:rPr>
              <w:t xml:space="preserve">Weeks 10–14</w:t>
            </w:r>
          </w:p>
        </w:tc>
        <w:tc>
          <w:tcPr>
            <w:tcW w:type="dxa" w:w="2100"/>
            <w:shd w:fill="EEF1F7" w:val="clear"/>
          </w:tcPr>
          <w:p>
            <w:r>
              <w:rPr>
                <w:sz w:val="19"/>
                <w:szCs w:val="19"/>
              </w:rPr>
              <w:t xml:space="preserve">Infrastructure &amp; DevOps</w:t>
            </w:r>
          </w:p>
        </w:tc>
        <w:tc>
          <w:tcPr>
            <w:tcW w:type="dxa" w:w="3700"/>
            <w:shd w:fill="EEF1F7" w:val="clear"/>
          </w:tcPr>
          <w:p>
            <w:r>
              <w:rPr>
                <w:sz w:val="19"/>
                <w:szCs w:val="19"/>
              </w:rPr>
              <w:t xml:space="preserve">Workloads migrated in four batches; validation testing after each batch; production cutover completed.</w:t>
            </w:r>
          </w:p>
        </w:tc>
      </w:tr>
      <w:tr>
        <w:tc>
          <w:tcPr>
            <w:tcW w:type="dxa" w:w="2400"/>
          </w:tcPr>
          <w:p>
            <w:r>
              <w:rPr>
                <w:sz w:val="19"/>
                <w:szCs w:val="19"/>
              </w:rPr>
              <w:t xml:space="preserve">Phase 5: Stabilization &amp; Handover</w:t>
            </w:r>
          </w:p>
        </w:tc>
        <w:tc>
          <w:tcPr>
            <w:tcW w:type="dxa" w:w="1400"/>
          </w:tcPr>
          <w:p>
            <w:r>
              <w:rPr>
                <w:sz w:val="19"/>
                <w:szCs w:val="19"/>
              </w:rPr>
              <w:t xml:space="preserve">Weeks 15–16</w:t>
            </w:r>
          </w:p>
        </w:tc>
        <w:tc>
          <w:tcPr>
            <w:tcW w:type="dxa" w:w="2100"/>
          </w:tcPr>
          <w:p>
            <w:r>
              <w:rPr>
                <w:sz w:val="19"/>
                <w:szCs w:val="19"/>
              </w:rPr>
              <w:t xml:space="preserve">Support Team</w:t>
            </w:r>
          </w:p>
        </w:tc>
        <w:tc>
          <w:tcPr>
            <w:tcW w:type="dxa" w:w="3700"/>
          </w:tcPr>
          <w:p>
            <w:r>
              <w:rPr>
                <w:sz w:val="19"/>
                <w:szCs w:val="19"/>
              </w:rPr>
              <w:t xml:space="preserve">Monitoring and alerting in place; runbook handed to on-call rotation; post-migration retrospective completed.</w:t>
            </w:r>
          </w:p>
        </w:tc>
      </w:tr>
    </w:tbl>
    <w:p>
      <w:pPr>
        <w:spacing w:after="200"/>
      </w:pPr>
    </w:p>
    <w:p>
      <w:r>
        <w:rPr>
          <w:i/>
          <w:iCs/>
          <w:color w:val="808080"/>
          <w:sz w:val="16"/>
          <w:szCs w:val="16"/>
        </w:rPr>
        <w:t xml:space="preserve">Note: This is a fictional sample project created for AI training purposes only.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2026-07-24T03:59:50.780Z</dcterms:created>
  <dcterms:modified xsi:type="dcterms:W3CDTF">2026-07-24T03:59:50.780Z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