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8A1538"/>
          <w:sz w:val="36"/>
          <w:szCs w:val="36"/>
        </w:rPr>
        <w:t xml:space="preserve">Qatar Airways vs. the Global Aviation Industry</w:t>
      </w:r>
    </w:p>
    <w:p>
      <w:pPr>
        <w:spacing w:after="200"/>
      </w:pPr>
      <w:r>
        <w:rPr>
          <w:i/>
          <w:iCs/>
          <w:color w:val="666666"/>
          <w:sz w:val="18"/>
          <w:szCs w:val="18"/>
        </w:rPr>
        <w:t xml:space="preserve">A Comparative Review — Passenger Operations, Cargo, Catering, Safety, Loyalty &amp; Hospitality  |  FY2024/25–2025/26</w:t>
      </w:r>
    </w:p>
    <w:p>
      <w:pPr>
        <w:pStyle w:val="Heading1"/>
        <w:pBdr>
          <w:bottom w:val="single" w:color="8A1538" w:sz="6" w:space="2"/>
        </w:pBdr>
        <w:spacing w:after="100" w:before="240"/>
      </w:pPr>
      <w:r>
        <w:rPr>
          <w:b/>
          <w:bCs/>
          <w:color w:val="8A1538"/>
          <w:sz w:val="26"/>
          <w:szCs w:val="26"/>
        </w:rPr>
        <w:t xml:space="preserve">1. Executive Summary</w:t>
      </w:r>
    </w:p>
    <w:p>
      <w:pPr>
        <w:spacing w:after="100"/>
      </w:pPr>
      <w:r>
        <w:rPr>
          <w:color w:val="222222"/>
          <w:sz w:val="19"/>
          <w:szCs w:val="19"/>
        </w:rPr>
        <w:t xml:space="preserve">Qatar Airways enters 2026 as the aviation industry's benchmark full-service carrier, holding Skytrax's "World's Best Airline" title for a record ninth time and topping AirlineRatings' 2026 global rankings. Financially, the Qatar Airways Group posted its strongest-ever results in FY2024/25 — group revenue of QAR 86.0bn ($23.2bn, +6%) and net profit of QAR 7.8bn ($2.1bn, +28%) — before profit eased slightly to QAR 7.08bn ($1.94bn) in FY2025/26 amid regional geopolitical disruption, even as passenger numbers grew to 41.8 million. This places it a clear tier below Emirates by profit scale, but ahead of most rivals on product quality and consistency across the passenger, cargo, catering, safety, loyalty and hospitality dimensions compared below.</w:t>
      </w:r>
    </w:p>
    <w:p>
      <w:pPr>
        <w:pStyle w:val="Heading1"/>
        <w:pBdr>
          <w:bottom w:val="single" w:color="8A1538" w:sz="6" w:space="2"/>
        </w:pBdr>
        <w:spacing w:after="100" w:before="240"/>
      </w:pPr>
      <w:r>
        <w:rPr>
          <w:b/>
          <w:bCs/>
          <w:color w:val="8A1538"/>
          <w:sz w:val="26"/>
          <w:szCs w:val="26"/>
        </w:rPr>
        <w:t xml:space="preserve">2. Passenger Flight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99"/>
        <w:gridCol w:w="2122"/>
        <w:gridCol w:w="2122"/>
        <w:gridCol w:w="3537"/>
      </w:tblGrid>
      <w:tr>
        <w:trPr>
          <w:tblHeader/>
        </w:trPr>
        <w:tc>
          <w:tcPr>
            <w:tcW w:type="dxa" w:w="2299"/>
            <w:shd w:fill="8A1538" w:color="auto" w:val="clear"/>
            <w:tcMar>
              <w:top w:type="dxa" w:w="60"/>
              <w:left w:type="dxa" w:w="100"/>
              <w:bottom w:type="dxa" w:w="60"/>
              <w:right w:type="dxa" w:w="100"/>
            </w:tcMar>
          </w:tcPr>
          <w:p>
            <w:r>
              <w:rPr>
                <w:b/>
                <w:bCs/>
                <w:color w:val="FFFFFF"/>
                <w:sz w:val="17"/>
                <w:szCs w:val="17"/>
              </w:rPr>
              <w:t xml:space="preserve">Metric (latest FY)</w:t>
            </w:r>
          </w:p>
        </w:tc>
        <w:tc>
          <w:tcPr>
            <w:tcW w:type="dxa" w:w="2122"/>
            <w:shd w:fill="8A1538" w:color="auto" w:val="clear"/>
            <w:tcMar>
              <w:top w:type="dxa" w:w="60"/>
              <w:left w:type="dxa" w:w="100"/>
              <w:bottom w:type="dxa" w:w="60"/>
              <w:right w:type="dxa" w:w="100"/>
            </w:tcMar>
          </w:tcPr>
          <w:p>
            <w:r>
              <w:rPr>
                <w:b/>
                <w:bCs/>
                <w:color w:val="FFFFFF"/>
                <w:sz w:val="17"/>
                <w:szCs w:val="17"/>
              </w:rPr>
              <w:t xml:space="preserve">Qatar Airways</w:t>
            </w:r>
          </w:p>
        </w:tc>
        <w:tc>
          <w:tcPr>
            <w:tcW w:type="dxa" w:w="2122"/>
            <w:shd w:fill="8A1538" w:color="auto" w:val="clear"/>
            <w:tcMar>
              <w:top w:type="dxa" w:w="60"/>
              <w:left w:type="dxa" w:w="100"/>
              <w:bottom w:type="dxa" w:w="60"/>
              <w:right w:type="dxa" w:w="100"/>
            </w:tcMar>
          </w:tcPr>
          <w:p>
            <w:r>
              <w:rPr>
                <w:b/>
                <w:bCs/>
                <w:color w:val="FFFFFF"/>
                <w:sz w:val="17"/>
                <w:szCs w:val="17"/>
              </w:rPr>
              <w:t xml:space="preserve">Emirates</w:t>
            </w:r>
          </w:p>
        </w:tc>
        <w:tc>
          <w:tcPr>
            <w:tcW w:type="dxa" w:w="3537"/>
            <w:shd w:fill="8A1538" w:color="auto" w:val="clear"/>
            <w:tcMar>
              <w:top w:type="dxa" w:w="60"/>
              <w:left w:type="dxa" w:w="100"/>
              <w:bottom w:type="dxa" w:w="60"/>
              <w:right w:type="dxa" w:w="100"/>
            </w:tcMar>
          </w:tcPr>
          <w:p>
            <w:r>
              <w:rPr>
                <w:b/>
                <w:bCs/>
                <w:color w:val="FFFFFF"/>
                <w:sz w:val="17"/>
                <w:szCs w:val="17"/>
              </w:rPr>
              <w:t xml:space="preserve">Industry Context</w:t>
            </w:r>
          </w:p>
        </w:tc>
      </w:tr>
      <w:tr>
        <w:tc>
          <w:tcPr>
            <w:tcW w:type="dxa" w:w="2299"/>
            <w:tcMar>
              <w:top w:type="dxa" w:w="60"/>
              <w:left w:type="dxa" w:w="100"/>
              <w:bottom w:type="dxa" w:w="60"/>
              <w:right w:type="dxa" w:w="100"/>
            </w:tcMar>
          </w:tcPr>
          <w:p>
            <w:r>
              <w:rPr>
                <w:b w:val="false"/>
                <w:bCs w:val="false"/>
                <w:color w:val="222222"/>
                <w:sz w:val="17"/>
                <w:szCs w:val="17"/>
              </w:rPr>
              <w:t xml:space="preserve">Passengers carried</w:t>
            </w:r>
          </w:p>
        </w:tc>
        <w:tc>
          <w:tcPr>
            <w:tcW w:type="dxa" w:w="2122"/>
            <w:tcMar>
              <w:top w:type="dxa" w:w="60"/>
              <w:left w:type="dxa" w:w="100"/>
              <w:bottom w:type="dxa" w:w="60"/>
              <w:right w:type="dxa" w:w="100"/>
            </w:tcMar>
          </w:tcPr>
          <w:p>
            <w:r>
              <w:rPr>
                <w:b w:val="false"/>
                <w:bCs w:val="false"/>
                <w:color w:val="222222"/>
                <w:sz w:val="17"/>
                <w:szCs w:val="17"/>
              </w:rPr>
              <w:t xml:space="preserve">41.8 million</w:t>
            </w:r>
          </w:p>
        </w:tc>
        <w:tc>
          <w:tcPr>
            <w:tcW w:type="dxa" w:w="2122"/>
            <w:tcMar>
              <w:top w:type="dxa" w:w="60"/>
              <w:left w:type="dxa" w:w="100"/>
              <w:bottom w:type="dxa" w:w="60"/>
              <w:right w:type="dxa" w:w="100"/>
            </w:tcMar>
          </w:tcPr>
          <w:p>
            <w:r>
              <w:rPr>
                <w:b w:val="false"/>
                <w:bCs w:val="false"/>
                <w:color w:val="222222"/>
                <w:sz w:val="17"/>
                <w:szCs w:val="17"/>
              </w:rPr>
              <w:t xml:space="preserve">53.2 million (-1%)</w:t>
            </w:r>
          </w:p>
        </w:tc>
        <w:tc>
          <w:tcPr>
            <w:tcW w:type="dxa" w:w="3537"/>
            <w:tcMar>
              <w:top w:type="dxa" w:w="60"/>
              <w:left w:type="dxa" w:w="100"/>
              <w:bottom w:type="dxa" w:w="60"/>
              <w:right w:type="dxa" w:w="100"/>
            </w:tcMar>
          </w:tcPr>
          <w:p>
            <w:r>
              <w:rPr>
                <w:b w:val="false"/>
                <w:bCs w:val="false"/>
                <w:color w:val="222222"/>
                <w:sz w:val="17"/>
                <w:szCs w:val="17"/>
              </w:rPr>
              <w:t xml:space="preserve">Emirates remains larger by volume; Qatar smaller but growing</w:t>
            </w:r>
          </w:p>
        </w:tc>
      </w:tr>
      <w:tr>
        <w:tc>
          <w:tcPr>
            <w:tcW w:type="dxa" w:w="2299"/>
            <w:shd w:fill="F2F2F2" w:color="auto" w:val="clear"/>
            <w:tcMar>
              <w:top w:type="dxa" w:w="60"/>
              <w:left w:type="dxa" w:w="100"/>
              <w:bottom w:type="dxa" w:w="60"/>
              <w:right w:type="dxa" w:w="100"/>
            </w:tcMar>
          </w:tcPr>
          <w:p>
            <w:r>
              <w:rPr>
                <w:b w:val="false"/>
                <w:bCs w:val="false"/>
                <w:color w:val="222222"/>
                <w:sz w:val="17"/>
                <w:szCs w:val="17"/>
              </w:rPr>
              <w:t xml:space="preserve">Group revenue</w:t>
            </w:r>
          </w:p>
        </w:tc>
        <w:tc>
          <w:tcPr>
            <w:tcW w:type="dxa" w:w="2122"/>
            <w:shd w:fill="F2F2F2" w:color="auto" w:val="clear"/>
            <w:tcMar>
              <w:top w:type="dxa" w:w="60"/>
              <w:left w:type="dxa" w:w="100"/>
              <w:bottom w:type="dxa" w:w="60"/>
              <w:right w:type="dxa" w:w="100"/>
            </w:tcMar>
          </w:tcPr>
          <w:p>
            <w:r>
              <w:rPr>
                <w:b w:val="false"/>
                <w:bCs w:val="false"/>
                <w:color w:val="222222"/>
                <w:sz w:val="17"/>
                <w:szCs w:val="17"/>
              </w:rPr>
              <w:t xml:space="preserve">QAR 86.0bn (~$23.2bn)</w:t>
            </w:r>
          </w:p>
        </w:tc>
        <w:tc>
          <w:tcPr>
            <w:tcW w:type="dxa" w:w="2122"/>
            <w:shd w:fill="F2F2F2" w:color="auto" w:val="clear"/>
            <w:tcMar>
              <w:top w:type="dxa" w:w="60"/>
              <w:left w:type="dxa" w:w="100"/>
              <w:bottom w:type="dxa" w:w="60"/>
              <w:right w:type="dxa" w:w="100"/>
            </w:tcMar>
          </w:tcPr>
          <w:p>
            <w:r>
              <w:rPr>
                <w:b w:val="false"/>
                <w:bCs w:val="false"/>
                <w:color w:val="222222"/>
                <w:sz w:val="17"/>
                <w:szCs w:val="17"/>
              </w:rPr>
              <w:t xml:space="preserve">AED 66bn+ (~$18bn airline; $66bn group)</w:t>
            </w:r>
          </w:p>
        </w:tc>
        <w:tc>
          <w:tcPr>
            <w:tcW w:type="dxa" w:w="3537"/>
            <w:shd w:fill="F2F2F2" w:color="auto" w:val="clear"/>
            <w:tcMar>
              <w:top w:type="dxa" w:w="60"/>
              <w:left w:type="dxa" w:w="100"/>
              <w:bottom w:type="dxa" w:w="60"/>
              <w:right w:type="dxa" w:w="100"/>
            </w:tcMar>
          </w:tcPr>
          <w:p>
            <w:r>
              <w:rPr>
                <w:b w:val="false"/>
                <w:bCs w:val="false"/>
                <w:color w:val="222222"/>
                <w:sz w:val="17"/>
                <w:szCs w:val="17"/>
              </w:rPr>
              <w:t xml:space="preserve">Emirates Group revenue is larger overall incl. dnata</w:t>
            </w:r>
          </w:p>
        </w:tc>
      </w:tr>
      <w:tr>
        <w:tc>
          <w:tcPr>
            <w:tcW w:type="dxa" w:w="2299"/>
            <w:tcMar>
              <w:top w:type="dxa" w:w="60"/>
              <w:left w:type="dxa" w:w="100"/>
              <w:bottom w:type="dxa" w:w="60"/>
              <w:right w:type="dxa" w:w="100"/>
            </w:tcMar>
          </w:tcPr>
          <w:p>
            <w:r>
              <w:rPr>
                <w:b w:val="false"/>
                <w:bCs w:val="false"/>
                <w:color w:val="222222"/>
                <w:sz w:val="17"/>
                <w:szCs w:val="17"/>
              </w:rPr>
              <w:t xml:space="preserve">Net profit</w:t>
            </w:r>
          </w:p>
        </w:tc>
        <w:tc>
          <w:tcPr>
            <w:tcW w:type="dxa" w:w="2122"/>
            <w:tcMar>
              <w:top w:type="dxa" w:w="60"/>
              <w:left w:type="dxa" w:w="100"/>
              <w:bottom w:type="dxa" w:w="60"/>
              <w:right w:type="dxa" w:w="100"/>
            </w:tcMar>
          </w:tcPr>
          <w:p>
            <w:r>
              <w:rPr>
                <w:b w:val="false"/>
                <w:bCs w:val="false"/>
                <w:color w:val="222222"/>
                <w:sz w:val="17"/>
                <w:szCs w:val="17"/>
              </w:rPr>
              <w:t xml:space="preserve">QAR 7.08bn (~$1.94bn)</w:t>
            </w:r>
          </w:p>
        </w:tc>
        <w:tc>
          <w:tcPr>
            <w:tcW w:type="dxa" w:w="2122"/>
            <w:tcMar>
              <w:top w:type="dxa" w:w="60"/>
              <w:left w:type="dxa" w:w="100"/>
              <w:bottom w:type="dxa" w:w="60"/>
              <w:right w:type="dxa" w:w="100"/>
            </w:tcMar>
          </w:tcPr>
          <w:p>
            <w:r>
              <w:rPr>
                <w:b w:val="false"/>
                <w:bCs w:val="false"/>
                <w:color w:val="222222"/>
                <w:sz w:val="17"/>
                <w:szCs w:val="17"/>
              </w:rPr>
              <w:t xml:space="preserve">AED 19.7bn (~$5.4bn)</w:t>
            </w:r>
          </w:p>
        </w:tc>
        <w:tc>
          <w:tcPr>
            <w:tcW w:type="dxa" w:w="3537"/>
            <w:tcMar>
              <w:top w:type="dxa" w:w="60"/>
              <w:left w:type="dxa" w:w="100"/>
              <w:bottom w:type="dxa" w:w="60"/>
              <w:right w:type="dxa" w:w="100"/>
            </w:tcMar>
          </w:tcPr>
          <w:p>
            <w:r>
              <w:rPr>
                <w:b w:val="false"/>
                <w:bCs w:val="false"/>
                <w:color w:val="222222"/>
                <w:sz w:val="17"/>
                <w:szCs w:val="17"/>
              </w:rPr>
              <w:t xml:space="preserve">Emirates is the most profitable airline in the industry for FY25/26</w:t>
            </w:r>
          </w:p>
        </w:tc>
      </w:tr>
      <w:tr>
        <w:tc>
          <w:tcPr>
            <w:tcW w:type="dxa" w:w="2299"/>
            <w:shd w:fill="F2F2F2" w:color="auto" w:val="clear"/>
            <w:tcMar>
              <w:top w:type="dxa" w:w="60"/>
              <w:left w:type="dxa" w:w="100"/>
              <w:bottom w:type="dxa" w:w="60"/>
              <w:right w:type="dxa" w:w="100"/>
            </w:tcMar>
          </w:tcPr>
          <w:p>
            <w:r>
              <w:rPr>
                <w:b w:val="false"/>
                <w:bCs w:val="false"/>
                <w:color w:val="222222"/>
                <w:sz w:val="17"/>
                <w:szCs w:val="17"/>
              </w:rPr>
              <w:t xml:space="preserve">On-time performance</w:t>
            </w:r>
          </w:p>
        </w:tc>
        <w:tc>
          <w:tcPr>
            <w:tcW w:type="dxa" w:w="2122"/>
            <w:shd w:fill="F2F2F2" w:color="auto" w:val="clear"/>
            <w:tcMar>
              <w:top w:type="dxa" w:w="60"/>
              <w:left w:type="dxa" w:w="100"/>
              <w:bottom w:type="dxa" w:w="60"/>
              <w:right w:type="dxa" w:w="100"/>
            </w:tcMar>
          </w:tcPr>
          <w:p>
            <w:r>
              <w:rPr>
                <w:b w:val="false"/>
                <w:bCs w:val="false"/>
                <w:color w:val="222222"/>
                <w:sz w:val="17"/>
                <w:szCs w:val="17"/>
              </w:rPr>
              <w:t xml:space="preserve">86%</w:t>
            </w:r>
          </w:p>
        </w:tc>
        <w:tc>
          <w:tcPr>
            <w:tcW w:type="dxa" w:w="2122"/>
            <w:shd w:fill="F2F2F2" w:color="auto" w:val="clear"/>
            <w:tcMar>
              <w:top w:type="dxa" w:w="60"/>
              <w:left w:type="dxa" w:w="100"/>
              <w:bottom w:type="dxa" w:w="60"/>
              <w:right w:type="dxa" w:w="100"/>
            </w:tcMar>
          </w:tcPr>
          <w:p>
            <w:r>
              <w:rPr>
                <w:b w:val="false"/>
                <w:bCs w:val="false"/>
                <w:color w:val="222222"/>
                <w:sz w:val="17"/>
                <w:szCs w:val="17"/>
              </w:rPr>
              <w:t xml:space="preserve">Consistently top-quartile</w:t>
            </w:r>
          </w:p>
        </w:tc>
        <w:tc>
          <w:tcPr>
            <w:tcW w:type="dxa" w:w="3537"/>
            <w:shd w:fill="F2F2F2" w:color="auto" w:val="clear"/>
            <w:tcMar>
              <w:top w:type="dxa" w:w="60"/>
              <w:left w:type="dxa" w:w="100"/>
              <w:bottom w:type="dxa" w:w="60"/>
              <w:right w:type="dxa" w:w="100"/>
            </w:tcMar>
          </w:tcPr>
          <w:p>
            <w:r>
              <w:rPr>
                <w:b w:val="false"/>
                <w:bCs w:val="false"/>
                <w:color w:val="222222"/>
                <w:sz w:val="17"/>
                <w:szCs w:val="17"/>
              </w:rPr>
              <w:t xml:space="preserve">Both rank in global upper tier for punctuality</w:t>
            </w:r>
          </w:p>
        </w:tc>
      </w:tr>
      <w:tr>
        <w:tc>
          <w:tcPr>
            <w:tcW w:type="dxa" w:w="2299"/>
            <w:tcMar>
              <w:top w:type="dxa" w:w="60"/>
              <w:left w:type="dxa" w:w="100"/>
              <w:bottom w:type="dxa" w:w="60"/>
              <w:right w:type="dxa" w:w="100"/>
            </w:tcMar>
          </w:tcPr>
          <w:p>
            <w:r>
              <w:rPr>
                <w:b w:val="false"/>
                <w:bCs w:val="false"/>
                <w:color w:val="222222"/>
                <w:sz w:val="17"/>
                <w:szCs w:val="17"/>
              </w:rPr>
              <w:t xml:space="preserve">Hub airport</w:t>
            </w:r>
          </w:p>
        </w:tc>
        <w:tc>
          <w:tcPr>
            <w:tcW w:type="dxa" w:w="2122"/>
            <w:tcMar>
              <w:top w:type="dxa" w:w="60"/>
              <w:left w:type="dxa" w:w="100"/>
              <w:bottom w:type="dxa" w:w="60"/>
              <w:right w:type="dxa" w:w="100"/>
            </w:tcMar>
          </w:tcPr>
          <w:p>
            <w:r>
              <w:rPr>
                <w:b w:val="false"/>
                <w:bCs w:val="false"/>
                <w:color w:val="222222"/>
                <w:sz w:val="17"/>
                <w:szCs w:val="17"/>
              </w:rPr>
              <w:t xml:space="preserve">Hamad Intl. (DOH) — 52.5m pax, +7.7%</w:t>
            </w:r>
          </w:p>
        </w:tc>
        <w:tc>
          <w:tcPr>
            <w:tcW w:type="dxa" w:w="2122"/>
            <w:tcMar>
              <w:top w:type="dxa" w:w="60"/>
              <w:left w:type="dxa" w:w="100"/>
              <w:bottom w:type="dxa" w:w="60"/>
              <w:right w:type="dxa" w:w="100"/>
            </w:tcMar>
          </w:tcPr>
          <w:p>
            <w:r>
              <w:rPr>
                <w:b w:val="false"/>
                <w:bCs w:val="false"/>
                <w:color w:val="222222"/>
                <w:sz w:val="17"/>
                <w:szCs w:val="17"/>
              </w:rPr>
              <w:t xml:space="preserve">Dubai Intl. (DXB) — world's busiest hub</w:t>
            </w:r>
          </w:p>
        </w:tc>
        <w:tc>
          <w:tcPr>
            <w:tcW w:type="dxa" w:w="3537"/>
            <w:tcMar>
              <w:top w:type="dxa" w:w="60"/>
              <w:left w:type="dxa" w:w="100"/>
              <w:bottom w:type="dxa" w:w="60"/>
              <w:right w:type="dxa" w:w="100"/>
            </w:tcMar>
          </w:tcPr>
          <w:p>
            <w:r>
              <w:rPr>
                <w:b w:val="false"/>
                <w:bCs w:val="false"/>
                <w:color w:val="222222"/>
                <w:sz w:val="17"/>
                <w:szCs w:val="17"/>
              </w:rPr>
              <w:t xml:space="preserve">Both hubs anchor a "sixth-freedom" connecting model</w:t>
            </w:r>
          </w:p>
        </w:tc>
      </w:tr>
    </w:tbl>
    <w:p>
      <w:pPr>
        <w:spacing w:after="100"/>
      </w:pPr>
      <w:r>
        <w:rPr>
          <w:color w:val="222222"/>
          <w:sz w:val="18"/>
          <w:szCs w:val="18"/>
        </w:rPr>
        <w:t xml:space="preserve">Qatar Airways' single-hub, long-haul connecting model via Doha mirrors Emirates and Etihad, but it trails Emirates on scale while outperforming most legacy carriers (Lufthansa, British Airways, American) on service consistency and average trip ratings.</w:t>
      </w:r>
    </w:p>
    <w:p>
      <w:pPr>
        <w:pStyle w:val="Heading1"/>
        <w:pBdr>
          <w:bottom w:val="single" w:color="8A1538" w:sz="6" w:space="2"/>
        </w:pBdr>
        <w:spacing w:after="100" w:before="240"/>
      </w:pPr>
      <w:r>
        <w:rPr>
          <w:b/>
          <w:bCs/>
          <w:color w:val="8A1538"/>
          <w:sz w:val="26"/>
          <w:szCs w:val="26"/>
        </w:rPr>
        <w:t xml:space="preserve">3. Cargo Operations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621"/>
        <w:gridCol w:w="2621"/>
        <w:gridCol w:w="2218"/>
      </w:tblGrid>
      <w:tr>
        <w:trPr>
          <w:tblHeader/>
        </w:trPr>
        <w:tc>
          <w:tcPr>
            <w:tcW w:type="dxa" w:w="2621"/>
            <w:shd w:fill="8A1538" w:color="auto" w:val="clear"/>
            <w:tcMar>
              <w:top w:type="dxa" w:w="60"/>
              <w:left w:type="dxa" w:w="100"/>
              <w:bottom w:type="dxa" w:w="60"/>
              <w:right w:type="dxa" w:w="100"/>
            </w:tcMar>
          </w:tcPr>
          <w:p>
            <w:r>
              <w:rPr>
                <w:b/>
                <w:bCs/>
                <w:color w:val="FFFFFF"/>
                <w:sz w:val="17"/>
                <w:szCs w:val="17"/>
              </w:rPr>
              <w:t xml:space="preserve">Metric (FY2024/25)</w:t>
            </w:r>
          </w:p>
        </w:tc>
        <w:tc>
          <w:tcPr>
            <w:tcW w:type="dxa" w:w="2621"/>
            <w:shd w:fill="8A1538" w:color="auto" w:val="clear"/>
            <w:tcMar>
              <w:top w:type="dxa" w:w="60"/>
              <w:left w:type="dxa" w:w="100"/>
              <w:bottom w:type="dxa" w:w="60"/>
              <w:right w:type="dxa" w:w="100"/>
            </w:tcMar>
          </w:tcPr>
          <w:p>
            <w:r>
              <w:rPr>
                <w:b/>
                <w:bCs/>
                <w:color w:val="FFFFFF"/>
                <w:sz w:val="17"/>
                <w:szCs w:val="17"/>
              </w:rPr>
              <w:t xml:space="preserve">Qatar Airways Cargo</w:t>
            </w:r>
          </w:p>
        </w:tc>
        <w:tc>
          <w:tcPr>
            <w:tcW w:type="dxa" w:w="2621"/>
            <w:shd w:fill="8A1538" w:color="auto" w:val="clear"/>
            <w:tcMar>
              <w:top w:type="dxa" w:w="60"/>
              <w:left w:type="dxa" w:w="100"/>
              <w:bottom w:type="dxa" w:w="60"/>
              <w:right w:type="dxa" w:w="100"/>
            </w:tcMar>
          </w:tcPr>
          <w:p>
            <w:r>
              <w:rPr>
                <w:b/>
                <w:bCs/>
                <w:color w:val="FFFFFF"/>
                <w:sz w:val="17"/>
                <w:szCs w:val="17"/>
              </w:rPr>
              <w:t xml:space="preserve">Emirates SkyCargo</w:t>
            </w:r>
          </w:p>
        </w:tc>
        <w:tc>
          <w:tcPr>
            <w:tcW w:type="dxa" w:w="2218"/>
            <w:shd w:fill="8A1538" w:color="auto" w:val="clear"/>
            <w:tcMar>
              <w:top w:type="dxa" w:w="60"/>
              <w:left w:type="dxa" w:w="100"/>
              <w:bottom w:type="dxa" w:w="60"/>
              <w:right w:type="dxa" w:w="100"/>
            </w:tcMar>
          </w:tcPr>
          <w:p>
            <w:r>
              <w:rPr>
                <w:b/>
                <w:bCs/>
                <w:color w:val="FFFFFF"/>
                <w:sz w:val="17"/>
                <w:szCs w:val="17"/>
              </w:rPr>
              <w:t xml:space="preserve">Notes</w:t>
            </w:r>
          </w:p>
        </w:tc>
      </w:tr>
      <w:tr>
        <w:tc>
          <w:tcPr>
            <w:tcW w:type="dxa" w:w="2621"/>
            <w:tcMar>
              <w:top w:type="dxa" w:w="60"/>
              <w:left w:type="dxa" w:w="100"/>
              <w:bottom w:type="dxa" w:w="60"/>
              <w:right w:type="dxa" w:w="100"/>
            </w:tcMar>
          </w:tcPr>
          <w:p>
            <w:r>
              <w:rPr>
                <w:b w:val="false"/>
                <w:bCs w:val="false"/>
                <w:color w:val="222222"/>
                <w:sz w:val="17"/>
                <w:szCs w:val="17"/>
              </w:rPr>
              <w:t xml:space="preserve">Tonnage carried</w:t>
            </w:r>
          </w:p>
        </w:tc>
        <w:tc>
          <w:tcPr>
            <w:tcW w:type="dxa" w:w="2621"/>
            <w:tcMar>
              <w:top w:type="dxa" w:w="60"/>
              <w:left w:type="dxa" w:w="100"/>
              <w:bottom w:type="dxa" w:w="60"/>
              <w:right w:type="dxa" w:w="100"/>
            </w:tcMar>
          </w:tcPr>
          <w:p>
            <w:r>
              <w:rPr>
                <w:b w:val="false"/>
                <w:bCs w:val="false"/>
                <w:color w:val="222222"/>
                <w:sz w:val="17"/>
                <w:szCs w:val="17"/>
              </w:rPr>
              <w:t xml:space="preserve">1.5 million tonnes</w:t>
            </w:r>
          </w:p>
        </w:tc>
        <w:tc>
          <w:tcPr>
            <w:tcW w:type="dxa" w:w="2621"/>
            <w:tcMar>
              <w:top w:type="dxa" w:w="60"/>
              <w:left w:type="dxa" w:w="100"/>
              <w:bottom w:type="dxa" w:w="60"/>
              <w:right w:type="dxa" w:w="100"/>
            </w:tcMar>
          </w:tcPr>
          <w:p>
            <w:r>
              <w:rPr>
                <w:b w:val="false"/>
                <w:bCs w:val="false"/>
                <w:color w:val="222222"/>
                <w:sz w:val="17"/>
                <w:szCs w:val="17"/>
              </w:rPr>
              <w:t xml:space="preserve">2.3 million tonnes (+7%)</w:t>
            </w:r>
          </w:p>
        </w:tc>
        <w:tc>
          <w:tcPr>
            <w:tcW w:type="dxa" w:w="2218"/>
            <w:tcMar>
              <w:top w:type="dxa" w:w="60"/>
              <w:left w:type="dxa" w:w="100"/>
              <w:bottom w:type="dxa" w:w="60"/>
              <w:right w:type="dxa" w:w="100"/>
            </w:tcMar>
          </w:tcPr>
          <w:p>
            <w:r>
              <w:rPr>
                <w:b w:val="false"/>
                <w:bCs w:val="false"/>
                <w:color w:val="222222"/>
                <w:sz w:val="17"/>
                <w:szCs w:val="17"/>
              </w:rPr>
              <w:t xml:space="preserve">Emirates SkyCargo carries more volume</w:t>
            </w:r>
          </w:p>
        </w:tc>
      </w:tr>
      <w:tr>
        <w:tc>
          <w:tcPr>
            <w:tcW w:type="dxa" w:w="2621"/>
            <w:shd w:fill="F2F2F2" w:color="auto" w:val="clear"/>
            <w:tcMar>
              <w:top w:type="dxa" w:w="60"/>
              <w:left w:type="dxa" w:w="100"/>
              <w:bottom w:type="dxa" w:w="60"/>
              <w:right w:type="dxa" w:w="100"/>
            </w:tcMar>
          </w:tcPr>
          <w:p>
            <w:r>
              <w:rPr>
                <w:b w:val="false"/>
                <w:bCs w:val="false"/>
                <w:color w:val="222222"/>
                <w:sz w:val="17"/>
                <w:szCs w:val="17"/>
              </w:rPr>
              <w:t xml:space="preserve">Cargo revenue</w:t>
            </w:r>
          </w:p>
        </w:tc>
        <w:tc>
          <w:tcPr>
            <w:tcW w:type="dxa" w:w="2621"/>
            <w:shd w:fill="F2F2F2" w:color="auto" w:val="clear"/>
            <w:tcMar>
              <w:top w:type="dxa" w:w="60"/>
              <w:left w:type="dxa" w:w="100"/>
              <w:bottom w:type="dxa" w:w="60"/>
              <w:right w:type="dxa" w:w="100"/>
            </w:tcMar>
          </w:tcPr>
          <w:p>
            <w:r>
              <w:rPr>
                <w:b w:val="false"/>
                <w:bCs w:val="false"/>
                <w:color w:val="222222"/>
                <w:sz w:val="17"/>
                <w:szCs w:val="17"/>
              </w:rPr>
              <w:t xml:space="preserve">QAR 17.9bn (~$4.8bn), +17%</w:t>
            </w:r>
          </w:p>
        </w:tc>
        <w:tc>
          <w:tcPr>
            <w:tcW w:type="dxa" w:w="2621"/>
            <w:shd w:fill="F2F2F2" w:color="auto" w:val="clear"/>
            <w:tcMar>
              <w:top w:type="dxa" w:w="60"/>
              <w:left w:type="dxa" w:w="100"/>
              <w:bottom w:type="dxa" w:w="60"/>
              <w:right w:type="dxa" w:w="100"/>
            </w:tcMar>
          </w:tcPr>
          <w:p>
            <w:r>
              <w:rPr>
                <w:b w:val="false"/>
                <w:bCs w:val="false"/>
                <w:color w:val="222222"/>
                <w:sz w:val="17"/>
                <w:szCs w:val="17"/>
              </w:rPr>
              <w:t xml:space="preserve">AED 16.1bn (~$4.4bn), 13% of revenue</w:t>
            </w:r>
          </w:p>
        </w:tc>
        <w:tc>
          <w:tcPr>
            <w:tcW w:type="dxa" w:w="2218"/>
            <w:shd w:fill="F2F2F2" w:color="auto" w:val="clear"/>
            <w:tcMar>
              <w:top w:type="dxa" w:w="60"/>
              <w:left w:type="dxa" w:w="100"/>
              <w:bottom w:type="dxa" w:w="60"/>
              <w:right w:type="dxa" w:w="100"/>
            </w:tcMar>
          </w:tcPr>
          <w:p>
            <w:r>
              <w:rPr>
                <w:b w:val="false"/>
                <w:bCs w:val="false"/>
                <w:color w:val="222222"/>
                <w:sz w:val="17"/>
                <w:szCs w:val="17"/>
              </w:rPr>
              <w:t xml:space="preserve">Qatar's cargo revenue growth outpaced Emirates'</w:t>
            </w:r>
          </w:p>
        </w:tc>
      </w:tr>
      <w:tr>
        <w:tc>
          <w:tcPr>
            <w:tcW w:type="dxa" w:w="2621"/>
            <w:tcMar>
              <w:top w:type="dxa" w:w="60"/>
              <w:left w:type="dxa" w:w="100"/>
              <w:bottom w:type="dxa" w:w="60"/>
              <w:right w:type="dxa" w:w="100"/>
            </w:tcMar>
          </w:tcPr>
          <w:p>
            <w:r>
              <w:rPr>
                <w:b w:val="false"/>
                <w:bCs w:val="false"/>
                <w:color w:val="222222"/>
                <w:sz w:val="17"/>
                <w:szCs w:val="17"/>
              </w:rPr>
              <w:t xml:space="preserve">Market position</w:t>
            </w:r>
          </w:p>
        </w:tc>
        <w:tc>
          <w:tcPr>
            <w:tcW w:type="dxa" w:w="2621"/>
            <w:tcMar>
              <w:top w:type="dxa" w:w="60"/>
              <w:left w:type="dxa" w:w="100"/>
              <w:bottom w:type="dxa" w:w="60"/>
              <w:right w:type="dxa" w:w="100"/>
            </w:tcMar>
          </w:tcPr>
          <w:p>
            <w:r>
              <w:rPr>
                <w:b w:val="false"/>
                <w:bCs w:val="false"/>
                <w:color w:val="222222"/>
                <w:sz w:val="17"/>
                <w:szCs w:val="17"/>
              </w:rPr>
              <w:t xml:space="preserve">World's largest freighter network, 7.1% global share</w:t>
            </w:r>
          </w:p>
        </w:tc>
        <w:tc>
          <w:tcPr>
            <w:tcW w:type="dxa" w:w="2621"/>
            <w:tcMar>
              <w:top w:type="dxa" w:w="60"/>
              <w:left w:type="dxa" w:w="100"/>
              <w:bottom w:type="dxa" w:w="60"/>
              <w:right w:type="dxa" w:w="100"/>
            </w:tcMar>
          </w:tcPr>
          <w:p>
            <w:r>
              <w:rPr>
                <w:b w:val="false"/>
                <w:bCs w:val="false"/>
                <w:color w:val="222222"/>
                <w:sz w:val="17"/>
                <w:szCs w:val="17"/>
              </w:rPr>
              <w:t xml:space="preserve">Major freighter operator, expanding 777F fleet</w:t>
            </w:r>
          </w:p>
        </w:tc>
        <w:tc>
          <w:tcPr>
            <w:tcW w:type="dxa" w:w="2218"/>
            <w:tcMar>
              <w:top w:type="dxa" w:w="60"/>
              <w:left w:type="dxa" w:w="100"/>
              <w:bottom w:type="dxa" w:w="60"/>
              <w:right w:type="dxa" w:w="100"/>
            </w:tcMar>
          </w:tcPr>
          <w:p>
            <w:r>
              <w:rPr>
                <w:b w:val="false"/>
                <w:bCs w:val="false"/>
                <w:color w:val="222222"/>
                <w:sz w:val="17"/>
                <w:szCs w:val="17"/>
              </w:rPr>
              <w:t xml:space="preserve">Both are top-3 global cargo carriers</w:t>
            </w:r>
          </w:p>
        </w:tc>
      </w:tr>
      <w:tr>
        <w:tc>
          <w:tcPr>
            <w:tcW w:type="dxa" w:w="2621"/>
            <w:shd w:fill="F2F2F2" w:color="auto" w:val="clear"/>
            <w:tcMar>
              <w:top w:type="dxa" w:w="60"/>
              <w:left w:type="dxa" w:w="100"/>
              <w:bottom w:type="dxa" w:w="60"/>
              <w:right w:type="dxa" w:w="100"/>
            </w:tcMar>
          </w:tcPr>
          <w:p>
            <w:r>
              <w:rPr>
                <w:b w:val="false"/>
                <w:bCs w:val="false"/>
                <w:color w:val="222222"/>
                <w:sz w:val="17"/>
                <w:szCs w:val="17"/>
              </w:rPr>
              <w:t xml:space="preserve">% of group revenue</w:t>
            </w:r>
          </w:p>
        </w:tc>
        <w:tc>
          <w:tcPr>
            <w:tcW w:type="dxa" w:w="2621"/>
            <w:shd w:fill="F2F2F2" w:color="auto" w:val="clear"/>
            <w:tcMar>
              <w:top w:type="dxa" w:w="60"/>
              <w:left w:type="dxa" w:w="100"/>
              <w:bottom w:type="dxa" w:w="60"/>
              <w:right w:type="dxa" w:w="100"/>
            </w:tcMar>
          </w:tcPr>
          <w:p>
            <w:r>
              <w:rPr>
                <w:b w:val="false"/>
                <w:bCs w:val="false"/>
                <w:color w:val="222222"/>
                <w:sz w:val="17"/>
                <w:szCs w:val="17"/>
              </w:rPr>
              <w:t xml:space="preserve">~9%</w:t>
            </w:r>
          </w:p>
        </w:tc>
        <w:tc>
          <w:tcPr>
            <w:tcW w:type="dxa" w:w="2621"/>
            <w:shd w:fill="F2F2F2" w:color="auto" w:val="clear"/>
            <w:tcMar>
              <w:top w:type="dxa" w:w="60"/>
              <w:left w:type="dxa" w:w="100"/>
              <w:bottom w:type="dxa" w:w="60"/>
              <w:right w:type="dxa" w:w="100"/>
            </w:tcMar>
          </w:tcPr>
          <w:p>
            <w:r>
              <w:rPr>
                <w:b w:val="false"/>
                <w:bCs w:val="false"/>
                <w:color w:val="222222"/>
                <w:sz w:val="17"/>
                <w:szCs w:val="17"/>
              </w:rPr>
              <w:t xml:space="preserve">~13%</w:t>
            </w:r>
          </w:p>
        </w:tc>
        <w:tc>
          <w:tcPr>
            <w:tcW w:type="dxa" w:w="2218"/>
            <w:shd w:fill="F2F2F2" w:color="auto" w:val="clear"/>
            <w:tcMar>
              <w:top w:type="dxa" w:w="60"/>
              <w:left w:type="dxa" w:w="100"/>
              <w:bottom w:type="dxa" w:w="60"/>
              <w:right w:type="dxa" w:w="100"/>
            </w:tcMar>
          </w:tcPr>
          <w:p>
            <w:r>
              <w:rPr>
                <w:b w:val="false"/>
                <w:bCs w:val="false"/>
                <w:color w:val="222222"/>
                <w:sz w:val="17"/>
                <w:szCs w:val="17"/>
              </w:rPr>
              <w:t xml:space="preserve">Cargo is a larger relative revenue driver for Emirates</w:t>
            </w:r>
          </w:p>
        </w:tc>
      </w:tr>
    </w:tbl>
    <w:p>
      <w:pPr>
        <w:pStyle w:val="Heading1"/>
        <w:pBdr>
          <w:bottom w:val="single" w:color="8A1538" w:sz="6" w:space="2"/>
        </w:pBdr>
        <w:spacing w:after="100" w:before="240"/>
      </w:pPr>
      <w:r>
        <w:rPr>
          <w:b/>
          <w:bCs/>
          <w:color w:val="8A1538"/>
          <w:sz w:val="26"/>
          <w:szCs w:val="26"/>
        </w:rPr>
        <w:t xml:space="preserve">4. Catering</w:t>
      </w:r>
    </w:p>
    <w:p>
      <w:pPr>
        <w:spacing w:after="100"/>
      </w:pPr>
      <w:r>
        <w:rPr>
          <w:color w:val="222222"/>
          <w:sz w:val="19"/>
          <w:szCs w:val="19"/>
        </w:rPr>
        <w:t xml:space="preserve">Qatar Airways' in-house catering arm, Qatar Aircraft Catering Company (QACC), supplies Doha-based flights with region-specific, chef-curated menus and is a key contributor to the Group's diversified revenue, alongside cargo and Qatar Duty Free. Its principal rival is dnata Catering (Emirates Group), one of the world's largest airline caterers, serving Emirates and over 100 other airlines from hubs including Dubai; dnata's catering and cargo-handling services helped drive a 12% revenue rise to AED 23.6bn ($6.4bn) for the division in FY2025/26. Singapore Airlines' SATS and Turkish Do &amp; Co are the other major global benchmarks. Where dnata competes on third-party catering scale, Qatar Airways focuses catering investment on differentiated onboard dining (multi-course Business Class menus, on-demand "Dine Up" service) as a brand differentiator rather than a standalone commercial catering business.</w:t>
      </w:r>
    </w:p>
    <w:p>
      <w:pPr>
        <w:pStyle w:val="Heading1"/>
        <w:pBdr>
          <w:bottom w:val="single" w:color="8A1538" w:sz="6" w:space="2"/>
        </w:pBdr>
        <w:spacing w:after="100" w:before="240"/>
      </w:pPr>
      <w:r>
        <w:rPr>
          <w:b/>
          <w:bCs/>
          <w:color w:val="8A1538"/>
          <w:sz w:val="26"/>
          <w:szCs w:val="26"/>
        </w:rPr>
        <w:t xml:space="preserve">5. Flight Safety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528"/>
        <w:gridCol w:w="3528"/>
      </w:tblGrid>
      <w:tr>
        <w:trPr>
          <w:tblHeader/>
        </w:trPr>
        <w:tc>
          <w:tcPr>
            <w:tcW w:type="dxa" w:w="3024"/>
            <w:shd w:fill="8A1538" w:color="auto" w:val="clear"/>
            <w:tcMar>
              <w:top w:type="dxa" w:w="60"/>
              <w:left w:type="dxa" w:w="100"/>
              <w:bottom w:type="dxa" w:w="60"/>
              <w:right w:type="dxa" w:w="100"/>
            </w:tcMar>
          </w:tcPr>
          <w:p>
            <w:r>
              <w:rPr>
                <w:b/>
                <w:bCs/>
                <w:color w:val="FFFFFF"/>
                <w:sz w:val="17"/>
                <w:szCs w:val="17"/>
              </w:rPr>
              <w:t xml:space="preserve">Safety Benchmark</w:t>
            </w:r>
          </w:p>
        </w:tc>
        <w:tc>
          <w:tcPr>
            <w:tcW w:type="dxa" w:w="3528"/>
            <w:shd w:fill="8A1538" w:color="auto" w:val="clear"/>
            <w:tcMar>
              <w:top w:type="dxa" w:w="60"/>
              <w:left w:type="dxa" w:w="100"/>
              <w:bottom w:type="dxa" w:w="60"/>
              <w:right w:type="dxa" w:w="100"/>
            </w:tcMar>
          </w:tcPr>
          <w:p>
            <w:r>
              <w:rPr>
                <w:b/>
                <w:bCs/>
                <w:color w:val="FFFFFF"/>
                <w:sz w:val="17"/>
                <w:szCs w:val="17"/>
              </w:rPr>
              <w:t xml:space="preserve">Qatar Airways</w:t>
            </w:r>
          </w:p>
        </w:tc>
        <w:tc>
          <w:tcPr>
            <w:tcW w:type="dxa" w:w="3528"/>
            <w:shd w:fill="8A1538" w:color="auto" w:val="clear"/>
            <w:tcMar>
              <w:top w:type="dxa" w:w="60"/>
              <w:left w:type="dxa" w:w="100"/>
              <w:bottom w:type="dxa" w:w="60"/>
              <w:right w:type="dxa" w:w="100"/>
            </w:tcMar>
          </w:tcPr>
          <w:p>
            <w:r>
              <w:rPr>
                <w:b/>
                <w:bCs/>
                <w:color w:val="FFFFFF"/>
                <w:sz w:val="17"/>
                <w:szCs w:val="17"/>
              </w:rPr>
              <w:t xml:space="preserve">Comparable Carriers</w:t>
            </w:r>
          </w:p>
        </w:tc>
      </w:tr>
      <w:tr>
        <w:tc>
          <w:tcPr>
            <w:tcW w:type="dxa" w:w="3024"/>
            <w:tcMar>
              <w:top w:type="dxa" w:w="60"/>
              <w:left w:type="dxa" w:w="100"/>
              <w:bottom w:type="dxa" w:w="60"/>
              <w:right w:type="dxa" w:w="100"/>
            </w:tcMar>
          </w:tcPr>
          <w:p>
            <w:r>
              <w:rPr>
                <w:b w:val="false"/>
                <w:bCs w:val="false"/>
                <w:color w:val="222222"/>
                <w:sz w:val="17"/>
                <w:szCs w:val="17"/>
              </w:rPr>
              <w:t xml:space="preserve">2026 global safety index (AirlineRatings)</w:t>
            </w:r>
          </w:p>
        </w:tc>
        <w:tc>
          <w:tcPr>
            <w:tcW w:type="dxa" w:w="3528"/>
            <w:tcMar>
              <w:top w:type="dxa" w:w="60"/>
              <w:left w:type="dxa" w:w="100"/>
              <w:bottom w:type="dxa" w:w="60"/>
              <w:right w:type="dxa" w:w="100"/>
            </w:tcMar>
          </w:tcPr>
          <w:p>
            <w:r>
              <w:rPr>
                <w:b w:val="false"/>
                <w:bCs w:val="false"/>
                <w:color w:val="222222"/>
                <w:sz w:val="17"/>
                <w:szCs w:val="17"/>
              </w:rPr>
              <w:t xml:space="preserve">Top-tier, but ranked behind Etihad</w:t>
            </w:r>
          </w:p>
        </w:tc>
        <w:tc>
          <w:tcPr>
            <w:tcW w:type="dxa" w:w="3528"/>
            <w:tcMar>
              <w:top w:type="dxa" w:w="60"/>
              <w:left w:type="dxa" w:w="100"/>
              <w:bottom w:type="dxa" w:w="60"/>
              <w:right w:type="dxa" w:w="100"/>
            </w:tcMar>
          </w:tcPr>
          <w:p>
            <w:r>
              <w:rPr>
                <w:b w:val="false"/>
                <w:bCs w:val="false"/>
                <w:color w:val="222222"/>
                <w:sz w:val="17"/>
                <w:szCs w:val="17"/>
              </w:rPr>
              <w:t xml:space="preserve">Etihad Airways ranked #1 for 2026</w:t>
            </w:r>
          </w:p>
        </w:tc>
      </w:tr>
      <w:tr>
        <w:tc>
          <w:tcPr>
            <w:tcW w:type="dxa" w:w="3024"/>
            <w:shd w:fill="F2F2F2" w:color="auto" w:val="clear"/>
            <w:tcMar>
              <w:top w:type="dxa" w:w="60"/>
              <w:left w:type="dxa" w:w="100"/>
              <w:bottom w:type="dxa" w:w="60"/>
              <w:right w:type="dxa" w:w="100"/>
            </w:tcMar>
          </w:tcPr>
          <w:p>
            <w:r>
              <w:rPr>
                <w:b w:val="false"/>
                <w:bCs w:val="false"/>
                <w:color w:val="222222"/>
                <w:sz w:val="17"/>
                <w:szCs w:val="17"/>
              </w:rPr>
              <w:t xml:space="preserve">Fleet age / modernization</w:t>
            </w:r>
          </w:p>
        </w:tc>
        <w:tc>
          <w:tcPr>
            <w:tcW w:type="dxa" w:w="3528"/>
            <w:shd w:fill="F2F2F2" w:color="auto" w:val="clear"/>
            <w:tcMar>
              <w:top w:type="dxa" w:w="60"/>
              <w:left w:type="dxa" w:w="100"/>
              <w:bottom w:type="dxa" w:w="60"/>
              <w:right w:type="dxa" w:w="100"/>
            </w:tcMar>
          </w:tcPr>
          <w:p>
            <w:r>
              <w:rPr>
                <w:b w:val="false"/>
                <w:bCs w:val="false"/>
                <w:color w:val="222222"/>
                <w:sz w:val="17"/>
                <w:szCs w:val="17"/>
              </w:rPr>
              <w:t xml:space="preserve">Modern widebody fleet (A350, 787, 777, A380)</w:t>
            </w:r>
          </w:p>
        </w:tc>
        <w:tc>
          <w:tcPr>
            <w:tcW w:type="dxa" w:w="3528"/>
            <w:shd w:fill="F2F2F2" w:color="auto" w:val="clear"/>
            <w:tcMar>
              <w:top w:type="dxa" w:w="60"/>
              <w:left w:type="dxa" w:w="100"/>
              <w:bottom w:type="dxa" w:w="60"/>
              <w:right w:type="dxa" w:w="100"/>
            </w:tcMar>
          </w:tcPr>
          <w:p>
            <w:r>
              <w:rPr>
                <w:b w:val="false"/>
                <w:bCs w:val="false"/>
                <w:color w:val="222222"/>
                <w:sz w:val="17"/>
                <w:szCs w:val="17"/>
              </w:rPr>
              <w:t xml:space="preserve">Emirates and Singapore Airlines similarly young widebody fleets</w:t>
            </w:r>
          </w:p>
        </w:tc>
      </w:tr>
      <w:tr>
        <w:tc>
          <w:tcPr>
            <w:tcW w:type="dxa" w:w="3024"/>
            <w:tcMar>
              <w:top w:type="dxa" w:w="60"/>
              <w:left w:type="dxa" w:w="100"/>
              <w:bottom w:type="dxa" w:w="60"/>
              <w:right w:type="dxa" w:w="100"/>
            </w:tcMar>
          </w:tcPr>
          <w:p>
            <w:r>
              <w:rPr>
                <w:b w:val="false"/>
                <w:bCs w:val="false"/>
                <w:color w:val="222222"/>
                <w:sz w:val="17"/>
                <w:szCs w:val="17"/>
              </w:rPr>
              <w:t xml:space="preserve">Regulatory compliance</w:t>
            </w:r>
          </w:p>
        </w:tc>
        <w:tc>
          <w:tcPr>
            <w:tcW w:type="dxa" w:w="3528"/>
            <w:tcMar>
              <w:top w:type="dxa" w:w="60"/>
              <w:left w:type="dxa" w:w="100"/>
              <w:bottom w:type="dxa" w:w="60"/>
              <w:right w:type="dxa" w:w="100"/>
            </w:tcMar>
          </w:tcPr>
          <w:p>
            <w:r>
              <w:rPr>
                <w:b w:val="false"/>
                <w:bCs w:val="false"/>
                <w:color w:val="222222"/>
                <w:sz w:val="17"/>
                <w:szCs w:val="17"/>
              </w:rPr>
              <w:t xml:space="preserve">IOSA-certified, GCAA/QCAA oversight</w:t>
            </w:r>
          </w:p>
        </w:tc>
        <w:tc>
          <w:tcPr>
            <w:tcW w:type="dxa" w:w="3528"/>
            <w:tcMar>
              <w:top w:type="dxa" w:w="60"/>
              <w:left w:type="dxa" w:w="100"/>
              <w:bottom w:type="dxa" w:w="60"/>
              <w:right w:type="dxa" w:w="100"/>
            </w:tcMar>
          </w:tcPr>
          <w:p>
            <w:r>
              <w:rPr>
                <w:b w:val="false"/>
                <w:bCs w:val="false"/>
                <w:color w:val="222222"/>
                <w:sz w:val="17"/>
                <w:szCs w:val="17"/>
              </w:rPr>
              <w:t xml:space="preserve">Comparable IOSA certification across major full-service carriers</w:t>
            </w:r>
          </w:p>
        </w:tc>
      </w:tr>
      <w:tr>
        <w:tc>
          <w:tcPr>
            <w:tcW w:type="dxa" w:w="3024"/>
            <w:shd w:fill="F2F2F2" w:color="auto" w:val="clear"/>
            <w:tcMar>
              <w:top w:type="dxa" w:w="60"/>
              <w:left w:type="dxa" w:w="100"/>
              <w:bottom w:type="dxa" w:w="60"/>
              <w:right w:type="dxa" w:w="100"/>
            </w:tcMar>
          </w:tcPr>
          <w:p>
            <w:r>
              <w:rPr>
                <w:b w:val="false"/>
                <w:bCs w:val="false"/>
                <w:color w:val="222222"/>
                <w:sz w:val="17"/>
                <w:szCs w:val="17"/>
              </w:rPr>
              <w:t xml:space="preserve">Reliability recognition</w:t>
            </w:r>
          </w:p>
        </w:tc>
        <w:tc>
          <w:tcPr>
            <w:tcW w:type="dxa" w:w="3528"/>
            <w:shd w:fill="F2F2F2" w:color="auto" w:val="clear"/>
            <w:tcMar>
              <w:top w:type="dxa" w:w="60"/>
              <w:left w:type="dxa" w:w="100"/>
              <w:bottom w:type="dxa" w:w="60"/>
              <w:right w:type="dxa" w:w="100"/>
            </w:tcMar>
          </w:tcPr>
          <w:p>
            <w:r>
              <w:rPr>
                <w:b w:val="false"/>
                <w:bCs w:val="false"/>
                <w:color w:val="222222"/>
                <w:sz w:val="17"/>
                <w:szCs w:val="17"/>
              </w:rPr>
              <w:t xml:space="preserve">Cited for "best-in-class reliability" in FY25 annual report</w:t>
            </w:r>
          </w:p>
        </w:tc>
        <w:tc>
          <w:tcPr>
            <w:tcW w:type="dxa" w:w="3528"/>
            <w:shd w:fill="F2F2F2" w:color="auto" w:val="clear"/>
            <w:tcMar>
              <w:top w:type="dxa" w:w="60"/>
              <w:left w:type="dxa" w:w="100"/>
              <w:bottom w:type="dxa" w:w="60"/>
              <w:right w:type="dxa" w:w="100"/>
            </w:tcMar>
          </w:tcPr>
          <w:p>
            <w:r>
              <w:rPr>
                <w:b w:val="false"/>
                <w:bCs w:val="false"/>
                <w:color w:val="222222"/>
                <w:sz w:val="17"/>
                <w:szCs w:val="17"/>
              </w:rPr>
              <w:t xml:space="preserve">Cirium and AirHelp place Qatar among top-5 for operational reliability</w:t>
            </w:r>
          </w:p>
        </w:tc>
      </w:tr>
    </w:tbl>
    <w:p>
      <w:pPr>
        <w:spacing w:after="100"/>
      </w:pPr>
      <w:r>
        <w:rPr>
          <w:i/>
          <w:iCs/>
          <w:color w:val="666666"/>
          <w:sz w:val="17"/>
          <w:szCs w:val="17"/>
        </w:rPr>
        <w:t xml:space="preserve">Note: no major full-service Gulf or Asian carrier compared here has a material fatal-accident record in the past decade; differentiation in current rankings comes from fleet age, pilot-training investment, and compliance audit scores rather than incident history.</w:t>
      </w:r>
    </w:p>
    <w:p>
      <w:pPr>
        <w:pageBreakBefore/>
      </w:pPr>
    </w:p>
    <w:p>
      <w:pPr>
        <w:pStyle w:val="Heading1"/>
        <w:pBdr>
          <w:bottom w:val="single" w:color="8A1538" w:sz="6" w:space="2"/>
        </w:pBdr>
        <w:spacing w:after="100" w:before="240"/>
      </w:pPr>
      <w:r>
        <w:rPr>
          <w:b/>
          <w:bCs/>
          <w:color w:val="8A1538"/>
          <w:sz w:val="26"/>
          <w:szCs w:val="26"/>
        </w:rPr>
        <w:t xml:space="preserve">6. Loyalty &amp; Rewards Programs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419"/>
        <w:gridCol w:w="2218"/>
        <w:gridCol w:w="3226"/>
      </w:tblGrid>
      <w:tr>
        <w:trPr>
          <w:tblHeader/>
        </w:trPr>
        <w:tc>
          <w:tcPr>
            <w:tcW w:type="dxa" w:w="2218"/>
            <w:shd w:fill="8A1538" w:color="auto" w:val="clear"/>
            <w:tcMar>
              <w:top w:type="dxa" w:w="60"/>
              <w:left w:type="dxa" w:w="100"/>
              <w:bottom w:type="dxa" w:w="60"/>
              <w:right w:type="dxa" w:w="100"/>
            </w:tcMar>
          </w:tcPr>
          <w:p>
            <w:r>
              <w:rPr>
                <w:b/>
                <w:bCs/>
                <w:color w:val="FFFFFF"/>
                <w:sz w:val="17"/>
                <w:szCs w:val="17"/>
              </w:rPr>
              <w:t xml:space="preserve">Program</w:t>
            </w:r>
          </w:p>
        </w:tc>
        <w:tc>
          <w:tcPr>
            <w:tcW w:type="dxa" w:w="2419"/>
            <w:shd w:fill="8A1538" w:color="auto" w:val="clear"/>
            <w:tcMar>
              <w:top w:type="dxa" w:w="60"/>
              <w:left w:type="dxa" w:w="100"/>
              <w:bottom w:type="dxa" w:w="60"/>
              <w:right w:type="dxa" w:w="100"/>
            </w:tcMar>
          </w:tcPr>
          <w:p>
            <w:r>
              <w:rPr>
                <w:b/>
                <w:bCs/>
                <w:color w:val="FFFFFF"/>
                <w:sz w:val="17"/>
                <w:szCs w:val="17"/>
              </w:rPr>
              <w:t xml:space="preserve">Airline</w:t>
            </w:r>
          </w:p>
        </w:tc>
        <w:tc>
          <w:tcPr>
            <w:tcW w:type="dxa" w:w="2218"/>
            <w:shd w:fill="8A1538" w:color="auto" w:val="clear"/>
            <w:tcMar>
              <w:top w:type="dxa" w:w="60"/>
              <w:left w:type="dxa" w:w="100"/>
              <w:bottom w:type="dxa" w:w="60"/>
              <w:right w:type="dxa" w:w="100"/>
            </w:tcMar>
          </w:tcPr>
          <w:p>
            <w:r>
              <w:rPr>
                <w:b/>
                <w:bCs/>
                <w:color w:val="FFFFFF"/>
                <w:sz w:val="17"/>
                <w:szCs w:val="17"/>
              </w:rPr>
              <w:t xml:space="preserve">Alliance</w:t>
            </w:r>
          </w:p>
        </w:tc>
        <w:tc>
          <w:tcPr>
            <w:tcW w:type="dxa" w:w="3226"/>
            <w:shd w:fill="8A1538" w:color="auto" w:val="clear"/>
            <w:tcMar>
              <w:top w:type="dxa" w:w="60"/>
              <w:left w:type="dxa" w:w="100"/>
              <w:bottom w:type="dxa" w:w="60"/>
              <w:right w:type="dxa" w:w="100"/>
            </w:tcMar>
          </w:tcPr>
          <w:p>
            <w:r>
              <w:rPr>
                <w:b/>
                <w:bCs/>
                <w:color w:val="FFFFFF"/>
                <w:sz w:val="17"/>
                <w:szCs w:val="17"/>
              </w:rPr>
              <w:t xml:space="preserve">2025 Standing</w:t>
            </w:r>
          </w:p>
        </w:tc>
      </w:tr>
      <w:tr>
        <w:tc>
          <w:tcPr>
            <w:tcW w:type="dxa" w:w="2218"/>
            <w:tcMar>
              <w:top w:type="dxa" w:w="60"/>
              <w:left w:type="dxa" w:w="100"/>
              <w:bottom w:type="dxa" w:w="60"/>
              <w:right w:type="dxa" w:w="100"/>
            </w:tcMar>
          </w:tcPr>
          <w:p>
            <w:r>
              <w:rPr>
                <w:b w:val="false"/>
                <w:bCs w:val="false"/>
                <w:color w:val="222222"/>
                <w:sz w:val="17"/>
                <w:szCs w:val="17"/>
              </w:rPr>
              <w:t xml:space="preserve">Privilege Club</w:t>
            </w:r>
          </w:p>
        </w:tc>
        <w:tc>
          <w:tcPr>
            <w:tcW w:type="dxa" w:w="2419"/>
            <w:tcMar>
              <w:top w:type="dxa" w:w="60"/>
              <w:left w:type="dxa" w:w="100"/>
              <w:bottom w:type="dxa" w:w="60"/>
              <w:right w:type="dxa" w:w="100"/>
            </w:tcMar>
          </w:tcPr>
          <w:p>
            <w:r>
              <w:rPr>
                <w:b w:val="false"/>
                <w:bCs w:val="false"/>
                <w:color w:val="222222"/>
                <w:sz w:val="17"/>
                <w:szCs w:val="17"/>
              </w:rPr>
              <w:t xml:space="preserve">Qatar Airways</w:t>
            </w:r>
          </w:p>
        </w:tc>
        <w:tc>
          <w:tcPr>
            <w:tcW w:type="dxa" w:w="2218"/>
            <w:tcMar>
              <w:top w:type="dxa" w:w="60"/>
              <w:left w:type="dxa" w:w="100"/>
              <w:bottom w:type="dxa" w:w="60"/>
              <w:right w:type="dxa" w:w="100"/>
            </w:tcMar>
          </w:tcPr>
          <w:p>
            <w:r>
              <w:rPr>
                <w:b w:val="false"/>
                <w:bCs w:val="false"/>
                <w:color w:val="222222"/>
                <w:sz w:val="17"/>
                <w:szCs w:val="17"/>
              </w:rPr>
              <w:t xml:space="preserve">Oneworld</w:t>
            </w:r>
          </w:p>
        </w:tc>
        <w:tc>
          <w:tcPr>
            <w:tcW w:type="dxa" w:w="3226"/>
            <w:tcMar>
              <w:top w:type="dxa" w:w="60"/>
              <w:left w:type="dxa" w:w="100"/>
              <w:bottom w:type="dxa" w:w="60"/>
              <w:right w:type="dxa" w:w="100"/>
            </w:tcMar>
          </w:tcPr>
          <w:p>
            <w:r>
              <w:rPr>
                <w:b w:val="false"/>
                <w:bCs w:val="false"/>
                <w:color w:val="222222"/>
                <w:sz w:val="17"/>
                <w:szCs w:val="17"/>
              </w:rPr>
              <w:t xml:space="preserve">Ranked #1 by Business Traveller readers (2025); Avios-integrated</w:t>
            </w:r>
          </w:p>
        </w:tc>
      </w:tr>
      <w:tr>
        <w:tc>
          <w:tcPr>
            <w:tcW w:type="dxa" w:w="2218"/>
            <w:shd w:fill="F2F2F2" w:color="auto" w:val="clear"/>
            <w:tcMar>
              <w:top w:type="dxa" w:w="60"/>
              <w:left w:type="dxa" w:w="100"/>
              <w:bottom w:type="dxa" w:w="60"/>
              <w:right w:type="dxa" w:w="100"/>
            </w:tcMar>
          </w:tcPr>
          <w:p>
            <w:r>
              <w:rPr>
                <w:b w:val="false"/>
                <w:bCs w:val="false"/>
                <w:color w:val="222222"/>
                <w:sz w:val="17"/>
                <w:szCs w:val="17"/>
              </w:rPr>
              <w:t xml:space="preserve">Skywards</w:t>
            </w:r>
          </w:p>
        </w:tc>
        <w:tc>
          <w:tcPr>
            <w:tcW w:type="dxa" w:w="2419"/>
            <w:shd w:fill="F2F2F2" w:color="auto" w:val="clear"/>
            <w:tcMar>
              <w:top w:type="dxa" w:w="60"/>
              <w:left w:type="dxa" w:w="100"/>
              <w:bottom w:type="dxa" w:w="60"/>
              <w:right w:type="dxa" w:w="100"/>
            </w:tcMar>
          </w:tcPr>
          <w:p>
            <w:r>
              <w:rPr>
                <w:b w:val="false"/>
                <w:bCs w:val="false"/>
                <w:color w:val="222222"/>
                <w:sz w:val="17"/>
                <w:szCs w:val="17"/>
              </w:rPr>
              <w:t xml:space="preserve">Emirates</w:t>
            </w:r>
          </w:p>
        </w:tc>
        <w:tc>
          <w:tcPr>
            <w:tcW w:type="dxa" w:w="2218"/>
            <w:shd w:fill="F2F2F2" w:color="auto" w:val="clear"/>
            <w:tcMar>
              <w:top w:type="dxa" w:w="60"/>
              <w:left w:type="dxa" w:w="100"/>
              <w:bottom w:type="dxa" w:w="60"/>
              <w:right w:type="dxa" w:w="100"/>
            </w:tcMar>
          </w:tcPr>
          <w:p>
            <w:r>
              <w:rPr>
                <w:b w:val="false"/>
                <w:bCs w:val="false"/>
                <w:color w:val="222222"/>
                <w:sz w:val="17"/>
                <w:szCs w:val="17"/>
              </w:rPr>
              <w:t xml:space="preserve">None (independent)</w:t>
            </w:r>
          </w:p>
        </w:tc>
        <w:tc>
          <w:tcPr>
            <w:tcW w:type="dxa" w:w="3226"/>
            <w:shd w:fill="F2F2F2" w:color="auto" w:val="clear"/>
            <w:tcMar>
              <w:top w:type="dxa" w:w="60"/>
              <w:left w:type="dxa" w:w="100"/>
              <w:bottom w:type="dxa" w:w="60"/>
              <w:right w:type="dxa" w:w="100"/>
            </w:tcMar>
          </w:tcPr>
          <w:p>
            <w:r>
              <w:rPr>
                <w:b w:val="false"/>
                <w:bCs w:val="false"/>
                <w:color w:val="222222"/>
                <w:sz w:val="17"/>
                <w:szCs w:val="17"/>
              </w:rPr>
              <w:t xml:space="preserve">"Best Global Airline Loyalty Program," Intl. Loyalty Awards 2025; 37m+ members</w:t>
            </w:r>
          </w:p>
        </w:tc>
      </w:tr>
      <w:tr>
        <w:tc>
          <w:tcPr>
            <w:tcW w:type="dxa" w:w="2218"/>
            <w:tcMar>
              <w:top w:type="dxa" w:w="60"/>
              <w:left w:type="dxa" w:w="100"/>
              <w:bottom w:type="dxa" w:w="60"/>
              <w:right w:type="dxa" w:w="100"/>
            </w:tcMar>
          </w:tcPr>
          <w:p>
            <w:r>
              <w:rPr>
                <w:b w:val="false"/>
                <w:bCs w:val="false"/>
                <w:color w:val="222222"/>
                <w:sz w:val="17"/>
                <w:szCs w:val="17"/>
              </w:rPr>
              <w:t xml:space="preserve">KrisFlyer</w:t>
            </w:r>
          </w:p>
        </w:tc>
        <w:tc>
          <w:tcPr>
            <w:tcW w:type="dxa" w:w="2419"/>
            <w:tcMar>
              <w:top w:type="dxa" w:w="60"/>
              <w:left w:type="dxa" w:w="100"/>
              <w:bottom w:type="dxa" w:w="60"/>
              <w:right w:type="dxa" w:w="100"/>
            </w:tcMar>
          </w:tcPr>
          <w:p>
            <w:r>
              <w:rPr>
                <w:b w:val="false"/>
                <w:bCs w:val="false"/>
                <w:color w:val="222222"/>
                <w:sz w:val="17"/>
                <w:szCs w:val="17"/>
              </w:rPr>
              <w:t xml:space="preserve">Singapore Airlines</w:t>
            </w:r>
          </w:p>
        </w:tc>
        <w:tc>
          <w:tcPr>
            <w:tcW w:type="dxa" w:w="2218"/>
            <w:tcMar>
              <w:top w:type="dxa" w:w="60"/>
              <w:left w:type="dxa" w:w="100"/>
              <w:bottom w:type="dxa" w:w="60"/>
              <w:right w:type="dxa" w:w="100"/>
            </w:tcMar>
          </w:tcPr>
          <w:p>
            <w:r>
              <w:rPr>
                <w:b w:val="false"/>
                <w:bCs w:val="false"/>
                <w:color w:val="222222"/>
                <w:sz w:val="17"/>
                <w:szCs w:val="17"/>
              </w:rPr>
              <w:t xml:space="preserve">Star Alliance</w:t>
            </w:r>
          </w:p>
        </w:tc>
        <w:tc>
          <w:tcPr>
            <w:tcW w:type="dxa" w:w="3226"/>
            <w:tcMar>
              <w:top w:type="dxa" w:w="60"/>
              <w:left w:type="dxa" w:w="100"/>
              <w:bottom w:type="dxa" w:w="60"/>
              <w:right w:type="dxa" w:w="100"/>
            </w:tcMar>
          </w:tcPr>
          <w:p>
            <w:r>
              <w:rPr>
                <w:b w:val="false"/>
                <w:bCs w:val="false"/>
                <w:color w:val="222222"/>
                <w:sz w:val="17"/>
                <w:szCs w:val="17"/>
              </w:rPr>
              <w:t xml:space="preserve">Consistently top-3 for premium redemption value and reliability</w:t>
            </w:r>
          </w:p>
        </w:tc>
      </w:tr>
      <w:tr>
        <w:tc>
          <w:tcPr>
            <w:tcW w:type="dxa" w:w="2218"/>
            <w:shd w:fill="F2F2F2" w:color="auto" w:val="clear"/>
            <w:tcMar>
              <w:top w:type="dxa" w:w="60"/>
              <w:left w:type="dxa" w:w="100"/>
              <w:bottom w:type="dxa" w:w="60"/>
              <w:right w:type="dxa" w:w="100"/>
            </w:tcMar>
          </w:tcPr>
          <w:p>
            <w:r>
              <w:rPr>
                <w:b w:val="false"/>
                <w:bCs w:val="false"/>
                <w:color w:val="222222"/>
                <w:sz w:val="17"/>
                <w:szCs w:val="17"/>
              </w:rPr>
              <w:t xml:space="preserve">Miles&amp;Smiles</w:t>
            </w:r>
          </w:p>
        </w:tc>
        <w:tc>
          <w:tcPr>
            <w:tcW w:type="dxa" w:w="2419"/>
            <w:shd w:fill="F2F2F2" w:color="auto" w:val="clear"/>
            <w:tcMar>
              <w:top w:type="dxa" w:w="60"/>
              <w:left w:type="dxa" w:w="100"/>
              <w:bottom w:type="dxa" w:w="60"/>
              <w:right w:type="dxa" w:w="100"/>
            </w:tcMar>
          </w:tcPr>
          <w:p>
            <w:r>
              <w:rPr>
                <w:b w:val="false"/>
                <w:bCs w:val="false"/>
                <w:color w:val="222222"/>
                <w:sz w:val="17"/>
                <w:szCs w:val="17"/>
              </w:rPr>
              <w:t xml:space="preserve">Turkish Airlines</w:t>
            </w:r>
          </w:p>
        </w:tc>
        <w:tc>
          <w:tcPr>
            <w:tcW w:type="dxa" w:w="2218"/>
            <w:shd w:fill="F2F2F2" w:color="auto" w:val="clear"/>
            <w:tcMar>
              <w:top w:type="dxa" w:w="60"/>
              <w:left w:type="dxa" w:w="100"/>
              <w:bottom w:type="dxa" w:w="60"/>
              <w:right w:type="dxa" w:w="100"/>
            </w:tcMar>
          </w:tcPr>
          <w:p>
            <w:r>
              <w:rPr>
                <w:b w:val="false"/>
                <w:bCs w:val="false"/>
                <w:color w:val="222222"/>
                <w:sz w:val="17"/>
                <w:szCs w:val="17"/>
              </w:rPr>
              <w:t xml:space="preserve">Star Alliance</w:t>
            </w:r>
          </w:p>
        </w:tc>
        <w:tc>
          <w:tcPr>
            <w:tcW w:type="dxa" w:w="3226"/>
            <w:shd w:fill="F2F2F2" w:color="auto" w:val="clear"/>
            <w:tcMar>
              <w:top w:type="dxa" w:w="60"/>
              <w:left w:type="dxa" w:w="100"/>
              <w:bottom w:type="dxa" w:w="60"/>
              <w:right w:type="dxa" w:w="100"/>
            </w:tcMar>
          </w:tcPr>
          <w:p>
            <w:r>
              <w:rPr>
                <w:b w:val="false"/>
                <w:bCs w:val="false"/>
                <w:color w:val="222222"/>
                <w:sz w:val="17"/>
                <w:szCs w:val="17"/>
              </w:rPr>
              <w:t xml:space="preserve">Strong regional network value, frequent devaluation criticism</w:t>
            </w:r>
          </w:p>
        </w:tc>
      </w:tr>
    </w:tbl>
    <w:p>
      <w:pPr>
        <w:spacing w:after="100"/>
      </w:pPr>
      <w:r>
        <w:rPr>
          <w:color w:val="222222"/>
          <w:sz w:val="19"/>
          <w:szCs w:val="19"/>
        </w:rPr>
        <w:t xml:space="preserve">Qatar Airways' Privilege Club stands out for its integration with the Avios currency (shared with British Airways and Iberia via Oneworld), giving members broad redemption flexibility beyond Qatar's own network. Emirates Skywards, though not tied to a global alliance, compensates with an extensive bilateral partner network and one of the largest member bases in the industry. Singapore's KrisFlyer remains the reference point for premium-cabin award value within Star Alliance.</w:t>
      </w:r>
    </w:p>
    <w:p>
      <w:pPr>
        <w:pStyle w:val="Heading1"/>
        <w:pBdr>
          <w:bottom w:val="single" w:color="8A1538" w:sz="6" w:space="2"/>
        </w:pBdr>
        <w:spacing w:after="100" w:before="240"/>
      </w:pPr>
      <w:r>
        <w:rPr>
          <w:b/>
          <w:bCs/>
          <w:color w:val="8A1538"/>
          <w:sz w:val="26"/>
          <w:szCs w:val="26"/>
        </w:rPr>
        <w:t xml:space="preserve">7. Hospitality &amp; Onboard/Ground Experience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4032"/>
        <w:gridCol w:w="3629"/>
      </w:tblGrid>
      <w:tr>
        <w:trPr>
          <w:tblHeader/>
        </w:trPr>
        <w:tc>
          <w:tcPr>
            <w:tcW w:type="dxa" w:w="2419"/>
            <w:shd w:fill="8A1538" w:color="auto" w:val="clear"/>
            <w:tcMar>
              <w:top w:type="dxa" w:w="60"/>
              <w:left w:type="dxa" w:w="100"/>
              <w:bottom w:type="dxa" w:w="60"/>
              <w:right w:type="dxa" w:w="100"/>
            </w:tcMar>
          </w:tcPr>
          <w:p>
            <w:r>
              <w:rPr>
                <w:b/>
                <w:bCs/>
                <w:color w:val="FFFFFF"/>
                <w:sz w:val="17"/>
                <w:szCs w:val="17"/>
              </w:rPr>
              <w:t xml:space="preserve">Category</w:t>
            </w:r>
          </w:p>
        </w:tc>
        <w:tc>
          <w:tcPr>
            <w:tcW w:type="dxa" w:w="4032"/>
            <w:shd w:fill="8A1538" w:color="auto" w:val="clear"/>
            <w:tcMar>
              <w:top w:type="dxa" w:w="60"/>
              <w:left w:type="dxa" w:w="100"/>
              <w:bottom w:type="dxa" w:w="60"/>
              <w:right w:type="dxa" w:w="100"/>
            </w:tcMar>
          </w:tcPr>
          <w:p>
            <w:r>
              <w:rPr>
                <w:b/>
                <w:bCs/>
                <w:color w:val="FFFFFF"/>
                <w:sz w:val="17"/>
                <w:szCs w:val="17"/>
              </w:rPr>
              <w:t xml:space="preserve">Qatar Airways</w:t>
            </w:r>
          </w:p>
        </w:tc>
        <w:tc>
          <w:tcPr>
            <w:tcW w:type="dxa" w:w="3629"/>
            <w:shd w:fill="8A1538" w:color="auto" w:val="clear"/>
            <w:tcMar>
              <w:top w:type="dxa" w:w="60"/>
              <w:left w:type="dxa" w:w="100"/>
              <w:bottom w:type="dxa" w:w="60"/>
              <w:right w:type="dxa" w:w="100"/>
            </w:tcMar>
          </w:tcPr>
          <w:p>
            <w:r>
              <w:rPr>
                <w:b/>
                <w:bCs/>
                <w:color w:val="FFFFFF"/>
                <w:sz w:val="17"/>
                <w:szCs w:val="17"/>
              </w:rPr>
              <w:t xml:space="preserve">Nearest Rivals</w:t>
            </w:r>
          </w:p>
        </w:tc>
      </w:tr>
      <w:tr>
        <w:tc>
          <w:tcPr>
            <w:tcW w:type="dxa" w:w="2419"/>
            <w:tcMar>
              <w:top w:type="dxa" w:w="60"/>
              <w:left w:type="dxa" w:w="100"/>
              <w:bottom w:type="dxa" w:w="60"/>
              <w:right w:type="dxa" w:w="100"/>
            </w:tcMar>
          </w:tcPr>
          <w:p>
            <w:r>
              <w:rPr>
                <w:b w:val="false"/>
                <w:bCs w:val="false"/>
                <w:color w:val="222222"/>
                <w:sz w:val="17"/>
                <w:szCs w:val="17"/>
              </w:rPr>
              <w:t xml:space="preserve">Business Class product</w:t>
            </w:r>
          </w:p>
        </w:tc>
        <w:tc>
          <w:tcPr>
            <w:tcW w:type="dxa" w:w="4032"/>
            <w:tcMar>
              <w:top w:type="dxa" w:w="60"/>
              <w:left w:type="dxa" w:w="100"/>
              <w:bottom w:type="dxa" w:w="60"/>
              <w:right w:type="dxa" w:w="100"/>
            </w:tcMar>
          </w:tcPr>
          <w:p>
            <w:r>
              <w:rPr>
                <w:b w:val="false"/>
                <w:bCs w:val="false"/>
                <w:color w:val="222222"/>
                <w:sz w:val="17"/>
                <w:szCs w:val="17"/>
              </w:rPr>
              <w:t xml:space="preserve">Qsuite — Skytrax "World's Best Business Class" 2025</w:t>
            </w:r>
          </w:p>
        </w:tc>
        <w:tc>
          <w:tcPr>
            <w:tcW w:type="dxa" w:w="3629"/>
            <w:tcMar>
              <w:top w:type="dxa" w:w="60"/>
              <w:left w:type="dxa" w:w="100"/>
              <w:bottom w:type="dxa" w:w="60"/>
              <w:right w:type="dxa" w:w="100"/>
            </w:tcMar>
          </w:tcPr>
          <w:p>
            <w:r>
              <w:rPr>
                <w:b w:val="false"/>
                <w:bCs w:val="false"/>
                <w:color w:val="222222"/>
                <w:sz w:val="17"/>
                <w:szCs w:val="17"/>
              </w:rPr>
              <w:t xml:space="preserve">Singapore Airlines, Cathay Pacific, Etihad closely ranked</w:t>
            </w:r>
          </w:p>
        </w:tc>
      </w:tr>
      <w:tr>
        <w:tc>
          <w:tcPr>
            <w:tcW w:type="dxa" w:w="2419"/>
            <w:shd w:fill="F2F2F2" w:color="auto" w:val="clear"/>
            <w:tcMar>
              <w:top w:type="dxa" w:w="60"/>
              <w:left w:type="dxa" w:w="100"/>
              <w:bottom w:type="dxa" w:w="60"/>
              <w:right w:type="dxa" w:w="100"/>
            </w:tcMar>
          </w:tcPr>
          <w:p>
            <w:r>
              <w:rPr>
                <w:b w:val="false"/>
                <w:bCs w:val="false"/>
                <w:color w:val="222222"/>
                <w:sz w:val="17"/>
                <w:szCs w:val="17"/>
              </w:rPr>
              <w:t xml:space="preserve">Premium lounge</w:t>
            </w:r>
          </w:p>
        </w:tc>
        <w:tc>
          <w:tcPr>
            <w:tcW w:type="dxa" w:w="4032"/>
            <w:shd w:fill="F2F2F2" w:color="auto" w:val="clear"/>
            <w:tcMar>
              <w:top w:type="dxa" w:w="60"/>
              <w:left w:type="dxa" w:w="100"/>
              <w:bottom w:type="dxa" w:w="60"/>
              <w:right w:type="dxa" w:w="100"/>
            </w:tcMar>
          </w:tcPr>
          <w:p>
            <w:r>
              <w:rPr>
                <w:b w:val="false"/>
                <w:bCs w:val="false"/>
                <w:color w:val="222222"/>
                <w:sz w:val="17"/>
                <w:szCs w:val="17"/>
              </w:rPr>
              <w:t xml:space="preserve">Al Mourjan Lounge (Doha) — "World's Best Business Class Lounge" 2025</w:t>
            </w:r>
          </w:p>
        </w:tc>
        <w:tc>
          <w:tcPr>
            <w:tcW w:type="dxa" w:w="3629"/>
            <w:shd w:fill="F2F2F2" w:color="auto" w:val="clear"/>
            <w:tcMar>
              <w:top w:type="dxa" w:w="60"/>
              <w:left w:type="dxa" w:w="100"/>
              <w:bottom w:type="dxa" w:w="60"/>
              <w:right w:type="dxa" w:w="100"/>
            </w:tcMar>
          </w:tcPr>
          <w:p>
            <w:r>
              <w:rPr>
                <w:b w:val="false"/>
                <w:bCs w:val="false"/>
                <w:color w:val="222222"/>
                <w:sz w:val="17"/>
                <w:szCs w:val="17"/>
              </w:rPr>
              <w:t xml:space="preserve">Emirates, Cathay Pacific, Singapore lounges also top-rated</w:t>
            </w:r>
          </w:p>
        </w:tc>
      </w:tr>
      <w:tr>
        <w:tc>
          <w:tcPr>
            <w:tcW w:type="dxa" w:w="2419"/>
            <w:tcMar>
              <w:top w:type="dxa" w:w="60"/>
              <w:left w:type="dxa" w:w="100"/>
              <w:bottom w:type="dxa" w:w="60"/>
              <w:right w:type="dxa" w:w="100"/>
            </w:tcMar>
          </w:tcPr>
          <w:p>
            <w:r>
              <w:rPr>
                <w:b w:val="false"/>
                <w:bCs w:val="false"/>
                <w:color w:val="222222"/>
                <w:sz w:val="17"/>
                <w:szCs w:val="17"/>
              </w:rPr>
              <w:t xml:space="preserve">Connectivity</w:t>
            </w:r>
          </w:p>
        </w:tc>
        <w:tc>
          <w:tcPr>
            <w:tcW w:type="dxa" w:w="4032"/>
            <w:tcMar>
              <w:top w:type="dxa" w:w="60"/>
              <w:left w:type="dxa" w:w="100"/>
              <w:bottom w:type="dxa" w:w="60"/>
              <w:right w:type="dxa" w:w="100"/>
            </w:tcMar>
          </w:tcPr>
          <w:p>
            <w:r>
              <w:rPr>
                <w:b w:val="false"/>
                <w:bCs w:val="false"/>
                <w:color w:val="222222"/>
                <w:sz w:val="17"/>
                <w:szCs w:val="17"/>
              </w:rPr>
              <w:t xml:space="preserve">Complimentary Starlink Wi-Fi fleet-wide</w:t>
            </w:r>
          </w:p>
        </w:tc>
        <w:tc>
          <w:tcPr>
            <w:tcW w:type="dxa" w:w="3629"/>
            <w:tcMar>
              <w:top w:type="dxa" w:w="60"/>
              <w:left w:type="dxa" w:w="100"/>
              <w:bottom w:type="dxa" w:w="60"/>
              <w:right w:type="dxa" w:w="100"/>
            </w:tcMar>
          </w:tcPr>
          <w:p>
            <w:r>
              <w:rPr>
                <w:b w:val="false"/>
                <w:bCs w:val="false"/>
                <w:color w:val="222222"/>
                <w:sz w:val="17"/>
                <w:szCs w:val="17"/>
              </w:rPr>
              <w:t xml:space="preserve">Emerging matched by United, few full-service rivals yet fleet-wide</w:t>
            </w:r>
          </w:p>
        </w:tc>
      </w:tr>
      <w:tr>
        <w:tc>
          <w:tcPr>
            <w:tcW w:type="dxa" w:w="2419"/>
            <w:shd w:fill="F2F2F2" w:color="auto" w:val="clear"/>
            <w:tcMar>
              <w:top w:type="dxa" w:w="60"/>
              <w:left w:type="dxa" w:w="100"/>
              <w:bottom w:type="dxa" w:w="60"/>
              <w:right w:type="dxa" w:w="100"/>
            </w:tcMar>
          </w:tcPr>
          <w:p>
            <w:r>
              <w:rPr>
                <w:b w:val="false"/>
                <w:bCs w:val="false"/>
                <w:color w:val="222222"/>
                <w:sz w:val="17"/>
                <w:szCs w:val="17"/>
              </w:rPr>
              <w:t xml:space="preserve">Airport/retail experience</w:t>
            </w:r>
          </w:p>
        </w:tc>
        <w:tc>
          <w:tcPr>
            <w:tcW w:type="dxa" w:w="4032"/>
            <w:shd w:fill="F2F2F2" w:color="auto" w:val="clear"/>
            <w:tcMar>
              <w:top w:type="dxa" w:w="60"/>
              <w:left w:type="dxa" w:w="100"/>
              <w:bottom w:type="dxa" w:w="60"/>
              <w:right w:type="dxa" w:w="100"/>
            </w:tcMar>
          </w:tcPr>
          <w:p>
            <w:r>
              <w:rPr>
                <w:b w:val="false"/>
                <w:bCs w:val="false"/>
                <w:color w:val="222222"/>
                <w:sz w:val="17"/>
                <w:szCs w:val="17"/>
              </w:rPr>
              <w:t xml:space="preserve">Hamad Intl.: "Best Airport, Middle East" (11th year); Qatar Duty Free: "World's Best Airport Shopping" (3rd year)</w:t>
            </w:r>
          </w:p>
        </w:tc>
        <w:tc>
          <w:tcPr>
            <w:tcW w:type="dxa" w:w="3629"/>
            <w:shd w:fill="F2F2F2" w:color="auto" w:val="clear"/>
            <w:tcMar>
              <w:top w:type="dxa" w:w="60"/>
              <w:left w:type="dxa" w:w="100"/>
              <w:bottom w:type="dxa" w:w="60"/>
              <w:right w:type="dxa" w:w="100"/>
            </w:tcMar>
          </w:tcPr>
          <w:p>
            <w:r>
              <w:rPr>
                <w:b w:val="false"/>
                <w:bCs w:val="false"/>
                <w:color w:val="222222"/>
                <w:sz w:val="17"/>
                <w:szCs w:val="17"/>
              </w:rPr>
              <w:t xml:space="preserve">Singapore Changi and Dubai DXB remain top global comparators</w:t>
            </w:r>
          </w:p>
        </w:tc>
      </w:tr>
    </w:tbl>
    <w:p>
      <w:pPr>
        <w:pStyle w:val="Heading1"/>
        <w:pBdr>
          <w:bottom w:val="single" w:color="8A1538" w:sz="6" w:space="2"/>
        </w:pBdr>
        <w:spacing w:after="100" w:before="240"/>
      </w:pPr>
      <w:r>
        <w:rPr>
          <w:b/>
          <w:bCs/>
          <w:color w:val="8A1538"/>
          <w:sz w:val="26"/>
          <w:szCs w:val="26"/>
        </w:rPr>
        <w:t xml:space="preserve">8. Summary Comparison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3226"/>
        <w:gridCol w:w="3830"/>
      </w:tblGrid>
      <w:tr>
        <w:trPr>
          <w:tblHeader/>
        </w:trPr>
        <w:tc>
          <w:tcPr>
            <w:tcW w:type="dxa" w:w="3024"/>
            <w:shd w:fill="8A1538" w:color="auto" w:val="clear"/>
            <w:tcMar>
              <w:top w:type="dxa" w:w="60"/>
              <w:left w:type="dxa" w:w="100"/>
              <w:bottom w:type="dxa" w:w="60"/>
              <w:right w:type="dxa" w:w="100"/>
            </w:tcMar>
          </w:tcPr>
          <w:p>
            <w:r>
              <w:rPr>
                <w:b/>
                <w:bCs/>
                <w:color w:val="FFFFFF"/>
                <w:sz w:val="17"/>
                <w:szCs w:val="17"/>
              </w:rPr>
              <w:t xml:space="preserve">Dimension</w:t>
            </w:r>
          </w:p>
        </w:tc>
        <w:tc>
          <w:tcPr>
            <w:tcW w:type="dxa" w:w="3226"/>
            <w:shd w:fill="8A1538" w:color="auto" w:val="clear"/>
            <w:tcMar>
              <w:top w:type="dxa" w:w="60"/>
              <w:left w:type="dxa" w:w="100"/>
              <w:bottom w:type="dxa" w:w="60"/>
              <w:right w:type="dxa" w:w="100"/>
            </w:tcMar>
          </w:tcPr>
          <w:p>
            <w:r>
              <w:rPr>
                <w:b/>
                <w:bCs/>
                <w:color w:val="FFFFFF"/>
                <w:sz w:val="17"/>
                <w:szCs w:val="17"/>
              </w:rPr>
              <w:t xml:space="preserve">Industry Leader</w:t>
            </w:r>
          </w:p>
        </w:tc>
        <w:tc>
          <w:tcPr>
            <w:tcW w:type="dxa" w:w="3830"/>
            <w:shd w:fill="8A1538" w:color="auto" w:val="clear"/>
            <w:tcMar>
              <w:top w:type="dxa" w:w="60"/>
              <w:left w:type="dxa" w:w="100"/>
              <w:bottom w:type="dxa" w:w="60"/>
              <w:right w:type="dxa" w:w="100"/>
            </w:tcMar>
          </w:tcPr>
          <w:p>
            <w:r>
              <w:rPr>
                <w:b/>
                <w:bCs/>
                <w:color w:val="FFFFFF"/>
                <w:sz w:val="17"/>
                <w:szCs w:val="17"/>
              </w:rPr>
              <w:t xml:space="preserve">Qatar Airways Position</w:t>
            </w:r>
          </w:p>
        </w:tc>
      </w:tr>
      <w:tr>
        <w:tc>
          <w:tcPr>
            <w:tcW w:type="dxa" w:w="3024"/>
            <w:tcMar>
              <w:top w:type="dxa" w:w="60"/>
              <w:left w:type="dxa" w:w="100"/>
              <w:bottom w:type="dxa" w:w="60"/>
              <w:right w:type="dxa" w:w="100"/>
            </w:tcMar>
          </w:tcPr>
          <w:p>
            <w:r>
              <w:rPr>
                <w:b w:val="false"/>
                <w:bCs w:val="false"/>
                <w:color w:val="222222"/>
                <w:sz w:val="17"/>
                <w:szCs w:val="17"/>
              </w:rPr>
              <w:t xml:space="preserve">Passenger volume/profit scale</w:t>
            </w:r>
          </w:p>
        </w:tc>
        <w:tc>
          <w:tcPr>
            <w:tcW w:type="dxa" w:w="3226"/>
            <w:tcMar>
              <w:top w:type="dxa" w:w="60"/>
              <w:left w:type="dxa" w:w="100"/>
              <w:bottom w:type="dxa" w:w="60"/>
              <w:right w:type="dxa" w:w="100"/>
            </w:tcMar>
          </w:tcPr>
          <w:p>
            <w:r>
              <w:rPr>
                <w:b w:val="false"/>
                <w:bCs w:val="false"/>
                <w:color w:val="222222"/>
                <w:sz w:val="17"/>
                <w:szCs w:val="17"/>
              </w:rPr>
              <w:t xml:space="preserve">Emirates</w:t>
            </w:r>
          </w:p>
        </w:tc>
        <w:tc>
          <w:tcPr>
            <w:tcW w:type="dxa" w:w="3830"/>
            <w:tcMar>
              <w:top w:type="dxa" w:w="60"/>
              <w:left w:type="dxa" w:w="100"/>
              <w:bottom w:type="dxa" w:w="60"/>
              <w:right w:type="dxa" w:w="100"/>
            </w:tcMar>
          </w:tcPr>
          <w:p>
            <w:r>
              <w:rPr>
                <w:b w:val="false"/>
                <w:bCs w:val="false"/>
                <w:color w:val="222222"/>
                <w:sz w:val="17"/>
                <w:szCs w:val="17"/>
              </w:rPr>
              <w:t xml:space="preserve">Strong #2 in the Gulf; smaller but highly profitable</w:t>
            </w:r>
          </w:p>
        </w:tc>
      </w:tr>
      <w:tr>
        <w:tc>
          <w:tcPr>
            <w:tcW w:type="dxa" w:w="3024"/>
            <w:shd w:fill="F2F2F2" w:color="auto" w:val="clear"/>
            <w:tcMar>
              <w:top w:type="dxa" w:w="60"/>
              <w:left w:type="dxa" w:w="100"/>
              <w:bottom w:type="dxa" w:w="60"/>
              <w:right w:type="dxa" w:w="100"/>
            </w:tcMar>
          </w:tcPr>
          <w:p>
            <w:r>
              <w:rPr>
                <w:b w:val="false"/>
                <w:bCs w:val="false"/>
                <w:color w:val="222222"/>
                <w:sz w:val="17"/>
                <w:szCs w:val="17"/>
              </w:rPr>
              <w:t xml:space="preserve">Cargo tonnage</w:t>
            </w:r>
          </w:p>
        </w:tc>
        <w:tc>
          <w:tcPr>
            <w:tcW w:type="dxa" w:w="3226"/>
            <w:shd w:fill="F2F2F2" w:color="auto" w:val="clear"/>
            <w:tcMar>
              <w:top w:type="dxa" w:w="60"/>
              <w:left w:type="dxa" w:w="100"/>
              <w:bottom w:type="dxa" w:w="60"/>
              <w:right w:type="dxa" w:w="100"/>
            </w:tcMar>
          </w:tcPr>
          <w:p>
            <w:r>
              <w:rPr>
                <w:b w:val="false"/>
                <w:bCs w:val="false"/>
                <w:color w:val="222222"/>
                <w:sz w:val="17"/>
                <w:szCs w:val="17"/>
              </w:rPr>
              <w:t xml:space="preserve">Emirates SkyCargo</w:t>
            </w:r>
          </w:p>
        </w:tc>
        <w:tc>
          <w:tcPr>
            <w:tcW w:type="dxa" w:w="3830"/>
            <w:shd w:fill="F2F2F2" w:color="auto" w:val="clear"/>
            <w:tcMar>
              <w:top w:type="dxa" w:w="60"/>
              <w:left w:type="dxa" w:w="100"/>
              <w:bottom w:type="dxa" w:w="60"/>
              <w:right w:type="dxa" w:w="100"/>
            </w:tcMar>
          </w:tcPr>
          <w:p>
            <w:r>
              <w:rPr>
                <w:b w:val="false"/>
                <w:bCs w:val="false"/>
                <w:color w:val="222222"/>
                <w:sz w:val="17"/>
                <w:szCs w:val="17"/>
              </w:rPr>
              <w:t xml:space="preserve">#2 by volume; faster revenue growth in FY25</w:t>
            </w:r>
          </w:p>
        </w:tc>
      </w:tr>
      <w:tr>
        <w:tc>
          <w:tcPr>
            <w:tcW w:type="dxa" w:w="3024"/>
            <w:tcMar>
              <w:top w:type="dxa" w:w="60"/>
              <w:left w:type="dxa" w:w="100"/>
              <w:bottom w:type="dxa" w:w="60"/>
              <w:right w:type="dxa" w:w="100"/>
            </w:tcMar>
          </w:tcPr>
          <w:p>
            <w:r>
              <w:rPr>
                <w:b w:val="false"/>
                <w:bCs w:val="false"/>
                <w:color w:val="222222"/>
                <w:sz w:val="17"/>
                <w:szCs w:val="17"/>
              </w:rPr>
              <w:t xml:space="preserve">Catering scale (3rd-party)</w:t>
            </w:r>
          </w:p>
        </w:tc>
        <w:tc>
          <w:tcPr>
            <w:tcW w:type="dxa" w:w="3226"/>
            <w:tcMar>
              <w:top w:type="dxa" w:w="60"/>
              <w:left w:type="dxa" w:w="100"/>
              <w:bottom w:type="dxa" w:w="60"/>
              <w:right w:type="dxa" w:w="100"/>
            </w:tcMar>
          </w:tcPr>
          <w:p>
            <w:r>
              <w:rPr>
                <w:b w:val="false"/>
                <w:bCs w:val="false"/>
                <w:color w:val="222222"/>
                <w:sz w:val="17"/>
                <w:szCs w:val="17"/>
              </w:rPr>
              <w:t xml:space="preserve">dnata (Emirates Group)</w:t>
            </w:r>
          </w:p>
        </w:tc>
        <w:tc>
          <w:tcPr>
            <w:tcW w:type="dxa" w:w="3830"/>
            <w:tcMar>
              <w:top w:type="dxa" w:w="60"/>
              <w:left w:type="dxa" w:w="100"/>
              <w:bottom w:type="dxa" w:w="60"/>
              <w:right w:type="dxa" w:w="100"/>
            </w:tcMar>
          </w:tcPr>
          <w:p>
            <w:r>
              <w:rPr>
                <w:b w:val="false"/>
                <w:bCs w:val="false"/>
                <w:color w:val="222222"/>
                <w:sz w:val="17"/>
                <w:szCs w:val="17"/>
              </w:rPr>
              <w:t xml:space="preserve">Focused on differentiated onboard dining, not 3rd-party catering scale</w:t>
            </w:r>
          </w:p>
        </w:tc>
      </w:tr>
      <w:tr>
        <w:tc>
          <w:tcPr>
            <w:tcW w:type="dxa" w:w="3024"/>
            <w:shd w:fill="F2F2F2" w:color="auto" w:val="clear"/>
            <w:tcMar>
              <w:top w:type="dxa" w:w="60"/>
              <w:left w:type="dxa" w:w="100"/>
              <w:bottom w:type="dxa" w:w="60"/>
              <w:right w:type="dxa" w:w="100"/>
            </w:tcMar>
          </w:tcPr>
          <w:p>
            <w:r>
              <w:rPr>
                <w:b w:val="false"/>
                <w:bCs w:val="false"/>
                <w:color w:val="222222"/>
                <w:sz w:val="17"/>
                <w:szCs w:val="17"/>
              </w:rPr>
              <w:t xml:space="preserve">Safety index ranking</w:t>
            </w:r>
          </w:p>
        </w:tc>
        <w:tc>
          <w:tcPr>
            <w:tcW w:type="dxa" w:w="3226"/>
            <w:shd w:fill="F2F2F2" w:color="auto" w:val="clear"/>
            <w:tcMar>
              <w:top w:type="dxa" w:w="60"/>
              <w:left w:type="dxa" w:w="100"/>
              <w:bottom w:type="dxa" w:w="60"/>
              <w:right w:type="dxa" w:w="100"/>
            </w:tcMar>
          </w:tcPr>
          <w:p>
            <w:r>
              <w:rPr>
                <w:b w:val="false"/>
                <w:bCs w:val="false"/>
                <w:color w:val="222222"/>
                <w:sz w:val="17"/>
                <w:szCs w:val="17"/>
              </w:rPr>
              <w:t xml:space="preserve">Etihad Airways (2026)</w:t>
            </w:r>
          </w:p>
        </w:tc>
        <w:tc>
          <w:tcPr>
            <w:tcW w:type="dxa" w:w="3830"/>
            <w:shd w:fill="F2F2F2" w:color="auto" w:val="clear"/>
            <w:tcMar>
              <w:top w:type="dxa" w:w="60"/>
              <w:left w:type="dxa" w:w="100"/>
              <w:bottom w:type="dxa" w:w="60"/>
              <w:right w:type="dxa" w:w="100"/>
            </w:tcMar>
          </w:tcPr>
          <w:p>
            <w:r>
              <w:rPr>
                <w:b w:val="false"/>
                <w:bCs w:val="false"/>
                <w:color w:val="222222"/>
                <w:sz w:val="17"/>
                <w:szCs w:val="17"/>
              </w:rPr>
              <w:t xml:space="preserve">Consistently top-tier, close second cluster</w:t>
            </w:r>
          </w:p>
        </w:tc>
      </w:tr>
      <w:tr>
        <w:tc>
          <w:tcPr>
            <w:tcW w:type="dxa" w:w="3024"/>
            <w:tcMar>
              <w:top w:type="dxa" w:w="60"/>
              <w:left w:type="dxa" w:w="100"/>
              <w:bottom w:type="dxa" w:w="60"/>
              <w:right w:type="dxa" w:w="100"/>
            </w:tcMar>
          </w:tcPr>
          <w:p>
            <w:r>
              <w:rPr>
                <w:b w:val="false"/>
                <w:bCs w:val="false"/>
                <w:color w:val="222222"/>
                <w:sz w:val="17"/>
                <w:szCs w:val="17"/>
              </w:rPr>
              <w:t xml:space="preserve">Loyalty program reputation</w:t>
            </w:r>
          </w:p>
        </w:tc>
        <w:tc>
          <w:tcPr>
            <w:tcW w:type="dxa" w:w="3226"/>
            <w:tcMar>
              <w:top w:type="dxa" w:w="60"/>
              <w:left w:type="dxa" w:w="100"/>
              <w:bottom w:type="dxa" w:w="60"/>
              <w:right w:type="dxa" w:w="100"/>
            </w:tcMar>
          </w:tcPr>
          <w:p>
            <w:r>
              <w:rPr>
                <w:b w:val="false"/>
                <w:bCs w:val="false"/>
                <w:color w:val="222222"/>
                <w:sz w:val="17"/>
                <w:szCs w:val="17"/>
              </w:rPr>
              <w:t xml:space="preserve">Qatar Airways (Privilege Club) / Emirates Skywards</w:t>
            </w:r>
          </w:p>
        </w:tc>
        <w:tc>
          <w:tcPr>
            <w:tcW w:type="dxa" w:w="3830"/>
            <w:tcMar>
              <w:top w:type="dxa" w:w="60"/>
              <w:left w:type="dxa" w:w="100"/>
              <w:bottom w:type="dxa" w:w="60"/>
              <w:right w:type="dxa" w:w="100"/>
            </w:tcMar>
          </w:tcPr>
          <w:p>
            <w:r>
              <w:rPr>
                <w:b w:val="false"/>
                <w:bCs w:val="false"/>
                <w:color w:val="222222"/>
                <w:sz w:val="17"/>
                <w:szCs w:val="17"/>
              </w:rPr>
              <w:t xml:space="preserve">Rated #1 program by Business Traveller readers 2025</w:t>
            </w:r>
          </w:p>
        </w:tc>
      </w:tr>
      <w:tr>
        <w:tc>
          <w:tcPr>
            <w:tcW w:type="dxa" w:w="3024"/>
            <w:shd w:fill="F2F2F2" w:color="auto" w:val="clear"/>
            <w:tcMar>
              <w:top w:type="dxa" w:w="60"/>
              <w:left w:type="dxa" w:w="100"/>
              <w:bottom w:type="dxa" w:w="60"/>
              <w:right w:type="dxa" w:w="100"/>
            </w:tcMar>
          </w:tcPr>
          <w:p>
            <w:r>
              <w:rPr>
                <w:b w:val="false"/>
                <w:bCs w:val="false"/>
                <w:color w:val="222222"/>
                <w:sz w:val="17"/>
                <w:szCs w:val="17"/>
              </w:rPr>
              <w:t xml:space="preserve">Overall passenger experience</w:t>
            </w:r>
          </w:p>
        </w:tc>
        <w:tc>
          <w:tcPr>
            <w:tcW w:type="dxa" w:w="3226"/>
            <w:shd w:fill="F2F2F2" w:color="auto" w:val="clear"/>
            <w:tcMar>
              <w:top w:type="dxa" w:w="60"/>
              <w:left w:type="dxa" w:w="100"/>
              <w:bottom w:type="dxa" w:w="60"/>
              <w:right w:type="dxa" w:w="100"/>
            </w:tcMar>
          </w:tcPr>
          <w:p>
            <w:r>
              <w:rPr>
                <w:b w:val="false"/>
                <w:bCs w:val="false"/>
                <w:color w:val="222222"/>
                <w:sz w:val="17"/>
                <w:szCs w:val="17"/>
              </w:rPr>
              <w:t xml:space="preserve">Qatar Airways</w:t>
            </w:r>
          </w:p>
        </w:tc>
        <w:tc>
          <w:tcPr>
            <w:tcW w:type="dxa" w:w="3830"/>
            <w:shd w:fill="F2F2F2" w:color="auto" w:val="clear"/>
            <w:tcMar>
              <w:top w:type="dxa" w:w="60"/>
              <w:left w:type="dxa" w:w="100"/>
              <w:bottom w:type="dxa" w:w="60"/>
              <w:right w:type="dxa" w:w="100"/>
            </w:tcMar>
          </w:tcPr>
          <w:p>
            <w:r>
              <w:rPr>
                <w:b w:val="false"/>
                <w:bCs w:val="false"/>
                <w:color w:val="222222"/>
                <w:sz w:val="17"/>
                <w:szCs w:val="17"/>
              </w:rPr>
              <w:t xml:space="preserve">Skytrax World's Best Airline — 9th time, 2025</w:t>
            </w:r>
          </w:p>
        </w:tc>
      </w:tr>
    </w:tbl>
    <w:p>
      <w:pPr>
        <w:spacing w:after="100"/>
      </w:pPr>
      <w:r>
        <w:rPr>
          <w:color w:val="222222"/>
          <w:sz w:val="19"/>
          <w:szCs w:val="19"/>
        </w:rPr>
        <w:t xml:space="preserve">Overall, Qatar Airways leads the industry on passenger-experience metrics (Skytrax, AirlineRatings) and loyalty-program reputation, while Emirates leads on sheer scale — passengers, cargo tonnage, and group profit. Etihad currently leads on the specific 2026 safety index. No single carrier leads on every dimension; Qatar Airways' competitive position is best described as "smaller and more profitable-per-passenger, with the strongest brand and product reputation in the industry."</w:t>
      </w:r>
    </w:p>
    <w:p>
      <w:pPr>
        <w:spacing w:before="200"/>
      </w:pPr>
      <w:r>
        <w:rPr>
          <w:i/>
          <w:iCs/>
          <w:color w:val="666666"/>
          <w:sz w:val="15"/>
          <w:szCs w:val="15"/>
        </w:rPr>
        <w:t xml:space="preserve">Sources: Qatar Airways Group Annual Report 2024/25 &amp; FY2025/26 results; Emirates Group Annual Reports 2024/25 &amp; 2025/26; Skytrax World Airline Awards 2025; AirlineRatings World's Best Airlines 2026; Business Traveller Best Frequent Flyer Programmes 2025; AirlineRatings/Cirium 2026 safety rankings.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2026-07-23T02:27:51.328Z</dcterms:created>
  <dcterms:modified xsi:type="dcterms:W3CDTF">2026-07-23T02:27:51.345Z</dcterms:modified>
</cp:coreProperties>
</file>

<file path=docProps/custom.xml><?xml version="1.0" encoding="utf-8"?>
<Properties xmlns="http://schemas.openxmlformats.org/officeDocument/2006/custom-properties" xmlns:vt="http://schemas.openxmlformats.org/officeDocument/2006/docPropsVTypes"/>
</file>