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SERVICE AGREEMENT (SAMPLE — TRAINING USE ONLY)</w:t>
      </w:r>
    </w:p>
    <w:p>
      <w:pPr>
        <w:spacing w:after="100"/>
      </w:pPr>
    </w:p>
    <w:p>
      <w:pPr>
        <w:pStyle w:val="Heading1"/>
        <w:spacing w:after="200"/>
      </w:pPr>
      <w:r>
        <w:rPr>
          <w:b/>
          <w:bCs/>
          <w:color w:val="1F2A44"/>
          <w:sz w:val="32"/>
          <w:szCs w:val="32"/>
        </w:rPr>
        <w:t xml:space="preserve">BrightPath Security Solutions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Reference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BPS-2025-0087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October 10, 2025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October 10, 2026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Renewal Terms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Auto-renews for successive 12-month terms unless either party provides written notice of cancellation at least 45 days before the end date.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$24,000 / year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renewals@brightpathsecurity-sample.com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2A44"/>
          <w:sz w:val="22"/>
          <w:szCs w:val="22"/>
        </w:rPr>
        <w:t xml:space="preserve">Service Description</w:t>
      </w:r>
    </w:p>
    <w:p>
      <w:pPr>
        <w:spacing w:after="200"/>
      </w:pPr>
      <w:r>
        <w:rPr>
          <w:sz w:val="20"/>
          <w:szCs w:val="20"/>
        </w:rPr>
        <w:t xml:space="preserve">Provides endpoint security tooling, vulnerability scanning, and quarterly compliance reporting.</w:t>
      </w:r>
    </w:p>
    <w:p>
      <w:r>
        <w:rPr>
          <w:i/>
          <w:iCs/>
          <w:color w:val="808080"/>
          <w:sz w:val="16"/>
          <w:szCs w:val="16"/>
        </w:rPr>
        <w:t xml:space="preserve">Note: This is a fictional sample document created for AI training purposes only. It does not represent a real vendor, contract, or company.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2026-07-24T03:59:31.148Z</dcterms:created>
  <dcterms:modified xsi:type="dcterms:W3CDTF">2026-07-24T03:59:31.148Z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